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7.0 -->
  <w:body>
    <w:p>
      <w:pPr>
        <w:spacing w:before="0" w:after="0"/>
        <w:jc w:val="center"/>
        <w:rPr>
          <w:sz w:val="36"/>
          <w:szCs w:val="36"/>
        </w:rPr>
      </w:pPr>
      <w:r>
        <w:rPr>
          <w:b/>
          <w:bCs/>
          <w:sz w:val="36"/>
          <w:szCs w:val="36"/>
        </w:rPr>
        <w:t xml:space="preserve">Verification report – UK Producer </w:t>
      </w:r>
    </w:p>
    <w:p>
      <w:pPr>
        <w:spacing w:before="0" w:after="0"/>
        <w:jc w:val="center"/>
        <w:rPr>
          <w:sz w:val="36"/>
          <w:szCs w:val="36"/>
        </w:rPr>
      </w:pPr>
      <w:r>
        <w:rPr>
          <w:b/>
          <w:bCs/>
          <w:spacing w:val="-10"/>
          <w:sz w:val="36"/>
          <w:szCs w:val="36"/>
        </w:rPr>
        <w:t>Case TD0035: Certain pneumatic tyres used for buses or lorries originating in the People’s Republic of China</w:t>
      </w:r>
    </w:p>
    <w:p>
      <w:pPr>
        <w:spacing w:before="0" w:after="160"/>
        <w:jc w:val="center"/>
        <w:rPr>
          <w:rFonts w:ascii="Arial" w:eastAsia="Arial" w:hAnsi="Arial" w:cs="Arial"/>
          <w:b/>
          <w:bCs/>
          <w:color w:val="FF0000"/>
          <w:sz w:val="32"/>
          <w:szCs w:val="32"/>
        </w:rPr>
      </w:pPr>
    </w:p>
    <w:tbl>
      <w:tblPr>
        <w:tblBorders>
          <w:insideH w:val="single" w:sz="4" w:space="0" w:color="000000"/>
          <w:insideV w:val="single" w:sz="4" w:space="0" w:color="000000"/>
        </w:tblBorders>
        <w:tblCellMar>
          <w:top w:w="0" w:type="dxa"/>
          <w:left w:w="0" w:type="dxa"/>
          <w:bottom w:w="0" w:type="dxa"/>
          <w:right w:w="0" w:type="dxa"/>
        </w:tblCellMar>
      </w:tblPr>
      <w:tblGrid>
        <w:gridCol w:w="3971"/>
        <w:gridCol w:w="5050"/>
      </w:tblGrid>
      <w:tr>
        <w:tblPrEx>
          <w:tblBorders>
            <w:insideH w:val="single" w:sz="4" w:space="0" w:color="000000"/>
            <w:insideV w:val="single" w:sz="4" w:space="0" w:color="000000"/>
          </w:tblBorders>
          <w:tblCellMar>
            <w:top w:w="0" w:type="dxa"/>
            <w:left w:w="0" w:type="dxa"/>
            <w:bottom w:w="0" w:type="dxa"/>
            <w:right w:w="0" w:type="dxa"/>
          </w:tblCellMar>
        </w:tblPrEx>
        <w:tc>
          <w:tcPr>
            <w:tcW w:w="3974" w:type="dxa"/>
            <w:tcBorders>
              <w:bottom w:val="nil"/>
              <w:right w:val="single" w:sz="4" w:space="0" w:color="000000"/>
            </w:tcBorders>
            <w:noWrap w:val="0"/>
            <w:tcMar>
              <w:top w:w="28" w:type="dxa"/>
              <w:left w:w="62" w:type="dxa"/>
              <w:bottom w:w="28" w:type="dxa"/>
              <w:right w:w="28" w:type="dxa"/>
            </w:tcMar>
            <w:vAlign w:val="top"/>
            <w:hideMark/>
          </w:tcPr>
          <w:p>
            <w:pPr>
              <w:spacing w:before="0" w:after="0" w:line="240" w:lineRule="atLeast"/>
              <w:rPr>
                <w:b w:val="0"/>
                <w:bCs w:val="0"/>
                <w:i w:val="0"/>
                <w:iCs w:val="0"/>
                <w:smallCaps w:val="0"/>
                <w:color w:val="000000"/>
              </w:rPr>
            </w:pPr>
            <w:r>
              <w:rPr>
                <w:b/>
                <w:bCs/>
                <w:i w:val="0"/>
                <w:iCs w:val="0"/>
                <w:smallCaps w:val="0"/>
                <w:color w:val="000000"/>
              </w:rPr>
              <w:t>Period of Investigation (POI):</w:t>
            </w:r>
          </w:p>
        </w:tc>
        <w:tc>
          <w:tcPr>
            <w:tcW w:w="5047" w:type="dxa"/>
            <w:tcBorders>
              <w:top w:val="single" w:sz="4" w:space="0" w:color="000000"/>
              <w:left w:val="single" w:sz="4" w:space="0" w:color="000000"/>
              <w:bottom w:val="single" w:sz="4" w:space="0" w:color="000000"/>
              <w:right w:val="single" w:sz="4" w:space="0" w:color="000000"/>
            </w:tcBorders>
            <w:noWrap w:val="0"/>
            <w:tcMar>
              <w:top w:w="28" w:type="dxa"/>
              <w:left w:w="58" w:type="dxa"/>
              <w:bottom w:w="28" w:type="dxa"/>
              <w:right w:w="2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 xml:space="preserve">1 January 2022 – 31 December 2022 </w:t>
            </w:r>
          </w:p>
        </w:tc>
      </w:tr>
      <w:tr>
        <w:tblPrEx>
          <w:tblCellMar>
            <w:top w:w="0" w:type="dxa"/>
            <w:left w:w="0" w:type="dxa"/>
            <w:bottom w:w="0" w:type="dxa"/>
            <w:right w:w="0" w:type="dxa"/>
          </w:tblCellMar>
        </w:tblPrEx>
        <w:tc>
          <w:tcPr>
            <w:tcW w:w="3974" w:type="dxa"/>
            <w:tcBorders>
              <w:top w:val="nil"/>
              <w:bottom w:val="nil"/>
              <w:right w:val="nil"/>
            </w:tcBorders>
            <w:noWrap w:val="0"/>
            <w:tcMar>
              <w:top w:w="28" w:type="dxa"/>
              <w:left w:w="62" w:type="dxa"/>
              <w:bottom w:w="28" w:type="dxa"/>
              <w:right w:w="28" w:type="dxa"/>
            </w:tcMar>
            <w:vAlign w:val="top"/>
          </w:tcPr>
          <w:p>
            <w:pPr>
              <w:spacing w:before="0" w:after="0" w:line="220" w:lineRule="atLeast"/>
              <w:rPr>
                <w:rFonts w:ascii="Arial" w:eastAsia="Arial" w:hAnsi="Arial" w:cs="Arial"/>
                <w:b/>
                <w:bCs/>
                <w:i w:val="0"/>
                <w:iCs w:val="0"/>
                <w:smallCaps w:val="0"/>
                <w:color w:val="000000"/>
                <w:sz w:val="22"/>
                <w:szCs w:val="22"/>
              </w:rPr>
            </w:pPr>
          </w:p>
        </w:tc>
        <w:tc>
          <w:tcPr>
            <w:tcW w:w="5052" w:type="dxa"/>
            <w:tcBorders>
              <w:top w:val="single" w:sz="4" w:space="0" w:color="000000"/>
              <w:left w:val="nil"/>
              <w:bottom w:val="single" w:sz="4" w:space="0" w:color="000000"/>
            </w:tcBorders>
            <w:noWrap w:val="0"/>
            <w:tcMar>
              <w:top w:w="28" w:type="dxa"/>
              <w:left w:w="57" w:type="dxa"/>
              <w:bottom w:w="28" w:type="dxa"/>
              <w:right w:w="33" w:type="dxa"/>
            </w:tcMar>
            <w:vAlign w:val="top"/>
          </w:tcPr>
          <w:p>
            <w:pPr>
              <w:spacing w:before="0" w:after="0" w:line="220" w:lineRule="atLeast"/>
              <w:rPr>
                <w:rFonts w:ascii="Arial" w:eastAsia="Arial" w:hAnsi="Arial" w:cs="Arial"/>
                <w:b w:val="0"/>
                <w:bCs w:val="0"/>
                <w:i w:val="0"/>
                <w:iCs w:val="0"/>
                <w:smallCaps w:val="0"/>
                <w:color w:val="000000"/>
                <w:sz w:val="22"/>
                <w:szCs w:val="22"/>
              </w:rPr>
            </w:pPr>
          </w:p>
        </w:tc>
      </w:tr>
      <w:tr>
        <w:tblPrEx>
          <w:tblCellMar>
            <w:top w:w="0" w:type="dxa"/>
            <w:left w:w="0" w:type="dxa"/>
            <w:bottom w:w="0" w:type="dxa"/>
            <w:right w:w="0" w:type="dxa"/>
          </w:tblCellMar>
        </w:tblPrEx>
        <w:tc>
          <w:tcPr>
            <w:tcW w:w="3974" w:type="dxa"/>
            <w:tcBorders>
              <w:top w:val="nil"/>
              <w:bottom w:val="nil"/>
              <w:right w:val="single" w:sz="4" w:space="0" w:color="000000"/>
            </w:tcBorders>
            <w:noWrap w:val="0"/>
            <w:tcMar>
              <w:top w:w="28" w:type="dxa"/>
              <w:left w:w="62" w:type="dxa"/>
              <w:bottom w:w="28" w:type="dxa"/>
              <w:right w:w="28" w:type="dxa"/>
            </w:tcMar>
            <w:vAlign w:val="top"/>
            <w:hideMark/>
          </w:tcPr>
          <w:p>
            <w:pPr>
              <w:spacing w:before="0" w:after="0" w:line="240" w:lineRule="atLeast"/>
              <w:rPr>
                <w:b w:val="0"/>
                <w:bCs w:val="0"/>
                <w:i w:val="0"/>
                <w:iCs w:val="0"/>
                <w:smallCaps w:val="0"/>
                <w:color w:val="000000"/>
              </w:rPr>
            </w:pPr>
            <w:r>
              <w:rPr>
                <w:b/>
                <w:bCs/>
                <w:i w:val="0"/>
                <w:iCs w:val="0"/>
                <w:smallCaps w:val="0"/>
                <w:color w:val="000000"/>
              </w:rPr>
              <w:t>Injury Period:</w:t>
            </w:r>
          </w:p>
        </w:tc>
        <w:tc>
          <w:tcPr>
            <w:tcW w:w="5047" w:type="dxa"/>
            <w:tcBorders>
              <w:top w:val="single" w:sz="4" w:space="0" w:color="000000"/>
              <w:left w:val="single" w:sz="4" w:space="0" w:color="000000"/>
              <w:bottom w:val="single" w:sz="4" w:space="0" w:color="000000"/>
              <w:right w:val="single" w:sz="4" w:space="0" w:color="000000"/>
            </w:tcBorders>
            <w:noWrap w:val="0"/>
            <w:tcMar>
              <w:top w:w="28" w:type="dxa"/>
              <w:left w:w="58" w:type="dxa"/>
              <w:bottom w:w="28" w:type="dxa"/>
              <w:right w:w="2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1 January 2019 – 31 December 2022</w:t>
            </w:r>
          </w:p>
        </w:tc>
      </w:tr>
      <w:tr>
        <w:tblPrEx>
          <w:tblCellMar>
            <w:top w:w="0" w:type="dxa"/>
            <w:left w:w="0" w:type="dxa"/>
            <w:bottom w:w="0" w:type="dxa"/>
            <w:right w:w="0" w:type="dxa"/>
          </w:tblCellMar>
        </w:tblPrEx>
        <w:tc>
          <w:tcPr>
            <w:tcW w:w="3974" w:type="dxa"/>
            <w:tcBorders>
              <w:top w:val="nil"/>
              <w:bottom w:val="nil"/>
              <w:right w:val="nil"/>
            </w:tcBorders>
            <w:noWrap w:val="0"/>
            <w:tcMar>
              <w:top w:w="28" w:type="dxa"/>
              <w:left w:w="62" w:type="dxa"/>
              <w:bottom w:w="28" w:type="dxa"/>
              <w:right w:w="28" w:type="dxa"/>
            </w:tcMar>
            <w:vAlign w:val="top"/>
          </w:tcPr>
          <w:p>
            <w:pPr>
              <w:spacing w:before="0" w:after="0" w:line="220" w:lineRule="atLeast"/>
              <w:rPr>
                <w:rFonts w:ascii="Arial" w:eastAsia="Arial" w:hAnsi="Arial" w:cs="Arial"/>
                <w:b/>
                <w:bCs/>
                <w:i w:val="0"/>
                <w:iCs w:val="0"/>
                <w:smallCaps w:val="0"/>
                <w:color w:val="000000"/>
                <w:sz w:val="22"/>
                <w:szCs w:val="22"/>
              </w:rPr>
            </w:pPr>
          </w:p>
        </w:tc>
        <w:tc>
          <w:tcPr>
            <w:tcW w:w="5052" w:type="dxa"/>
            <w:tcBorders>
              <w:top w:val="single" w:sz="4" w:space="0" w:color="000000"/>
              <w:left w:val="nil"/>
              <w:bottom w:val="single" w:sz="4" w:space="0" w:color="000000"/>
            </w:tcBorders>
            <w:noWrap w:val="0"/>
            <w:tcMar>
              <w:top w:w="28" w:type="dxa"/>
              <w:left w:w="57" w:type="dxa"/>
              <w:bottom w:w="28" w:type="dxa"/>
              <w:right w:w="33" w:type="dxa"/>
            </w:tcMar>
            <w:vAlign w:val="top"/>
          </w:tcPr>
          <w:p>
            <w:pPr>
              <w:spacing w:before="0" w:after="0" w:line="220" w:lineRule="atLeast"/>
              <w:rPr>
                <w:rFonts w:ascii="Arial" w:eastAsia="Arial" w:hAnsi="Arial" w:cs="Arial"/>
                <w:b w:val="0"/>
                <w:bCs w:val="0"/>
                <w:i w:val="0"/>
                <w:iCs w:val="0"/>
                <w:smallCaps w:val="0"/>
                <w:color w:val="FF0000"/>
                <w:sz w:val="22"/>
                <w:szCs w:val="22"/>
              </w:rPr>
            </w:pPr>
          </w:p>
        </w:tc>
      </w:tr>
      <w:tr>
        <w:tblPrEx>
          <w:tblCellMar>
            <w:top w:w="0" w:type="dxa"/>
            <w:left w:w="0" w:type="dxa"/>
            <w:bottom w:w="0" w:type="dxa"/>
            <w:right w:w="0" w:type="dxa"/>
          </w:tblCellMar>
        </w:tblPrEx>
        <w:tc>
          <w:tcPr>
            <w:tcW w:w="3974" w:type="dxa"/>
            <w:tcBorders>
              <w:top w:val="nil"/>
              <w:bottom w:val="nil"/>
              <w:right w:val="single" w:sz="4" w:space="0" w:color="000000"/>
            </w:tcBorders>
            <w:noWrap w:val="0"/>
            <w:tcMar>
              <w:top w:w="28" w:type="dxa"/>
              <w:left w:w="62" w:type="dxa"/>
              <w:bottom w:w="28" w:type="dxa"/>
              <w:right w:w="28" w:type="dxa"/>
            </w:tcMar>
            <w:vAlign w:val="top"/>
            <w:hideMark/>
          </w:tcPr>
          <w:p>
            <w:pPr>
              <w:spacing w:before="0" w:after="0" w:line="240" w:lineRule="atLeast"/>
              <w:rPr>
                <w:b w:val="0"/>
                <w:bCs w:val="0"/>
                <w:i w:val="0"/>
                <w:iCs w:val="0"/>
                <w:smallCaps w:val="0"/>
                <w:color w:val="000000"/>
              </w:rPr>
            </w:pPr>
            <w:r>
              <w:rPr>
                <w:b/>
                <w:bCs/>
                <w:i w:val="0"/>
                <w:iCs w:val="0"/>
                <w:smallCaps w:val="0"/>
                <w:color w:val="000000"/>
              </w:rPr>
              <w:t>Date of report:</w:t>
            </w:r>
          </w:p>
        </w:tc>
        <w:tc>
          <w:tcPr>
            <w:tcW w:w="5047" w:type="dxa"/>
            <w:tcBorders>
              <w:top w:val="single" w:sz="4" w:space="0" w:color="000000"/>
              <w:left w:val="single" w:sz="4" w:space="0" w:color="000000"/>
              <w:bottom w:val="single" w:sz="4" w:space="0" w:color="000000"/>
              <w:right w:val="single" w:sz="4" w:space="0" w:color="000000"/>
            </w:tcBorders>
            <w:noWrap w:val="0"/>
            <w:tcMar>
              <w:top w:w="28" w:type="dxa"/>
              <w:left w:w="58" w:type="dxa"/>
              <w:bottom w:w="28" w:type="dxa"/>
              <w:right w:w="2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26 April 2024</w:t>
            </w:r>
          </w:p>
        </w:tc>
      </w:tr>
      <w:tr>
        <w:tblPrEx>
          <w:tblCellMar>
            <w:top w:w="0" w:type="dxa"/>
            <w:left w:w="0" w:type="dxa"/>
            <w:bottom w:w="0" w:type="dxa"/>
            <w:right w:w="0" w:type="dxa"/>
          </w:tblCellMar>
        </w:tblPrEx>
        <w:tc>
          <w:tcPr>
            <w:tcW w:w="3974" w:type="dxa"/>
            <w:tcBorders>
              <w:top w:val="nil"/>
              <w:bottom w:val="nil"/>
              <w:right w:val="nil"/>
            </w:tcBorders>
            <w:noWrap w:val="0"/>
            <w:tcMar>
              <w:top w:w="28" w:type="dxa"/>
              <w:left w:w="62" w:type="dxa"/>
              <w:bottom w:w="28" w:type="dxa"/>
              <w:right w:w="28" w:type="dxa"/>
            </w:tcMar>
            <w:vAlign w:val="top"/>
          </w:tcPr>
          <w:p>
            <w:pPr>
              <w:spacing w:before="0" w:after="0" w:line="240" w:lineRule="atLeast"/>
              <w:rPr>
                <w:rFonts w:ascii="Arial" w:eastAsia="Arial" w:hAnsi="Arial" w:cs="Arial"/>
                <w:b/>
                <w:bCs/>
                <w:i w:val="0"/>
                <w:iCs w:val="0"/>
                <w:smallCaps w:val="0"/>
                <w:color w:val="000000"/>
                <w:sz w:val="24"/>
                <w:szCs w:val="24"/>
              </w:rPr>
            </w:pPr>
          </w:p>
        </w:tc>
        <w:tc>
          <w:tcPr>
            <w:tcW w:w="5052" w:type="dxa"/>
            <w:tcBorders>
              <w:top w:val="single" w:sz="4" w:space="0" w:color="000000"/>
              <w:left w:val="nil"/>
              <w:bottom w:val="single" w:sz="4" w:space="0" w:color="000000"/>
            </w:tcBorders>
            <w:noWrap w:val="0"/>
            <w:tcMar>
              <w:top w:w="28" w:type="dxa"/>
              <w:left w:w="57" w:type="dxa"/>
              <w:bottom w:w="28" w:type="dxa"/>
              <w:right w:w="33" w:type="dxa"/>
            </w:tcMar>
            <w:vAlign w:val="top"/>
          </w:tcPr>
          <w:p>
            <w:pPr>
              <w:spacing w:before="0" w:after="0" w:line="240" w:lineRule="atLeast"/>
              <w:rPr>
                <w:rFonts w:ascii="Arial" w:eastAsia="Arial" w:hAnsi="Arial" w:cs="Arial"/>
                <w:b w:val="0"/>
                <w:bCs w:val="0"/>
                <w:i w:val="0"/>
                <w:iCs w:val="0"/>
                <w:smallCaps w:val="0"/>
                <w:color w:val="FF0000"/>
                <w:sz w:val="24"/>
                <w:szCs w:val="24"/>
              </w:rPr>
            </w:pPr>
          </w:p>
        </w:tc>
      </w:tr>
      <w:tr>
        <w:tblPrEx>
          <w:tblCellMar>
            <w:top w:w="0" w:type="dxa"/>
            <w:left w:w="0" w:type="dxa"/>
            <w:bottom w:w="0" w:type="dxa"/>
            <w:right w:w="0" w:type="dxa"/>
          </w:tblCellMar>
        </w:tblPrEx>
        <w:tc>
          <w:tcPr>
            <w:tcW w:w="3974" w:type="dxa"/>
            <w:tcBorders>
              <w:top w:val="nil"/>
              <w:bottom w:val="nil"/>
              <w:right w:val="single" w:sz="4" w:space="0" w:color="000000"/>
            </w:tcBorders>
            <w:noWrap w:val="0"/>
            <w:tcMar>
              <w:top w:w="28" w:type="dxa"/>
              <w:left w:w="62" w:type="dxa"/>
              <w:bottom w:w="28" w:type="dxa"/>
              <w:right w:w="28" w:type="dxa"/>
            </w:tcMar>
            <w:vAlign w:val="top"/>
            <w:hideMark/>
          </w:tcPr>
          <w:p>
            <w:pPr>
              <w:spacing w:before="0" w:after="0" w:line="240" w:lineRule="atLeast"/>
              <w:rPr>
                <w:b w:val="0"/>
                <w:bCs w:val="0"/>
                <w:i w:val="0"/>
                <w:iCs w:val="0"/>
                <w:smallCaps w:val="0"/>
                <w:color w:val="000000"/>
              </w:rPr>
            </w:pPr>
            <w:r>
              <w:rPr>
                <w:b/>
                <w:bCs/>
                <w:i w:val="0"/>
                <w:iCs w:val="0"/>
                <w:smallCaps w:val="0"/>
                <w:color w:val="000000"/>
              </w:rPr>
              <w:t>Case team contact details:</w:t>
            </w:r>
          </w:p>
        </w:tc>
        <w:tc>
          <w:tcPr>
            <w:tcW w:w="5047" w:type="dxa"/>
            <w:tcBorders>
              <w:top w:val="single" w:sz="4" w:space="0" w:color="000000"/>
              <w:left w:val="single" w:sz="4" w:space="0" w:color="000000"/>
              <w:bottom w:val="single" w:sz="4" w:space="0" w:color="000000"/>
              <w:right w:val="single" w:sz="4" w:space="0" w:color="000000"/>
            </w:tcBorders>
            <w:noWrap w:val="0"/>
            <w:tcMar>
              <w:top w:w="28" w:type="dxa"/>
              <w:left w:w="58" w:type="dxa"/>
              <w:bottom w:w="28" w:type="dxa"/>
              <w:right w:w="2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TD0035@traderemedies.gov.uk</w:t>
            </w:r>
          </w:p>
        </w:tc>
      </w:tr>
      <w:tr>
        <w:tblPrEx>
          <w:tblCellMar>
            <w:top w:w="0" w:type="dxa"/>
            <w:left w:w="0" w:type="dxa"/>
            <w:bottom w:w="0" w:type="dxa"/>
            <w:right w:w="0" w:type="dxa"/>
          </w:tblCellMar>
        </w:tblPrEx>
        <w:tc>
          <w:tcPr>
            <w:tcW w:w="3974" w:type="dxa"/>
            <w:tcBorders>
              <w:top w:val="nil"/>
              <w:bottom w:val="nil"/>
              <w:right w:val="nil"/>
            </w:tcBorders>
            <w:noWrap w:val="0"/>
            <w:tcMar>
              <w:top w:w="28" w:type="dxa"/>
              <w:left w:w="62" w:type="dxa"/>
              <w:bottom w:w="28" w:type="dxa"/>
              <w:right w:w="28" w:type="dxa"/>
            </w:tcMar>
            <w:vAlign w:val="top"/>
          </w:tcPr>
          <w:p>
            <w:pPr>
              <w:spacing w:before="0" w:after="0" w:line="240" w:lineRule="atLeast"/>
              <w:rPr>
                <w:rFonts w:ascii="Arial" w:eastAsia="Arial" w:hAnsi="Arial" w:cs="Arial"/>
                <w:b/>
                <w:bCs/>
                <w:i w:val="0"/>
                <w:iCs w:val="0"/>
                <w:smallCaps w:val="0"/>
                <w:color w:val="FF0000"/>
                <w:sz w:val="24"/>
                <w:szCs w:val="24"/>
              </w:rPr>
            </w:pPr>
          </w:p>
        </w:tc>
        <w:tc>
          <w:tcPr>
            <w:tcW w:w="5052" w:type="dxa"/>
            <w:tcBorders>
              <w:top w:val="single" w:sz="4" w:space="0" w:color="000000"/>
              <w:left w:val="nil"/>
              <w:bottom w:val="single" w:sz="4" w:space="0" w:color="000000"/>
            </w:tcBorders>
            <w:noWrap w:val="0"/>
            <w:tcMar>
              <w:top w:w="28" w:type="dxa"/>
              <w:left w:w="57" w:type="dxa"/>
              <w:bottom w:w="28" w:type="dxa"/>
              <w:right w:w="33" w:type="dxa"/>
            </w:tcMar>
            <w:vAlign w:val="top"/>
          </w:tcPr>
          <w:p>
            <w:pPr>
              <w:spacing w:before="0" w:after="0" w:line="240" w:lineRule="atLeast"/>
              <w:rPr>
                <w:rFonts w:ascii="Arial" w:eastAsia="Arial" w:hAnsi="Arial" w:cs="Arial"/>
                <w:b w:val="0"/>
                <w:bCs w:val="0"/>
                <w:i w:val="0"/>
                <w:iCs w:val="0"/>
                <w:smallCaps w:val="0"/>
                <w:color w:val="000000"/>
                <w:sz w:val="24"/>
                <w:szCs w:val="24"/>
              </w:rPr>
            </w:pPr>
          </w:p>
        </w:tc>
      </w:tr>
      <w:tr>
        <w:tblPrEx>
          <w:tblCellMar>
            <w:top w:w="0" w:type="dxa"/>
            <w:left w:w="0" w:type="dxa"/>
            <w:bottom w:w="0" w:type="dxa"/>
            <w:right w:w="0" w:type="dxa"/>
          </w:tblCellMar>
        </w:tblPrEx>
        <w:tc>
          <w:tcPr>
            <w:tcW w:w="3974" w:type="dxa"/>
            <w:tcBorders>
              <w:top w:val="nil"/>
              <w:right w:val="single" w:sz="4" w:space="0" w:color="000000"/>
            </w:tcBorders>
            <w:noWrap w:val="0"/>
            <w:tcMar>
              <w:top w:w="28" w:type="dxa"/>
              <w:left w:w="62" w:type="dxa"/>
              <w:bottom w:w="28" w:type="dxa"/>
              <w:right w:w="28" w:type="dxa"/>
            </w:tcMar>
            <w:vAlign w:val="top"/>
            <w:hideMark/>
          </w:tcPr>
          <w:p>
            <w:pPr>
              <w:spacing w:before="0" w:after="0" w:line="240" w:lineRule="atLeast"/>
              <w:rPr>
                <w:b w:val="0"/>
                <w:bCs w:val="0"/>
                <w:i w:val="0"/>
                <w:iCs w:val="0"/>
                <w:smallCaps w:val="0"/>
                <w:color w:val="000000"/>
              </w:rPr>
            </w:pPr>
            <w:r>
              <w:rPr>
                <w:b/>
                <w:bCs/>
                <w:i w:val="0"/>
                <w:iCs w:val="0"/>
                <w:smallCaps w:val="0"/>
                <w:color w:val="000000"/>
              </w:rPr>
              <w:t>Company verified:</w:t>
            </w:r>
          </w:p>
        </w:tc>
        <w:tc>
          <w:tcPr>
            <w:tcW w:w="5047" w:type="dxa"/>
            <w:tcBorders>
              <w:top w:val="single" w:sz="4" w:space="0" w:color="000000"/>
              <w:left w:val="single" w:sz="4" w:space="0" w:color="000000"/>
              <w:bottom w:val="single" w:sz="4" w:space="0" w:color="000000"/>
              <w:right w:val="single" w:sz="4" w:space="0" w:color="000000"/>
            </w:tcBorders>
            <w:noWrap w:val="0"/>
            <w:tcMar>
              <w:top w:w="28" w:type="dxa"/>
              <w:left w:w="58" w:type="dxa"/>
              <w:bottom w:w="28" w:type="dxa"/>
              <w:right w:w="2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Michelin Tyre PLC</w:t>
            </w:r>
          </w:p>
        </w:tc>
      </w:tr>
    </w:tbl>
    <w:p>
      <w:pPr>
        <w:spacing w:before="0" w:after="0"/>
        <w:rPr>
          <w:rFonts w:ascii="Arial" w:eastAsia="Arial" w:hAnsi="Arial" w:cs="Arial"/>
          <w:sz w:val="24"/>
          <w:szCs w:val="24"/>
        </w:rPr>
      </w:pPr>
    </w:p>
    <w:p>
      <w:pPr>
        <w:spacing w:before="0" w:after="160"/>
      </w:pPr>
      <w:r>
        <w:t xml:space="preserve">For further details, please see the </w:t>
      </w:r>
      <w:hyperlink r:id="rId4" w:history="1">
        <w:r>
          <w:rPr>
            <w:color w:val="0563C1"/>
            <w:u w:val="single" w:color="0563C1"/>
          </w:rPr>
          <w:t>Notice of initiation</w:t>
        </w:r>
      </w:hyperlink>
      <w:r>
        <w:t xml:space="preserve"> on the public file.</w:t>
      </w:r>
      <w:r>
        <w:br w:type="page"/>
      </w:r>
    </w:p>
    <w:sdt>
      <w:sdtPr>
        <w:id w:val="674713837"/>
        <w:placeholder>
          <w:docPart w:val="DefaultPlaceholder_22675703"/>
        </w:placeholder>
        <w:richText/>
      </w:sdtPr>
      <w:sdtContent>
        <w:p>
          <w:pPr>
            <w:keepNext/>
            <w:keepLines/>
            <w:spacing w:before="240" w:after="0"/>
            <w:rPr>
              <w:sz w:val="32"/>
              <w:szCs w:val="32"/>
            </w:rPr>
          </w:pPr>
          <w:r>
            <w:rPr>
              <w:sz w:val="32"/>
              <w:szCs w:val="32"/>
            </w:rPr>
            <w:t>Contents</w:t>
          </w:r>
        </w:p>
        <w:p>
          <w:pPr>
            <w:spacing w:before="0" w:after="160"/>
            <w:rPr>
              <w:rFonts w:ascii="Arial" w:eastAsia="Arial" w:hAnsi="Arial" w:cs="Arial"/>
              <w:sz w:val="24"/>
              <w:szCs w:val="24"/>
            </w:rPr>
          </w:pPr>
        </w:p>
        <w:p>
          <w:pPr>
            <w:spacing w:before="120" w:after="220" w:line="240" w:lineRule="auto"/>
          </w:pPr>
          <w:r>
            <w:fldChar w:fldCharType="begin"/>
          </w:r>
          <w:r>
            <w:instrText xml:space="preserve"> TOC \o "1-3" \h \z \u </w:instrText>
          </w:r>
          <w:r>
            <w:fldChar w:fldCharType="separate"/>
          </w:r>
          <w:hyperlink w:anchor="_Toc164769584" w:history="1">
            <w:r>
              <w:rPr>
                <w:b/>
                <w:bCs/>
                <w:color w:val="000000"/>
              </w:rPr>
              <w:t>Executive Summary</w:t>
            </w:r>
          </w:hyperlink>
        </w:p>
        <w:p>
          <w:pPr>
            <w:spacing w:before="120" w:after="220" w:line="240" w:lineRule="auto"/>
          </w:pPr>
          <w:hyperlink w:anchor="_Toc164769585" w:history="1">
            <w:r>
              <w:rPr>
                <w:b/>
                <w:bCs/>
                <w:color w:val="000000"/>
              </w:rPr>
              <w:t>Purpose of verification</w:t>
            </w:r>
          </w:hyperlink>
        </w:p>
        <w:p>
          <w:pPr>
            <w:spacing w:before="120" w:after="220" w:line="240" w:lineRule="auto"/>
          </w:pPr>
          <w:hyperlink w:anchor="_Toc164769586" w:history="1">
            <w:r>
              <w:rPr>
                <w:b/>
                <w:bCs/>
                <w:color w:val="000000"/>
              </w:rPr>
              <w:t>Confidential information</w:t>
            </w:r>
          </w:hyperlink>
        </w:p>
        <w:p>
          <w:pPr>
            <w:spacing w:before="120" w:after="220" w:line="240" w:lineRule="auto"/>
          </w:pPr>
          <w:hyperlink w:anchor="_Toc164769587" w:history="1">
            <w:r>
              <w:rPr>
                <w:b/>
                <w:bCs/>
                <w:color w:val="000000"/>
              </w:rPr>
              <w:t>Verification</w:t>
            </w:r>
          </w:hyperlink>
        </w:p>
        <w:p>
          <w:pPr>
            <w:spacing w:before="0" w:after="100"/>
            <w:ind w:left="240"/>
          </w:pPr>
          <w:hyperlink w:anchor="_Toc164769588" w:history="1">
            <w:r>
              <w:rPr>
                <w:color w:val="000000"/>
              </w:rPr>
              <w:t>A. Company structure and associations</w:t>
            </w:r>
          </w:hyperlink>
        </w:p>
        <w:p>
          <w:pPr>
            <w:spacing w:before="0" w:after="100"/>
            <w:ind w:left="240"/>
          </w:pPr>
          <w:hyperlink w:anchor="_Toc164769589" w:history="1">
            <w:r>
              <w:rPr>
                <w:color w:val="000000"/>
              </w:rPr>
              <w:t>B. Goods</w:t>
            </w:r>
          </w:hyperlink>
        </w:p>
        <w:p>
          <w:pPr>
            <w:spacing w:before="0" w:after="100"/>
            <w:ind w:left="240"/>
          </w:pPr>
          <w:hyperlink w:anchor="_Toc164769590" w:history="1">
            <w:r>
              <w:rPr>
                <w:color w:val="000000"/>
              </w:rPr>
              <w:t>C. Costs</w:t>
            </w:r>
          </w:hyperlink>
        </w:p>
        <w:p>
          <w:pPr>
            <w:spacing w:before="0" w:after="100"/>
            <w:ind w:left="240"/>
          </w:pPr>
          <w:hyperlink w:anchor="_Toc164769591" w:history="1">
            <w:r>
              <w:rPr>
                <w:color w:val="000000"/>
              </w:rPr>
              <w:t>D. Sales</w:t>
            </w:r>
          </w:hyperlink>
        </w:p>
        <w:p>
          <w:pPr>
            <w:spacing w:before="0" w:after="100"/>
            <w:ind w:left="240"/>
          </w:pPr>
          <w:hyperlink w:anchor="_Toc164769592" w:history="1">
            <w:r>
              <w:rPr>
                <w:color w:val="000000"/>
              </w:rPr>
              <w:t>E. Injury</w:t>
            </w:r>
          </w:hyperlink>
        </w:p>
        <w:p>
          <w:pPr>
            <w:spacing w:before="0" w:after="100"/>
            <w:ind w:left="240"/>
          </w:pPr>
          <w:hyperlink w:anchor="_Toc164769593" w:history="1">
            <w:r>
              <w:rPr>
                <w:color w:val="000000"/>
              </w:rPr>
              <w:t>F. Economic Interest Test</w:t>
            </w:r>
          </w:hyperlink>
        </w:p>
        <w:p>
          <w:pPr>
            <w:spacing w:before="120" w:after="220" w:line="240" w:lineRule="auto"/>
          </w:pPr>
          <w:hyperlink w:anchor="_Toc164769594" w:history="1">
            <w:r>
              <w:rPr>
                <w:b/>
                <w:bCs/>
                <w:color w:val="000000"/>
              </w:rPr>
              <w:t>Conclusions</w:t>
            </w:r>
          </w:hyperlink>
        </w:p>
        <w:p>
          <w:pPr>
            <w:spacing w:before="120" w:after="220" w:line="240" w:lineRule="auto"/>
          </w:pPr>
          <w:hyperlink w:anchor="_Toc164769595" w:history="1">
            <w:r>
              <w:rPr>
                <w:b/>
                <w:bCs/>
                <w:color w:val="000000"/>
              </w:rPr>
              <w:t>Annexes</w:t>
            </w:r>
          </w:hyperlink>
        </w:p>
        <w:p>
          <w:pPr>
            <w:spacing w:before="0" w:after="100"/>
            <w:ind w:left="240"/>
          </w:pPr>
          <w:hyperlink w:anchor="_Toc164769596" w:history="1">
            <w:r>
              <w:rPr>
                <w:color w:val="000000"/>
              </w:rPr>
              <w:t>Annex 1: Meetings</w:t>
            </w:r>
          </w:hyperlink>
        </w:p>
        <w:p>
          <w:pPr>
            <w:spacing w:before="0" w:after="160"/>
            <w:rPr>
              <w:rFonts w:ascii="Arial" w:eastAsia="Arial" w:hAnsi="Arial" w:cs="Arial"/>
              <w:sz w:val="24"/>
              <w:szCs w:val="24"/>
            </w:rPr>
          </w:pPr>
          <w:r>
            <w:fldChar w:fldCharType="end"/>
          </w:r>
        </w:p>
      </w:sdtContent>
    </w:sdt>
    <w:p>
      <w:pPr>
        <w:spacing w:before="0" w:after="160"/>
      </w:pPr>
      <w:r>
        <w:br w:type="page"/>
      </w:r>
    </w:p>
    <w:p>
      <w:pPr>
        <w:pStyle w:val="Heading1"/>
        <w:spacing w:before="0" w:line="320" w:lineRule="atLeast"/>
        <w:rPr>
          <w:b/>
          <w:bCs/>
          <w:sz w:val="48"/>
          <w:szCs w:val="48"/>
        </w:rPr>
      </w:pPr>
      <w:bookmarkStart w:id="0" w:name="_Toc164769584"/>
      <w:r>
        <w:rPr>
          <w:rFonts w:ascii="Arial" w:eastAsia="Arial" w:hAnsi="Arial" w:cs="Arial"/>
          <w:b w:val="0"/>
          <w:bCs w:val="0"/>
          <w:i w:val="0"/>
          <w:color w:val="auto"/>
          <w:sz w:val="32"/>
          <w:szCs w:val="32"/>
        </w:rPr>
        <w:t>Executive Summary</w:t>
      </w:r>
      <w:bookmarkEnd w:id="0"/>
    </w:p>
    <w:p>
      <w:pPr>
        <w:spacing w:before="0" w:after="0" w:line="240" w:lineRule="atLeast"/>
        <w:rPr>
          <w:rFonts w:ascii="Arial" w:eastAsia="Arial" w:hAnsi="Arial" w:cs="Arial"/>
          <w:sz w:val="24"/>
          <w:szCs w:val="24"/>
        </w:rPr>
      </w:pPr>
    </w:p>
    <w:p>
      <w:pPr>
        <w:spacing w:before="0" w:after="0" w:line="240" w:lineRule="atLeast"/>
      </w:pPr>
      <w:r>
        <w:t>On 3 May 2023, the Trade Remedies Authority (TRA) initiated a transition review of an anti-dumping measure on certain pneumatic tyres used for buses or lorries originating in the People’s Republic of China (PRC), henceforth referred to as the ‘goods subject to review’.</w:t>
      </w:r>
    </w:p>
    <w:p>
      <w:pPr>
        <w:spacing w:before="0" w:after="0" w:line="240" w:lineRule="atLeast"/>
        <w:rPr>
          <w:rFonts w:ascii="Arial" w:eastAsia="Arial" w:hAnsi="Arial" w:cs="Arial"/>
          <w:sz w:val="24"/>
          <w:szCs w:val="24"/>
        </w:rPr>
      </w:pPr>
    </w:p>
    <w:p>
      <w:pPr>
        <w:spacing w:before="0" w:after="0" w:line="240" w:lineRule="atLeast"/>
      </w:pPr>
      <w:r>
        <w:t>As part of this review, the TRA sought to assess the completeness, relevance, and accuracy of the information submitted in the questionnaire response from domestic producer Michelin Tyre PLC (henceforth referred to as 'the company’). This information covered its company structure and operations, the goods it produces, costs and production figures, sales figures, and data relevant for assessment of injury and the economic impact of varying or revoking the measure.</w:t>
      </w:r>
    </w:p>
    <w:p>
      <w:pPr>
        <w:spacing w:before="0" w:after="0" w:line="240" w:lineRule="atLeast"/>
        <w:rPr>
          <w:rFonts w:ascii="Arial" w:eastAsia="Arial" w:hAnsi="Arial" w:cs="Arial"/>
          <w:sz w:val="24"/>
          <w:szCs w:val="24"/>
        </w:rPr>
      </w:pPr>
    </w:p>
    <w:p>
      <w:pPr>
        <w:spacing w:before="0" w:after="0" w:line="240" w:lineRule="atLeast"/>
      </w:pPr>
      <w:r>
        <w:t xml:space="preserve">During the verification process, the TRA compared the company’s questionnaire response, including the data submitted in the annexes and other accompanying information submitted as appendices, to information from open sources, such as Companies House, His Majesty’s Revenue &amp; Customs (HMRC), and the company’s website. We checked information for internal consistency and reconciled financial data to the published financial statements </w:t>
      </w:r>
      <w:r>
        <w:rPr>
          <w:i/>
          <w:iCs/>
        </w:rPr>
        <w:t>[Confidential information relating to the internal organisation of Michelin accounting and management operation]</w:t>
      </w:r>
      <w:r>
        <w:t>.</w:t>
      </w:r>
    </w:p>
    <w:p>
      <w:pPr>
        <w:spacing w:before="0" w:after="0" w:line="240" w:lineRule="atLeast"/>
        <w:rPr>
          <w:rFonts w:ascii="Arial" w:eastAsia="Arial" w:hAnsi="Arial" w:cs="Arial"/>
          <w:sz w:val="24"/>
          <w:szCs w:val="24"/>
        </w:rPr>
      </w:pPr>
    </w:p>
    <w:p>
      <w:pPr>
        <w:spacing w:before="0" w:after="0" w:line="240" w:lineRule="atLeast"/>
      </w:pPr>
      <w:r>
        <w:t>The TRA conducted a systems walkthrough during a verification visit to gain an appreciation of the accounting systems and processes used by the company. We had previously conducted a familiarisation visit, including a factory tour, to aid our understanding of the production process. During the verification visit we provided the company the opportunity to clarify outstanding questions.</w:t>
      </w:r>
    </w:p>
    <w:p>
      <w:pPr>
        <w:spacing w:before="0" w:after="0" w:line="240" w:lineRule="atLeast"/>
        <w:rPr>
          <w:rFonts w:ascii="Arial" w:eastAsia="Arial" w:hAnsi="Arial" w:cs="Arial"/>
          <w:sz w:val="24"/>
          <w:szCs w:val="24"/>
        </w:rPr>
      </w:pPr>
    </w:p>
    <w:p>
      <w:pPr>
        <w:spacing w:before="0" w:after="0" w:line="240" w:lineRule="atLeast"/>
      </w:pPr>
      <w:r>
        <w:t xml:space="preserve">The TRA does not have any concerns to report in respect of the questionnaire response submitted by the company. We were able to corroborate the information provided in the company’s questionnaire response, annex data, and all other submissions and evidence provided during the verification process on a sample basis. </w:t>
      </w:r>
    </w:p>
    <w:p>
      <w:pPr>
        <w:spacing w:before="0" w:after="0" w:line="240" w:lineRule="atLeast"/>
        <w:rPr>
          <w:rFonts w:ascii="Arial" w:eastAsia="Arial" w:hAnsi="Arial" w:cs="Arial"/>
          <w:sz w:val="24"/>
          <w:szCs w:val="24"/>
        </w:rPr>
      </w:pPr>
    </w:p>
    <w:p>
      <w:pPr>
        <w:spacing w:before="0" w:after="0" w:line="240" w:lineRule="atLeast"/>
      </w:pPr>
      <w:r>
        <w:t xml:space="preserve">Based on the verification activities we have undertaken, we have concluded that we have a reasonable level of assurance on the completeness, relevance and accuracy of the information provided by the company and we can use it to inform our decisions. </w:t>
      </w:r>
    </w:p>
    <w:p>
      <w:pPr>
        <w:spacing w:before="0" w:after="0" w:line="240" w:lineRule="atLeast"/>
        <w:rPr>
          <w:rFonts w:ascii="Arial" w:eastAsia="Arial" w:hAnsi="Arial" w:cs="Arial"/>
          <w:sz w:val="24"/>
          <w:szCs w:val="24"/>
        </w:rPr>
      </w:pPr>
    </w:p>
    <w:p>
      <w:pPr>
        <w:spacing w:before="0" w:after="0" w:line="240" w:lineRule="atLeast"/>
        <w:rPr>
          <w:rFonts w:ascii="Arial" w:eastAsia="Arial" w:hAnsi="Arial" w:cs="Arial"/>
          <w:sz w:val="24"/>
          <w:szCs w:val="24"/>
        </w:rPr>
      </w:pPr>
    </w:p>
    <w:p>
      <w:pPr>
        <w:pStyle w:val="Heading1"/>
        <w:spacing w:before="0" w:line="320" w:lineRule="atLeast"/>
        <w:rPr>
          <w:b/>
          <w:bCs/>
          <w:sz w:val="48"/>
          <w:szCs w:val="48"/>
        </w:rPr>
      </w:pPr>
      <w:bookmarkStart w:id="1" w:name="_Toc164769585"/>
      <w:r>
        <w:rPr>
          <w:rFonts w:ascii="Arial" w:eastAsia="Arial" w:hAnsi="Arial" w:cs="Arial"/>
          <w:b w:val="0"/>
          <w:bCs w:val="0"/>
          <w:i w:val="0"/>
          <w:color w:val="auto"/>
          <w:sz w:val="32"/>
          <w:szCs w:val="32"/>
        </w:rPr>
        <w:t>Purpose of verification</w:t>
      </w:r>
      <w:bookmarkEnd w:id="1"/>
    </w:p>
    <w:p>
      <w:pPr>
        <w:spacing w:before="0" w:after="0" w:line="240" w:lineRule="atLeast"/>
        <w:rPr>
          <w:rFonts w:ascii="Arial" w:eastAsia="Arial" w:hAnsi="Arial" w:cs="Arial"/>
          <w:sz w:val="24"/>
          <w:szCs w:val="24"/>
        </w:rPr>
      </w:pPr>
    </w:p>
    <w:p>
      <w:pPr>
        <w:spacing w:before="0" w:after="0" w:line="240" w:lineRule="atLeast"/>
      </w:pPr>
      <w:r>
        <w:t>The purpose of the TRA’s verification activity is to provide the assurance considered necessary to make a decision as to whether the information (data) provided by the company is verifiable and can be used to inform our decisions. Such information may then be considered in our assessments and analysis to determine whether injury to the UK industry is caused or likely to be caused by dumped imports of the goods subject to review.</w:t>
      </w:r>
      <w:r>
        <w:rPr>
          <w:i/>
          <w:iCs/>
          <w:color w:val="C00000"/>
          <w:sz w:val="22"/>
          <w:szCs w:val="22"/>
        </w:rPr>
        <w:t xml:space="preserve"> </w:t>
      </w:r>
      <w:r>
        <w:t xml:space="preserve">This will form the basis for establishing appropriate measures where necessary, and to assess whether these are in the UK’s economic interest. </w:t>
      </w:r>
    </w:p>
    <w:p>
      <w:pPr>
        <w:spacing w:before="0" w:after="0" w:line="240" w:lineRule="atLeast"/>
        <w:rPr>
          <w:rFonts w:ascii="Arial" w:eastAsia="Arial" w:hAnsi="Arial" w:cs="Arial"/>
          <w:sz w:val="24"/>
          <w:szCs w:val="24"/>
        </w:rPr>
      </w:pPr>
    </w:p>
    <w:p>
      <w:pPr>
        <w:spacing w:before="0" w:after="0" w:line="240" w:lineRule="atLeast"/>
      </w:pPr>
      <w:r>
        <w:t xml:space="preserve">We carried out verification activity using desk-based procedures, remote analysis and on-site work. The activity undertaken did not seek to verify all information provided but to undertake the work considered appropriate and possible within the time constraints of the investigation to obtain assurance on which to base a decision. </w:t>
      </w:r>
      <w:r>
        <w:t xml:space="preserve"> </w:t>
      </w:r>
    </w:p>
    <w:p>
      <w:pPr>
        <w:spacing w:before="0" w:after="0" w:line="240" w:lineRule="atLeast"/>
        <w:rPr>
          <w:rFonts w:ascii="Arial" w:eastAsia="Arial" w:hAnsi="Arial" w:cs="Arial"/>
          <w:sz w:val="24"/>
          <w:szCs w:val="24"/>
        </w:rPr>
      </w:pPr>
    </w:p>
    <w:p>
      <w:pPr>
        <w:spacing w:before="0" w:after="0" w:line="240" w:lineRule="atLeast"/>
      </w:pPr>
      <w:r>
        <w:t>This verification report documents the work that the TRA has completed, the checks we have carried out, and conclusions we have reached about the reliability of information provided by the interested party.</w:t>
      </w:r>
    </w:p>
    <w:p>
      <w:pPr>
        <w:spacing w:before="0" w:after="0" w:line="240" w:lineRule="atLeast"/>
        <w:rPr>
          <w:rFonts w:ascii="Arial" w:eastAsia="Arial" w:hAnsi="Arial" w:cs="Arial"/>
          <w:sz w:val="24"/>
          <w:szCs w:val="24"/>
        </w:rPr>
      </w:pPr>
    </w:p>
    <w:p>
      <w:pPr>
        <w:spacing w:before="0" w:after="0" w:line="240" w:lineRule="atLeast"/>
        <w:rPr>
          <w:rFonts w:ascii="Arial" w:eastAsia="Arial" w:hAnsi="Arial" w:cs="Arial"/>
          <w:sz w:val="24"/>
          <w:szCs w:val="24"/>
        </w:rPr>
      </w:pPr>
    </w:p>
    <w:p>
      <w:pPr>
        <w:pStyle w:val="Heading1"/>
        <w:spacing w:before="0" w:line="320" w:lineRule="atLeast"/>
        <w:rPr>
          <w:b/>
          <w:bCs/>
          <w:sz w:val="48"/>
          <w:szCs w:val="48"/>
        </w:rPr>
      </w:pPr>
      <w:bookmarkStart w:id="2" w:name="_Confidential_information"/>
      <w:bookmarkStart w:id="3" w:name="_Toc164769586"/>
      <w:bookmarkEnd w:id="2"/>
      <w:r>
        <w:rPr>
          <w:rFonts w:ascii="Arial" w:eastAsia="Arial" w:hAnsi="Arial" w:cs="Arial"/>
          <w:b w:val="0"/>
          <w:bCs w:val="0"/>
          <w:i w:val="0"/>
          <w:color w:val="auto"/>
          <w:sz w:val="32"/>
          <w:szCs w:val="32"/>
        </w:rPr>
        <w:t>Confidential information</w:t>
      </w:r>
      <w:bookmarkEnd w:id="3"/>
    </w:p>
    <w:p>
      <w:pPr>
        <w:spacing w:before="0" w:after="0" w:line="240" w:lineRule="atLeast"/>
        <w:rPr>
          <w:rFonts w:ascii="Arial" w:eastAsia="Arial" w:hAnsi="Arial" w:cs="Arial"/>
          <w:sz w:val="24"/>
          <w:szCs w:val="24"/>
        </w:rPr>
      </w:pPr>
    </w:p>
    <w:p>
      <w:pPr>
        <w:spacing w:before="0" w:after="0" w:line="240" w:lineRule="atLeast"/>
      </w:pPr>
      <w:r>
        <w:t xml:space="preserve">The interested party must provide a non-confidential version of the verification report marked as ‘non-confidential’ in the header of that report. </w:t>
      </w:r>
    </w:p>
    <w:p>
      <w:pPr>
        <w:spacing w:before="0" w:after="0" w:line="240" w:lineRule="atLeast"/>
        <w:rPr>
          <w:rFonts w:ascii="Arial" w:eastAsia="Arial" w:hAnsi="Arial" w:cs="Arial"/>
          <w:sz w:val="24"/>
          <w:szCs w:val="24"/>
        </w:rPr>
      </w:pPr>
    </w:p>
    <w:p>
      <w:pPr>
        <w:spacing w:before="0" w:after="0" w:line="240" w:lineRule="atLeast"/>
      </w:pPr>
      <w:r>
        <w:t xml:space="preserve">If any information contained in the confidential verification report is considered confidential, the company should delete or redact those sections and provide a non-confidential summary of the information which has been removed. It must provide reasons as to why the particular information is considered confidential (see also </w:t>
      </w:r>
      <w:hyperlink r:id="rId5" w:anchor="confidential-information-and-non-confidential-summaries" w:history="1">
        <w:r>
          <w:rPr>
            <w:i/>
            <w:iCs/>
            <w:color w:val="0563C1"/>
            <w:u w:val="single" w:color="0563C1"/>
          </w:rPr>
          <w:t>public guidance</w:t>
        </w:r>
      </w:hyperlink>
      <w:r>
        <w:t xml:space="preserve">). </w:t>
      </w:r>
    </w:p>
    <w:p>
      <w:pPr>
        <w:spacing w:before="0" w:after="0" w:line="240" w:lineRule="atLeast"/>
        <w:rPr>
          <w:rFonts w:ascii="Arial" w:eastAsia="Arial" w:hAnsi="Arial" w:cs="Arial"/>
          <w:sz w:val="24"/>
          <w:szCs w:val="24"/>
        </w:rPr>
      </w:pPr>
    </w:p>
    <w:p>
      <w:pPr>
        <w:spacing w:before="0" w:after="0" w:line="240" w:lineRule="atLeast"/>
      </w:pPr>
      <w:r>
        <w:t>The non-confidential version of the verification report will be placed on the public file.</w:t>
      </w:r>
      <w:r>
        <w:rPr>
          <w:color w:val="FF0000"/>
        </w:rPr>
        <w:t xml:space="preserve"> </w:t>
      </w:r>
      <w:r>
        <w:t xml:space="preserve"> </w:t>
      </w:r>
    </w:p>
    <w:p>
      <w:pPr>
        <w:spacing w:before="0" w:after="0" w:line="240" w:lineRule="atLeast"/>
        <w:rPr>
          <w:rFonts w:ascii="Arial" w:eastAsia="Arial" w:hAnsi="Arial" w:cs="Arial"/>
          <w:sz w:val="24"/>
          <w:szCs w:val="24"/>
        </w:rPr>
      </w:pPr>
    </w:p>
    <w:p>
      <w:pPr>
        <w:spacing w:before="0" w:after="0" w:line="240" w:lineRule="atLeast"/>
      </w:pPr>
      <w:r>
        <w:br w:type="page"/>
      </w:r>
    </w:p>
    <w:p>
      <w:pPr>
        <w:pStyle w:val="Heading1"/>
        <w:spacing w:before="0" w:line="320" w:lineRule="atLeast"/>
        <w:rPr>
          <w:b/>
          <w:bCs/>
          <w:sz w:val="48"/>
          <w:szCs w:val="48"/>
        </w:rPr>
      </w:pPr>
      <w:bookmarkStart w:id="4" w:name="_Toc164769587"/>
      <w:r>
        <w:rPr>
          <w:rFonts w:ascii="Arial" w:eastAsia="Arial" w:hAnsi="Arial" w:cs="Arial"/>
          <w:b w:val="0"/>
          <w:bCs w:val="0"/>
          <w:i w:val="0"/>
          <w:color w:val="auto"/>
          <w:sz w:val="32"/>
          <w:szCs w:val="32"/>
        </w:rPr>
        <w:t>Verification</w:t>
      </w:r>
      <w:bookmarkEnd w:id="4"/>
      <w:r>
        <w:rPr>
          <w:rFonts w:ascii="Arial" w:eastAsia="Arial" w:hAnsi="Arial" w:cs="Arial"/>
          <w:b w:val="0"/>
          <w:bCs w:val="0"/>
          <w:i w:val="0"/>
          <w:color w:val="auto"/>
          <w:sz w:val="32"/>
          <w:szCs w:val="32"/>
        </w:rPr>
        <w:t xml:space="preserve"> </w:t>
      </w:r>
    </w:p>
    <w:p>
      <w:pPr>
        <w:spacing w:before="0" w:after="0" w:line="220" w:lineRule="atLeast"/>
        <w:rPr>
          <w:rFonts w:ascii="Arial" w:eastAsia="Arial" w:hAnsi="Arial" w:cs="Arial"/>
          <w:sz w:val="22"/>
          <w:szCs w:val="22"/>
        </w:rPr>
      </w:pPr>
    </w:p>
    <w:p>
      <w:pPr>
        <w:spacing w:before="0" w:after="160"/>
      </w:pPr>
      <w:r>
        <w:t>Please find below a summary of work that has been completed and the checks that have been carried out by the TRA to determine whether the information provided by the interested party in its questionnaire response is verifiable.</w:t>
      </w:r>
    </w:p>
    <w:p>
      <w:pPr>
        <w:spacing w:before="0" w:after="0" w:line="240" w:lineRule="atLeast"/>
        <w:rPr>
          <w:rFonts w:ascii="Arial" w:eastAsia="Arial" w:hAnsi="Arial" w:cs="Arial"/>
          <w:sz w:val="24"/>
          <w:szCs w:val="24"/>
        </w:rPr>
      </w:pPr>
    </w:p>
    <w:p>
      <w:pPr>
        <w:pStyle w:val="Heading2"/>
        <w:spacing w:before="0" w:line="280" w:lineRule="atLeast"/>
        <w:rPr>
          <w:b/>
          <w:bCs/>
          <w:sz w:val="36"/>
          <w:szCs w:val="36"/>
        </w:rPr>
      </w:pPr>
      <w:bookmarkStart w:id="5" w:name="_Toc164769588"/>
      <w:r>
        <w:rPr>
          <w:rFonts w:ascii="Arial" w:eastAsia="Arial" w:hAnsi="Arial" w:cs="Arial"/>
          <w:b w:val="0"/>
          <w:bCs w:val="0"/>
          <w:i w:val="0"/>
          <w:color w:val="auto"/>
          <w:sz w:val="28"/>
          <w:szCs w:val="28"/>
        </w:rPr>
        <w:t xml:space="preserve">A. </w:t>
      </w:r>
      <w:bookmarkStart w:id="6" w:name="_Hlk87255064"/>
      <w:r>
        <w:rPr>
          <w:rFonts w:ascii="Arial" w:eastAsia="Arial" w:hAnsi="Arial" w:cs="Arial"/>
          <w:b w:val="0"/>
          <w:bCs w:val="0"/>
          <w:i w:val="0"/>
          <w:color w:val="auto"/>
          <w:sz w:val="28"/>
          <w:szCs w:val="28"/>
        </w:rPr>
        <w:t>Company structure and associations</w:t>
      </w:r>
      <w:bookmarkEnd w:id="5"/>
      <w:r>
        <w:rPr>
          <w:rFonts w:ascii="Arial" w:eastAsia="Arial" w:hAnsi="Arial" w:cs="Arial"/>
          <w:b w:val="0"/>
          <w:bCs w:val="0"/>
          <w:i w:val="0"/>
          <w:color w:val="auto"/>
          <w:sz w:val="28"/>
          <w:szCs w:val="28"/>
        </w:rPr>
        <w:t xml:space="preserve"> </w:t>
      </w:r>
      <w:bookmarkEnd w:id="6"/>
    </w:p>
    <w:p>
      <w:pPr>
        <w:spacing w:before="0" w:after="0" w:line="120" w:lineRule="atLeast"/>
        <w:rPr>
          <w:rFonts w:ascii="Arial" w:eastAsia="Arial" w:hAnsi="Arial" w:cs="Arial"/>
          <w:sz w:val="12"/>
          <w:szCs w:val="12"/>
        </w:rPr>
      </w:pPr>
    </w:p>
    <w:tbl>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9020"/>
      </w:tblGrid>
      <w:tr>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020" w:type="dxa"/>
            <w:tcBorders>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What information was considered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We considered information relating to:</w:t>
            </w:r>
          </w:p>
          <w:p>
            <w:pPr>
              <w:numPr>
                <w:ilvl w:val="0"/>
                <w:numId w:val="1"/>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ownership and organisational structure of the company;</w:t>
            </w:r>
          </w:p>
          <w:p>
            <w:pPr>
              <w:numPr>
                <w:ilvl w:val="0"/>
                <w:numId w:val="1"/>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company role and business activities;</w:t>
            </w:r>
          </w:p>
          <w:p>
            <w:pPr>
              <w:numPr>
                <w:ilvl w:val="0"/>
                <w:numId w:val="1"/>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facility locations;</w:t>
            </w:r>
          </w:p>
          <w:p>
            <w:pPr>
              <w:numPr>
                <w:ilvl w:val="0"/>
                <w:numId w:val="1"/>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accounting practices;</w:t>
            </w:r>
          </w:p>
          <w:p>
            <w:pPr>
              <w:numPr>
                <w:ilvl w:val="0"/>
                <w:numId w:val="1"/>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associated companies;</w:t>
            </w:r>
          </w:p>
          <w:p>
            <w:pPr>
              <w:numPr>
                <w:ilvl w:val="0"/>
                <w:numId w:val="1"/>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events in business history.</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60" w:lineRule="atLeast"/>
              <w:rPr>
                <w:rFonts w:ascii="Arial" w:eastAsia="Arial" w:hAnsi="Arial" w:cs="Arial"/>
                <w:b w:val="0"/>
                <w:bCs w:val="0"/>
                <w:i w:val="0"/>
                <w:iCs w:val="0"/>
                <w:smallCaps w:val="0"/>
                <w:color w:val="000000"/>
                <w:sz w:val="16"/>
                <w:szCs w:val="16"/>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How the information was checked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The TRA cross-checked the information provided by the company on ownership, structure, business activities, facility locations, accounting practices, and associated parties by examining information from the company’s own website, and information from Companies House including:</w:t>
            </w:r>
          </w:p>
          <w:p>
            <w:pPr>
              <w:numPr>
                <w:ilvl w:val="0"/>
                <w:numId w:val="2"/>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company’s profile on Companies House;</w:t>
            </w:r>
          </w:p>
          <w:p>
            <w:pPr>
              <w:numPr>
                <w:ilvl w:val="0"/>
                <w:numId w:val="2"/>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profiles of the company’s directors;</w:t>
            </w:r>
          </w:p>
          <w:p>
            <w:pPr>
              <w:numPr>
                <w:ilvl w:val="0"/>
                <w:numId w:val="2"/>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documents published on the company’s page on Companies House, including the published financial statements for the year ended 31 December 2022.</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We found the information from Companies House to be consistent with the information provided by the company in its questionnaire response.</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We also compared the information submitted by the company against its own website, confirming its product range and location of its facilities. Again, the information was consistent, and no issues were found.</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We confirmed information submitted by the company on certain events in its business history against press reports from the company website, as well as external news sources. The information from all sources was consistent with that submitted for the review.</w:t>
            </w:r>
          </w:p>
          <w:p>
            <w:pPr>
              <w:spacing w:before="0" w:after="0" w:line="240" w:lineRule="auto"/>
              <w:rPr>
                <w:b w:val="0"/>
                <w:bCs w:val="0"/>
                <w:i w:val="0"/>
                <w:iCs w:val="0"/>
                <w:smallCaps w:val="0"/>
                <w:color w:val="000000"/>
              </w:rPr>
            </w:pPr>
            <w:r>
              <w:rPr>
                <w:b w:val="0"/>
                <w:bCs w:val="0"/>
                <w:i w:val="0"/>
                <w:iCs w:val="0"/>
                <w:smallCaps w:val="0"/>
                <w:color w:val="000000"/>
              </w:rPr>
              <w:t>We assessed the reliability of the published financial statements for the year ended 31 December 2022. We confirmed that:</w:t>
            </w:r>
          </w:p>
          <w:p>
            <w:pPr>
              <w:numPr>
                <w:ilvl w:val="0"/>
                <w:numId w:val="3"/>
              </w:numPr>
              <w:pBdr>
                <w:left w:val="none" w:sz="0" w:space="7" w:color="auto"/>
              </w:pBdr>
              <w:spacing w:before="0" w:line="240" w:lineRule="auto"/>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financial statements for the POI were independently audited and prepared in accordance with the UK Generally Accepted Accounting Practice (UK GAAP).</w:t>
            </w:r>
          </w:p>
          <w:p>
            <w:pPr>
              <w:numPr>
                <w:ilvl w:val="0"/>
                <w:numId w:val="3"/>
              </w:numPr>
              <w:pBdr>
                <w:left w:val="none" w:sz="0" w:space="7" w:color="auto"/>
              </w:pBdr>
              <w:spacing w:after="0" w:line="240" w:lineRule="auto"/>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auditors had concluded that the accounts were ‘true and fair’ and there were no qualifications made.</w:t>
            </w:r>
          </w:p>
          <w:p>
            <w:pPr>
              <w:spacing w:before="0" w:after="0" w:line="240" w:lineRule="auto"/>
              <w:rPr>
                <w:rFonts w:ascii="Arial" w:eastAsia="Arial" w:hAnsi="Arial" w:cs="Arial"/>
                <w:b w:val="0"/>
                <w:bCs w:val="0"/>
                <w:i w:val="0"/>
                <w:iCs w:val="0"/>
                <w:smallCaps w:val="0"/>
                <w:color w:val="000000"/>
                <w:sz w:val="22"/>
                <w:szCs w:val="22"/>
              </w:rPr>
            </w:pPr>
          </w:p>
          <w:p>
            <w:pPr>
              <w:spacing w:before="0" w:after="0" w:line="240" w:lineRule="atLeast"/>
              <w:rPr>
                <w:b w:val="0"/>
                <w:bCs w:val="0"/>
                <w:i w:val="0"/>
                <w:iCs w:val="0"/>
                <w:smallCaps w:val="0"/>
                <w:color w:val="000000"/>
              </w:rPr>
            </w:pPr>
            <w:r>
              <w:rPr>
                <w:b w:val="0"/>
                <w:bCs w:val="0"/>
                <w:i w:val="0"/>
                <w:iCs w:val="0"/>
                <w:smallCaps w:val="0"/>
                <w:color w:val="000000"/>
              </w:rPr>
              <w:t>We conducted a walkthrough of the company’s business software to understand how it is used. During this walkthrough, we followed the audit trail of two selected transactions and were provided with screenshots and supporting evidence of the company’s sales and purchasing processes. Based on the walkthrough, we have a reasonable level of assurance that the accounting systems used by the company are sufficiently reliable for the TRA to rely on its data submission.</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40" w:lineRule="atLeast"/>
              <w:rPr>
                <w:rFonts w:ascii="Arial" w:eastAsia="Arial" w:hAnsi="Arial" w:cs="Arial"/>
                <w:b w:val="0"/>
                <w:bCs w:val="0"/>
                <w:i w:val="0"/>
                <w:iCs w:val="0"/>
                <w:smallCaps w:val="0"/>
                <w:color w:val="000000"/>
                <w:sz w:val="14"/>
                <w:szCs w:val="14"/>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Exceptions/Findings/Adjustments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 xml:space="preserve">The TRA has no exceptions, findings or adjustments to report with regard to the company’s structure and associations. </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Conclusions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The information relating to company structure and associations that we have been provided by the interested party is verifiable. Based on the work we have done, we have a reasonable level of assurance that the information can be treated as complete, relevant and accurate and can therefore be used by the TRA for any purpose within the review.</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tcBorders>
            <w:noWrap w:val="0"/>
            <w:tcMar>
              <w:top w:w="85" w:type="dxa"/>
              <w:left w:w="108" w:type="dxa"/>
              <w:bottom w:w="85" w:type="dxa"/>
              <w:right w:w="108" w:type="dxa"/>
            </w:tcMar>
            <w:vAlign w:val="center"/>
          </w:tcPr>
          <w:p>
            <w:pPr>
              <w:spacing w:before="0" w:after="0" w:line="140" w:lineRule="atLeast"/>
              <w:rPr>
                <w:rFonts w:ascii="Arial" w:eastAsia="Arial" w:hAnsi="Arial" w:cs="Arial"/>
                <w:b w:val="0"/>
                <w:bCs w:val="0"/>
                <w:i w:val="0"/>
                <w:iCs w:val="0"/>
                <w:smallCaps w:val="0"/>
                <w:color w:val="000000"/>
                <w:sz w:val="14"/>
                <w:szCs w:val="14"/>
              </w:rPr>
            </w:pPr>
          </w:p>
        </w:tc>
      </w:tr>
    </w:tbl>
    <w:p>
      <w:pPr>
        <w:spacing w:before="0" w:after="160" w:line="220" w:lineRule="atLeast"/>
        <w:rPr>
          <w:rFonts w:ascii="Arial" w:eastAsia="Arial" w:hAnsi="Arial" w:cs="Arial"/>
          <w:sz w:val="22"/>
          <w:szCs w:val="22"/>
        </w:rPr>
      </w:pPr>
    </w:p>
    <w:p>
      <w:pPr>
        <w:pStyle w:val="Heading2"/>
        <w:spacing w:before="0" w:line="280" w:lineRule="atLeast"/>
        <w:rPr>
          <w:b/>
          <w:bCs/>
          <w:sz w:val="36"/>
          <w:szCs w:val="36"/>
        </w:rPr>
      </w:pPr>
      <w:bookmarkStart w:id="7" w:name="_Toc164769589"/>
      <w:r>
        <w:rPr>
          <w:rFonts w:ascii="Arial" w:eastAsia="Arial" w:hAnsi="Arial" w:cs="Arial"/>
          <w:b w:val="0"/>
          <w:bCs w:val="0"/>
          <w:i w:val="0"/>
          <w:color w:val="auto"/>
          <w:sz w:val="28"/>
          <w:szCs w:val="28"/>
        </w:rPr>
        <w:t>B. Goods</w:t>
      </w:r>
      <w:bookmarkEnd w:id="7"/>
    </w:p>
    <w:p>
      <w:pPr>
        <w:spacing w:before="0" w:after="0" w:line="120" w:lineRule="atLeast"/>
        <w:rPr>
          <w:rFonts w:ascii="Arial" w:eastAsia="Arial" w:hAnsi="Arial" w:cs="Arial"/>
          <w:sz w:val="12"/>
          <w:szCs w:val="12"/>
        </w:rPr>
      </w:pPr>
    </w:p>
    <w:tbl>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9020"/>
      </w:tblGrid>
      <w:tr>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020" w:type="dxa"/>
            <w:tcBorders>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What information was considered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We considered the following information relating to:</w:t>
            </w:r>
          </w:p>
          <w:p>
            <w:pPr>
              <w:numPr>
                <w:ilvl w:val="0"/>
                <w:numId w:val="4"/>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goods produced by the company, checking their comparability to the goods subject to review;</w:t>
            </w:r>
          </w:p>
          <w:p>
            <w:pPr>
              <w:numPr>
                <w:ilvl w:val="0"/>
                <w:numId w:val="4"/>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internal coding system used by the company for its products;</w:t>
            </w:r>
          </w:p>
          <w:p>
            <w:pPr>
              <w:numPr>
                <w:ilvl w:val="0"/>
                <w:numId w:val="4"/>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company’s allocation of product control numbers (PCNs);</w:t>
            </w:r>
          </w:p>
          <w:p>
            <w:pPr>
              <w:numPr>
                <w:ilvl w:val="0"/>
                <w:numId w:val="4"/>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manufacturing process for the like goods, including raw materials used and any other products of this process.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How the information was checked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The TRA considered and reviewed the goods produced and sold by the company to determine whether they are ‘like goods’, defined in relation to the ‘goods subject to review’ in paragraph 7(1) of Schedule 4 to the Taxation (Cross-Border Trade) Act 2018 as ‘</w:t>
            </w:r>
            <w:r>
              <w:rPr>
                <w:b w:val="0"/>
                <w:bCs w:val="0"/>
                <w:i/>
                <w:iCs/>
                <w:smallCaps w:val="0"/>
                <w:color w:val="000000"/>
              </w:rPr>
              <w:t>a) goods which are like those goods in all respects, or b) if there are no such goods, goods which, although not alike in all respects, have characteristics closely resembling those of the goods in question.’</w:t>
            </w:r>
          </w:p>
          <w:p>
            <w:pPr>
              <w:spacing w:before="0" w:after="0" w:line="240" w:lineRule="atLeast"/>
              <w:rPr>
                <w:rFonts w:ascii="Arial" w:eastAsia="Arial" w:hAnsi="Arial" w:cs="Arial"/>
                <w:b w:val="0"/>
                <w:bCs w:val="0"/>
                <w:i/>
                <w:iCs/>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 xml:space="preserve">We analysed physical characteristics such as tyre dimensions and load index and confirmed the company produces goods which are ‘like goods’ by this definition. </w:t>
            </w:r>
          </w:p>
          <w:p>
            <w:pPr>
              <w:spacing w:before="0" w:after="0" w:line="220" w:lineRule="atLeast"/>
              <w:rPr>
                <w:rFonts w:ascii="Arial" w:eastAsia="Arial" w:hAnsi="Arial" w:cs="Arial"/>
                <w:b w:val="0"/>
                <w:bCs w:val="0"/>
                <w:i w:val="0"/>
                <w:iCs w:val="0"/>
                <w:smallCaps w:val="0"/>
                <w:color w:val="000000"/>
                <w:sz w:val="22"/>
                <w:szCs w:val="22"/>
              </w:rPr>
            </w:pPr>
          </w:p>
          <w:p>
            <w:pPr>
              <w:spacing w:before="0" w:after="0" w:line="240" w:lineRule="atLeast"/>
              <w:rPr>
                <w:b w:val="0"/>
                <w:bCs w:val="0"/>
                <w:i w:val="0"/>
                <w:iCs w:val="0"/>
                <w:smallCaps w:val="0"/>
                <w:color w:val="000000"/>
              </w:rPr>
            </w:pPr>
            <w:r>
              <w:rPr>
                <w:b w:val="0"/>
                <w:bCs w:val="0"/>
                <w:i w:val="0"/>
                <w:iCs w:val="0"/>
                <w:smallCaps w:val="0"/>
                <w:color w:val="000000"/>
              </w:rPr>
              <w:t>We observed the production process, including use of raw materials and the existence of any other products emanating from the production process, during a factory tour.</w:t>
            </w:r>
          </w:p>
          <w:p>
            <w:pPr>
              <w:spacing w:before="0" w:after="0" w:line="220" w:lineRule="atLeast"/>
              <w:rPr>
                <w:rFonts w:ascii="Arial" w:eastAsia="Arial" w:hAnsi="Arial" w:cs="Arial"/>
                <w:b w:val="0"/>
                <w:bCs w:val="0"/>
                <w:i w:val="0"/>
                <w:iCs w:val="0"/>
                <w:smallCaps w:val="0"/>
                <w:color w:val="000000"/>
                <w:sz w:val="22"/>
                <w:szCs w:val="22"/>
              </w:rPr>
            </w:pPr>
          </w:p>
          <w:p>
            <w:pPr>
              <w:spacing w:before="0" w:after="0" w:line="240" w:lineRule="atLeast"/>
              <w:rPr>
                <w:b w:val="0"/>
                <w:bCs w:val="0"/>
                <w:i w:val="0"/>
                <w:iCs w:val="0"/>
                <w:smallCaps w:val="0"/>
                <w:color w:val="000000"/>
              </w:rPr>
            </w:pPr>
            <w:r>
              <w:rPr>
                <w:b w:val="0"/>
                <w:bCs w:val="0"/>
                <w:i w:val="0"/>
                <w:iCs w:val="0"/>
                <w:smallCaps w:val="0"/>
                <w:color w:val="000000"/>
              </w:rPr>
              <w:t>We</w:t>
            </w:r>
            <w:r>
              <w:rPr>
                <w:b w:val="0"/>
                <w:bCs w:val="0"/>
                <w:i w:val="0"/>
                <w:iCs w:val="0"/>
                <w:smallCaps w:val="0"/>
                <w:color w:val="000000"/>
                <w:sz w:val="20"/>
                <w:szCs w:val="20"/>
              </w:rPr>
              <w:t xml:space="preserve"> </w:t>
            </w:r>
            <w:r>
              <w:rPr>
                <w:b w:val="0"/>
                <w:bCs w:val="0"/>
                <w:i w:val="0"/>
                <w:iCs w:val="0"/>
                <w:smallCaps w:val="0"/>
                <w:color w:val="000000"/>
              </w:rPr>
              <w:t>compared</w:t>
            </w:r>
            <w:r>
              <w:rPr>
                <w:b w:val="0"/>
                <w:bCs w:val="0"/>
                <w:i w:val="0"/>
                <w:iCs w:val="0"/>
                <w:smallCaps w:val="0"/>
                <w:color w:val="000000"/>
                <w:sz w:val="20"/>
                <w:szCs w:val="20"/>
              </w:rPr>
              <w:t xml:space="preserve"> </w:t>
            </w:r>
            <w:r>
              <w:rPr>
                <w:b w:val="0"/>
                <w:bCs w:val="0"/>
                <w:i w:val="0"/>
                <w:iCs w:val="0"/>
                <w:smallCaps w:val="0"/>
                <w:color w:val="000000"/>
              </w:rPr>
              <w:t>the information</w:t>
            </w:r>
            <w:r>
              <w:rPr>
                <w:b w:val="0"/>
                <w:bCs w:val="0"/>
                <w:i w:val="0"/>
                <w:iCs w:val="0"/>
                <w:smallCaps w:val="0"/>
                <w:color w:val="000000"/>
                <w:sz w:val="20"/>
                <w:szCs w:val="20"/>
              </w:rPr>
              <w:t xml:space="preserve"> </w:t>
            </w:r>
            <w:r>
              <w:rPr>
                <w:b w:val="0"/>
                <w:bCs w:val="0"/>
                <w:i w:val="0"/>
                <w:iCs w:val="0"/>
                <w:smallCaps w:val="0"/>
                <w:color w:val="000000"/>
              </w:rPr>
              <w:t>submitted</w:t>
            </w:r>
            <w:r>
              <w:rPr>
                <w:b w:val="0"/>
                <w:bCs w:val="0"/>
                <w:i w:val="0"/>
                <w:iCs w:val="0"/>
                <w:smallCaps w:val="0"/>
                <w:color w:val="000000"/>
                <w:sz w:val="20"/>
                <w:szCs w:val="20"/>
              </w:rPr>
              <w:t xml:space="preserve"> </w:t>
            </w:r>
            <w:r>
              <w:rPr>
                <w:b w:val="0"/>
                <w:bCs w:val="0"/>
                <w:i w:val="0"/>
                <w:iCs w:val="0"/>
                <w:smallCaps w:val="0"/>
                <w:color w:val="000000"/>
              </w:rPr>
              <w:t>in</w:t>
            </w:r>
            <w:r>
              <w:rPr>
                <w:b w:val="0"/>
                <w:bCs w:val="0"/>
                <w:i w:val="0"/>
                <w:iCs w:val="0"/>
                <w:smallCaps w:val="0"/>
                <w:color w:val="000000"/>
                <w:sz w:val="22"/>
                <w:szCs w:val="22"/>
              </w:rPr>
              <w:t xml:space="preserve"> </w:t>
            </w:r>
            <w:r>
              <w:rPr>
                <w:b w:val="0"/>
                <w:bCs w:val="0"/>
                <w:i w:val="0"/>
                <w:iCs w:val="0"/>
                <w:smallCaps w:val="0"/>
                <w:color w:val="000000"/>
              </w:rPr>
              <w:t>the</w:t>
            </w:r>
            <w:r>
              <w:rPr>
                <w:b w:val="0"/>
                <w:bCs w:val="0"/>
                <w:i w:val="0"/>
                <w:iCs w:val="0"/>
                <w:smallCaps w:val="0"/>
                <w:color w:val="000000"/>
                <w:sz w:val="20"/>
                <w:szCs w:val="20"/>
              </w:rPr>
              <w:t xml:space="preserve"> </w:t>
            </w:r>
            <w:r>
              <w:rPr>
                <w:b w:val="0"/>
                <w:bCs w:val="0"/>
                <w:i w:val="0"/>
                <w:iCs w:val="0"/>
                <w:smallCaps w:val="0"/>
                <w:color w:val="000000"/>
              </w:rPr>
              <w:t>questionnaire</w:t>
            </w:r>
            <w:r>
              <w:rPr>
                <w:b w:val="0"/>
                <w:bCs w:val="0"/>
                <w:i w:val="0"/>
                <w:iCs w:val="0"/>
                <w:smallCaps w:val="0"/>
                <w:color w:val="000000"/>
                <w:sz w:val="22"/>
                <w:szCs w:val="22"/>
              </w:rPr>
              <w:t xml:space="preserve"> </w:t>
            </w:r>
            <w:r>
              <w:rPr>
                <w:b w:val="0"/>
                <w:bCs w:val="0"/>
                <w:i w:val="0"/>
                <w:iCs w:val="0"/>
                <w:smallCaps w:val="0"/>
                <w:color w:val="000000"/>
              </w:rPr>
              <w:t>and</w:t>
            </w:r>
            <w:r>
              <w:rPr>
                <w:b w:val="0"/>
                <w:bCs w:val="0"/>
                <w:i w:val="0"/>
                <w:iCs w:val="0"/>
                <w:smallCaps w:val="0"/>
                <w:color w:val="000000"/>
                <w:sz w:val="22"/>
                <w:szCs w:val="22"/>
              </w:rPr>
              <w:t xml:space="preserve"> </w:t>
            </w:r>
            <w:r>
              <w:rPr>
                <w:b w:val="0"/>
                <w:bCs w:val="0"/>
                <w:i w:val="0"/>
                <w:iCs w:val="0"/>
                <w:smallCaps w:val="0"/>
                <w:color w:val="000000"/>
              </w:rPr>
              <w:t>annex</w:t>
            </w:r>
            <w:r>
              <w:rPr>
                <w:b w:val="0"/>
                <w:bCs w:val="0"/>
                <w:i w:val="0"/>
                <w:iCs w:val="0"/>
                <w:smallCaps w:val="0"/>
                <w:color w:val="000000"/>
                <w:sz w:val="22"/>
                <w:szCs w:val="22"/>
              </w:rPr>
              <w:t xml:space="preserve"> </w:t>
            </w:r>
            <w:r>
              <w:rPr>
                <w:b w:val="0"/>
                <w:bCs w:val="0"/>
                <w:i w:val="0"/>
                <w:iCs w:val="0"/>
                <w:smallCaps w:val="0"/>
                <w:color w:val="000000"/>
              </w:rPr>
              <w:t>to</w:t>
            </w:r>
            <w:r>
              <w:rPr>
                <w:b w:val="0"/>
                <w:bCs w:val="0"/>
                <w:i w:val="0"/>
                <w:iCs w:val="0"/>
                <w:smallCaps w:val="0"/>
                <w:color w:val="000000"/>
                <w:sz w:val="22"/>
                <w:szCs w:val="22"/>
              </w:rPr>
              <w:t xml:space="preserve"> </w:t>
            </w:r>
            <w:r>
              <w:rPr>
                <w:b w:val="0"/>
                <w:bCs w:val="0"/>
                <w:i w:val="0"/>
                <w:iCs w:val="0"/>
                <w:smallCaps w:val="0"/>
                <w:color w:val="000000"/>
              </w:rPr>
              <w:t>technical documentation and the products listed for sale on the company’s website. This enabled us to verify the goods produced by the company, the internal coding system used for these goods, and the allocation of PCNs.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Exceptions/Findings/Adjustments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The TRA has no exceptions, findings, or adjustments to report with regard to the like goods.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Conclusions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 xml:space="preserve">The information relating to the company’s goods that we have been provided is verifiable. Based on the work we have done, we have a reasonable level of assurance that the information can be treated as complete, relevant and accurate and can therefore be used by the TRA for any purpose within the review. </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bl>
    <w:p>
      <w:pPr>
        <w:pStyle w:val="Heading2"/>
        <w:spacing w:before="0" w:line="280" w:lineRule="atLeast"/>
        <w:rPr>
          <w:b/>
          <w:bCs/>
          <w:sz w:val="36"/>
          <w:szCs w:val="36"/>
        </w:rPr>
      </w:pPr>
      <w:bookmarkStart w:id="8" w:name="_Toc164769590"/>
      <w:r>
        <w:rPr>
          <w:rFonts w:ascii="Arial" w:eastAsia="Arial" w:hAnsi="Arial" w:cs="Arial"/>
          <w:b w:val="0"/>
          <w:bCs w:val="0"/>
          <w:i w:val="0"/>
          <w:color w:val="auto"/>
          <w:sz w:val="28"/>
          <w:szCs w:val="28"/>
        </w:rPr>
        <w:t>C. Costs</w:t>
      </w:r>
      <w:bookmarkEnd w:id="8"/>
    </w:p>
    <w:p>
      <w:pPr>
        <w:spacing w:before="0" w:after="0" w:line="240" w:lineRule="atLeast"/>
        <w:rPr>
          <w:rFonts w:ascii="Arial" w:eastAsia="Arial" w:hAnsi="Arial" w:cs="Arial"/>
          <w:sz w:val="24"/>
          <w:szCs w:val="24"/>
        </w:rPr>
      </w:pPr>
    </w:p>
    <w:tbl>
      <w:tblPr>
        <w:tblW w:w="90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9015"/>
      </w:tblGrid>
      <w:tr>
        <w:tblPrEx>
          <w:tblW w:w="90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015" w:type="dxa"/>
            <w:tcBorders>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What information was considered</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During upwards verification of the cost data, we considered:</w:t>
            </w:r>
          </w:p>
          <w:p>
            <w:pPr>
              <w:numPr>
                <w:ilvl w:val="0"/>
                <w:numId w:val="5"/>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alignment of POI and published financial statements;</w:t>
            </w:r>
          </w:p>
          <w:p>
            <w:pPr>
              <w:numPr>
                <w:ilvl w:val="0"/>
                <w:numId w:val="5"/>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 xml:space="preserve">total cost of all goods sold; </w:t>
            </w:r>
          </w:p>
          <w:p>
            <w:pPr>
              <w:numPr>
                <w:ilvl w:val="0"/>
                <w:numId w:val="5"/>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cost to make for the like goods;</w:t>
            </w:r>
          </w:p>
          <w:p>
            <w:pPr>
              <w:numPr>
                <w:ilvl w:val="0"/>
                <w:numId w:val="5"/>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method for apportioning costs and overheads to individual PCNs.</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80" w:lineRule="atLeast"/>
              <w:rPr>
                <w:rFonts w:ascii="Arial" w:eastAsia="Arial" w:hAnsi="Arial" w:cs="Arial"/>
                <w:b w:val="0"/>
                <w:bCs w:val="0"/>
                <w:i w:val="0"/>
                <w:iCs w:val="0"/>
                <w:smallCaps w:val="0"/>
                <w:color w:val="000000"/>
                <w:sz w:val="18"/>
                <w:szCs w:val="18"/>
              </w:rPr>
            </w:pP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How the information was checked</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 xml:space="preserve">We carried out upward verification work to verify whether the total costs reported in the questionnaire responses were consistent with the company’s published financial statements </w:t>
            </w:r>
            <w:r>
              <w:rPr>
                <w:b w:val="0"/>
                <w:bCs w:val="0"/>
                <w:i/>
                <w:iCs/>
                <w:smallCaps w:val="0"/>
                <w:color w:val="000000"/>
              </w:rPr>
              <w:t>[Confidential information relating to the internal organisation of Michelin accounting and management operation]</w:t>
            </w:r>
            <w:r>
              <w:rPr>
                <w:b w:val="0"/>
                <w:bCs w:val="0"/>
                <w:i w:val="0"/>
                <w:iCs w:val="0"/>
                <w:smallCaps w:val="0"/>
                <w:color w:val="000000"/>
              </w:rPr>
              <w:t>.</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The TRA was able to confirm that the POI, 1 January 2022 – 31 December 2022, aligned with the company’s financial year. We found that the financial statements for all years in the injury period were audited, with no qualifications advised by the external auditors.</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We checked the figure provided for total cost of all goods sold against the figure reported in the financial statements for the year ended 31 December 2022, and found this to agree.</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 xml:space="preserve">We compared the figure for total cost of all goods sold from the financial statements </w:t>
            </w:r>
            <w:r>
              <w:rPr>
                <w:b w:val="0"/>
                <w:bCs w:val="0"/>
                <w:i/>
                <w:iCs/>
                <w:smallCaps w:val="0"/>
                <w:color w:val="000000"/>
              </w:rPr>
              <w:t>[Confidential information relating to the internal organisation of Michelin accounting and management operation].</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 xml:space="preserve">We compared the figure reported in the questionnaire annex for cost to make for the like goods </w:t>
            </w:r>
            <w:r>
              <w:rPr>
                <w:b w:val="0"/>
                <w:bCs w:val="0"/>
                <w:i/>
                <w:iCs/>
                <w:smallCaps w:val="0"/>
                <w:color w:val="000000"/>
              </w:rPr>
              <w:t>[Confidential information relating to the internal organisation of Michelin accounting and management operation]</w:t>
            </w:r>
            <w:r>
              <w:rPr>
                <w:b w:val="0"/>
                <w:bCs w:val="0"/>
                <w:i w:val="0"/>
                <w:iCs w:val="0"/>
                <w:smallCaps w:val="0"/>
                <w:color w:val="000000"/>
              </w:rPr>
              <w:t xml:space="preserve">. We found the reported figure to be consistent </w:t>
            </w:r>
            <w:r>
              <w:rPr>
                <w:b w:val="0"/>
                <w:bCs w:val="0"/>
                <w:i/>
                <w:iCs/>
                <w:smallCaps w:val="0"/>
                <w:color w:val="000000"/>
              </w:rPr>
              <w:t>[Confidential information relating to the internal organisation of Michelin accounting and management operation]</w:t>
            </w:r>
            <w:r>
              <w:rPr>
                <w:b w:val="0"/>
                <w:bCs w:val="0"/>
                <w:i/>
                <w:iCs/>
                <w:smallCaps w:val="0"/>
                <w:color w:val="FF0000"/>
                <w:sz w:val="22"/>
                <w:szCs w:val="22"/>
              </w:rPr>
              <w:t xml:space="preserve"> </w:t>
            </w:r>
            <w:r>
              <w:rPr>
                <w:b w:val="0"/>
                <w:bCs w:val="0"/>
                <w:i w:val="0"/>
                <w:iCs w:val="0"/>
                <w:smallCaps w:val="0"/>
                <w:color w:val="000000"/>
              </w:rPr>
              <w:t>and were satisfied by the explanations provided as to how this figure had been arrived at.</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 xml:space="preserve">We questioned the methodology used for apportionment of costs and overheads to the individual PCNs during the verification visit. The company provided a robust explanation which sufficiently explained how this had been done. </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200" w:lineRule="atLeast"/>
              <w:rPr>
                <w:rFonts w:ascii="Arial" w:eastAsia="Arial" w:hAnsi="Arial" w:cs="Arial"/>
                <w:b w:val="0"/>
                <w:bCs w:val="0"/>
                <w:i w:val="0"/>
                <w:iCs w:val="0"/>
                <w:smallCaps w:val="0"/>
                <w:color w:val="000000"/>
                <w:sz w:val="20"/>
                <w:szCs w:val="20"/>
              </w:rPr>
            </w:pP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Exceptions/Findings/Adjustments</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The TRA has no exceptions, findings, or adjustments to report with regards to the cost figures provided by the company.</w:t>
            </w:r>
            <w:r>
              <w:rPr>
                <w:b w:val="0"/>
                <w:bCs w:val="0"/>
                <w:i w:val="0"/>
                <w:iCs w:val="0"/>
                <w:smallCaps w:val="0"/>
                <w:color w:val="000000"/>
                <w:sz w:val="22"/>
                <w:szCs w:val="22"/>
              </w:rPr>
              <w:t> </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Conclusions</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The information relating to costs that we have been provided by the interested party is verifiable. Based on the work we have done, we have a reasonable level of assurance that the information can be treated as complete, relevant and accurate and can therefore be used by the TRA for any purpose within the review.</w:t>
            </w:r>
            <w:r>
              <w:rPr>
                <w:b w:val="0"/>
                <w:bCs w:val="0"/>
                <w:i w:val="0"/>
                <w:iCs w:val="0"/>
                <w:smallCaps w:val="0"/>
                <w:color w:val="000000"/>
                <w:sz w:val="22"/>
                <w:szCs w:val="22"/>
              </w:rPr>
              <w:t xml:space="preserve"> </w:t>
            </w:r>
          </w:p>
        </w:tc>
      </w:tr>
      <w:tr>
        <w:tblPrEx>
          <w:tblW w:w="9015" w:type="dxa"/>
          <w:tblCellMar>
            <w:top w:w="0" w:type="dxa"/>
            <w:left w:w="0" w:type="dxa"/>
            <w:bottom w:w="0" w:type="dxa"/>
            <w:right w:w="0" w:type="dxa"/>
          </w:tblCellMar>
        </w:tblPrEx>
        <w:tc>
          <w:tcPr>
            <w:tcW w:w="9015"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W w:w="9015" w:type="dxa"/>
          <w:tblCellMar>
            <w:top w:w="0" w:type="dxa"/>
            <w:left w:w="0" w:type="dxa"/>
            <w:bottom w:w="0" w:type="dxa"/>
            <w:right w:w="0" w:type="dxa"/>
          </w:tblCellMar>
        </w:tblPrEx>
        <w:tc>
          <w:tcPr>
            <w:tcW w:w="9015" w:type="dxa"/>
            <w:tcBorders>
              <w:top w:val="single" w:sz="2" w:space="0" w:color="000000"/>
            </w:tcBorders>
            <w:noWrap w:val="0"/>
            <w:tcMar>
              <w:top w:w="85" w:type="dxa"/>
              <w:left w:w="108" w:type="dxa"/>
              <w:bottom w:w="85" w:type="dxa"/>
              <w:right w:w="108" w:type="dxa"/>
            </w:tcMar>
            <w:vAlign w:val="center"/>
          </w:tcPr>
          <w:p>
            <w:pPr>
              <w:spacing w:before="0" w:after="0" w:line="140" w:lineRule="atLeast"/>
              <w:rPr>
                <w:rFonts w:ascii="Arial" w:eastAsia="Arial" w:hAnsi="Arial" w:cs="Arial"/>
                <w:b w:val="0"/>
                <w:bCs w:val="0"/>
                <w:i w:val="0"/>
                <w:iCs w:val="0"/>
                <w:smallCaps w:val="0"/>
                <w:color w:val="000000"/>
                <w:sz w:val="14"/>
                <w:szCs w:val="14"/>
              </w:rPr>
            </w:pPr>
          </w:p>
        </w:tc>
      </w:tr>
    </w:tbl>
    <w:p>
      <w:pPr>
        <w:spacing w:before="0" w:after="160"/>
        <w:rPr>
          <w:rFonts w:ascii="Arial" w:eastAsia="Arial" w:hAnsi="Arial" w:cs="Arial"/>
          <w:sz w:val="20"/>
          <w:szCs w:val="20"/>
        </w:rPr>
      </w:pPr>
    </w:p>
    <w:p>
      <w:pPr>
        <w:pStyle w:val="Heading2"/>
        <w:spacing w:before="0" w:line="280" w:lineRule="atLeast"/>
        <w:rPr>
          <w:b/>
          <w:bCs/>
          <w:sz w:val="36"/>
          <w:szCs w:val="36"/>
        </w:rPr>
      </w:pPr>
      <w:bookmarkStart w:id="9" w:name="_Toc164769591"/>
      <w:r>
        <w:rPr>
          <w:rFonts w:ascii="Arial" w:eastAsia="Arial" w:hAnsi="Arial" w:cs="Arial"/>
          <w:b w:val="0"/>
          <w:bCs w:val="0"/>
          <w:i w:val="0"/>
          <w:color w:val="auto"/>
          <w:sz w:val="28"/>
          <w:szCs w:val="28"/>
        </w:rPr>
        <w:t>D. Sales</w:t>
      </w:r>
      <w:bookmarkEnd w:id="9"/>
    </w:p>
    <w:p>
      <w:pPr>
        <w:spacing w:before="0" w:after="0"/>
        <w:rPr>
          <w:rFonts w:ascii="Arial" w:eastAsia="Arial" w:hAnsi="Arial" w:cs="Arial"/>
          <w:sz w:val="20"/>
          <w:szCs w:val="20"/>
        </w:rPr>
      </w:pPr>
    </w:p>
    <w:tbl>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9020"/>
      </w:tblGrid>
      <w:tr>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020" w:type="dxa"/>
            <w:tcBorders>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What information was considered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u w:val="single" w:color="000000"/>
              </w:rPr>
              <w:t>Upwards verification</w:t>
            </w:r>
          </w:p>
          <w:p>
            <w:pPr>
              <w:spacing w:before="0" w:after="0" w:line="140" w:lineRule="atLeast"/>
              <w:rPr>
                <w:rFonts w:ascii="Arial" w:eastAsia="Arial" w:hAnsi="Arial" w:cs="Arial"/>
                <w:b w:val="0"/>
                <w:bCs w:val="0"/>
                <w:i w:val="0"/>
                <w:iCs w:val="0"/>
                <w:smallCaps w:val="0"/>
                <w:color w:val="000000"/>
                <w:sz w:val="14"/>
                <w:szCs w:val="14"/>
              </w:rPr>
            </w:pPr>
          </w:p>
          <w:p>
            <w:pPr>
              <w:spacing w:before="0" w:after="0" w:line="240" w:lineRule="atLeast"/>
              <w:rPr>
                <w:b w:val="0"/>
                <w:bCs w:val="0"/>
                <w:i w:val="0"/>
                <w:iCs w:val="0"/>
                <w:smallCaps w:val="0"/>
                <w:color w:val="000000"/>
              </w:rPr>
            </w:pPr>
            <w:r>
              <w:rPr>
                <w:b w:val="0"/>
                <w:bCs w:val="0"/>
                <w:i w:val="0"/>
                <w:iCs w:val="0"/>
                <w:smallCaps w:val="0"/>
                <w:color w:val="000000"/>
              </w:rPr>
              <w:t>During upwards verification, the TRA considered:</w:t>
            </w:r>
          </w:p>
          <w:p>
            <w:pPr>
              <w:numPr>
                <w:ilvl w:val="0"/>
                <w:numId w:val="6"/>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total sales figure for all goods sold during the POI;</w:t>
            </w:r>
          </w:p>
          <w:p>
            <w:pPr>
              <w:numPr>
                <w:ilvl w:val="0"/>
                <w:numId w:val="6"/>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total sales figure for the like goods sold during the POI.</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100" w:lineRule="atLeast"/>
              <w:rPr>
                <w:rFonts w:ascii="Arial" w:eastAsia="Arial" w:hAnsi="Arial" w:cs="Arial"/>
                <w:b w:val="0"/>
                <w:bCs w:val="0"/>
                <w:i w:val="0"/>
                <w:iCs w:val="0"/>
                <w:smallCaps w:val="0"/>
                <w:color w:val="000000"/>
                <w:sz w:val="10"/>
                <w:szCs w:val="10"/>
              </w:rPr>
            </w:pPr>
          </w:p>
          <w:p>
            <w:pPr>
              <w:spacing w:before="0" w:after="0" w:line="240" w:lineRule="atLeast"/>
              <w:rPr>
                <w:b w:val="0"/>
                <w:bCs w:val="0"/>
                <w:i w:val="0"/>
                <w:iCs w:val="0"/>
                <w:smallCaps w:val="0"/>
                <w:color w:val="000000"/>
              </w:rPr>
            </w:pPr>
            <w:r>
              <w:rPr>
                <w:b w:val="0"/>
                <w:bCs w:val="0"/>
                <w:i w:val="0"/>
                <w:iCs w:val="0"/>
                <w:smallCaps w:val="0"/>
                <w:color w:val="000000"/>
                <w:u w:val="single" w:color="000000"/>
              </w:rPr>
              <w:t>Downwards verification</w:t>
            </w:r>
          </w:p>
          <w:p>
            <w:pPr>
              <w:spacing w:before="0" w:after="0" w:line="140" w:lineRule="atLeast"/>
              <w:rPr>
                <w:rFonts w:ascii="Arial" w:eastAsia="Arial" w:hAnsi="Arial" w:cs="Arial"/>
                <w:b w:val="0"/>
                <w:bCs w:val="0"/>
                <w:i w:val="0"/>
                <w:iCs w:val="0"/>
                <w:smallCaps w:val="0"/>
                <w:color w:val="000000"/>
                <w:sz w:val="14"/>
                <w:szCs w:val="14"/>
              </w:rPr>
            </w:pPr>
          </w:p>
          <w:p>
            <w:pPr>
              <w:spacing w:before="0" w:after="0" w:line="240" w:lineRule="atLeast"/>
              <w:rPr>
                <w:b w:val="0"/>
                <w:bCs w:val="0"/>
                <w:i w:val="0"/>
                <w:iCs w:val="0"/>
                <w:smallCaps w:val="0"/>
                <w:color w:val="000000"/>
              </w:rPr>
            </w:pPr>
            <w:r>
              <w:rPr>
                <w:b w:val="0"/>
                <w:bCs w:val="0"/>
                <w:i w:val="0"/>
                <w:iCs w:val="0"/>
                <w:smallCaps w:val="0"/>
                <w:color w:val="000000"/>
              </w:rPr>
              <w:t>During downwards verification, the TRA considered:</w:t>
            </w:r>
          </w:p>
          <w:p>
            <w:pPr>
              <w:numPr>
                <w:ilvl w:val="0"/>
                <w:numId w:val="7"/>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the company’s transaction listing for domestic sales;</w:t>
            </w:r>
          </w:p>
          <w:p>
            <w:pPr>
              <w:numPr>
                <w:ilvl w:val="0"/>
                <w:numId w:val="7"/>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details of any price reductions or rebates.</w:t>
            </w:r>
          </w:p>
          <w:p>
            <w:pPr>
              <w:spacing w:before="0" w:after="0" w:line="160" w:lineRule="atLeast"/>
              <w:rPr>
                <w:rFonts w:ascii="Arial" w:eastAsia="Arial" w:hAnsi="Arial" w:cs="Arial"/>
                <w:b w:val="0"/>
                <w:bCs w:val="0"/>
                <w:i w:val="0"/>
                <w:iCs w:val="0"/>
                <w:smallCaps w:val="0"/>
                <w:color w:val="000000"/>
                <w:sz w:val="16"/>
                <w:szCs w:val="16"/>
              </w:rPr>
            </w:pPr>
          </w:p>
          <w:p>
            <w:pPr>
              <w:spacing w:before="0" w:after="0" w:line="240" w:lineRule="atLeast"/>
              <w:rPr>
                <w:b w:val="0"/>
                <w:bCs w:val="0"/>
                <w:i w:val="0"/>
                <w:iCs w:val="0"/>
                <w:smallCaps w:val="0"/>
                <w:color w:val="000000"/>
              </w:rPr>
            </w:pPr>
            <w:r>
              <w:rPr>
                <w:b w:val="0"/>
                <w:bCs w:val="0"/>
                <w:i w:val="0"/>
                <w:iCs w:val="0"/>
                <w:smallCaps w:val="0"/>
                <w:color w:val="000000"/>
              </w:rPr>
              <w:t>The TRA selected a sample of domestic sales transactions reported in the questionnaire annex in order to check the accuracy and existence of those transactions.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How the information was checked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u w:val="single" w:color="000000"/>
              </w:rPr>
              <w:t>Upwards verification</w:t>
            </w:r>
          </w:p>
          <w:p>
            <w:pPr>
              <w:spacing w:before="0" w:after="0" w:line="180" w:lineRule="atLeast"/>
              <w:rPr>
                <w:rFonts w:ascii="Arial" w:eastAsia="Arial" w:hAnsi="Arial" w:cs="Arial"/>
                <w:b w:val="0"/>
                <w:bCs w:val="0"/>
                <w:i w:val="0"/>
                <w:iCs w:val="0"/>
                <w:smallCaps w:val="0"/>
                <w:color w:val="000000"/>
                <w:sz w:val="18"/>
                <w:szCs w:val="18"/>
              </w:rPr>
            </w:pPr>
          </w:p>
          <w:p>
            <w:pPr>
              <w:spacing w:before="0" w:after="0" w:line="240" w:lineRule="atLeast"/>
              <w:rPr>
                <w:b w:val="0"/>
                <w:bCs w:val="0"/>
                <w:i w:val="0"/>
                <w:iCs w:val="0"/>
                <w:smallCaps w:val="0"/>
                <w:color w:val="000000"/>
              </w:rPr>
            </w:pPr>
            <w:r>
              <w:rPr>
                <w:b w:val="0"/>
                <w:bCs w:val="0"/>
                <w:i w:val="0"/>
                <w:iCs w:val="0"/>
                <w:smallCaps w:val="0"/>
                <w:color w:val="000000"/>
              </w:rPr>
              <w:t xml:space="preserve">The TRA verified the completeness of the company’s sales figures provided in the questionnaire response. We reconciled the total cost of all goods sold during the POI reported in the sales reconciliation annex to the sales figure from the published financial statements for the year ending 31 December 2022. </w:t>
            </w:r>
            <w:r>
              <w:rPr>
                <w:b w:val="0"/>
                <w:bCs w:val="0"/>
                <w:i/>
                <w:iCs/>
                <w:smallCaps w:val="0"/>
                <w:color w:val="000000"/>
              </w:rPr>
              <w:t>[Confidential information relating to the internal organisation of Michelin accounting and management operation].</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 xml:space="preserve">We also verified the total sales of the like goods as listed in the questionnaire annex, </w:t>
            </w:r>
            <w:r>
              <w:rPr>
                <w:b w:val="0"/>
                <w:bCs w:val="0"/>
                <w:i/>
                <w:iCs/>
                <w:smallCaps w:val="0"/>
                <w:color w:val="000000"/>
              </w:rPr>
              <w:t>[Confidential information relating to the internal organisation of Michelin accounting and management operation].</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Overall, we were satisfied that the sales data provided by the company has been appropriately reconciled to the financial statements.</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u w:val="single" w:color="000000"/>
              </w:rPr>
              <w:t>Downwards verification</w:t>
            </w:r>
          </w:p>
          <w:p>
            <w:pPr>
              <w:spacing w:before="0" w:after="0" w:line="180" w:lineRule="atLeast"/>
              <w:rPr>
                <w:rFonts w:ascii="Arial" w:eastAsia="Arial" w:hAnsi="Arial" w:cs="Arial"/>
                <w:b w:val="0"/>
                <w:bCs w:val="0"/>
                <w:i w:val="0"/>
                <w:iCs w:val="0"/>
                <w:smallCaps w:val="0"/>
                <w:color w:val="000000"/>
                <w:sz w:val="18"/>
                <w:szCs w:val="18"/>
              </w:rPr>
            </w:pPr>
          </w:p>
          <w:p>
            <w:pPr>
              <w:spacing w:before="0" w:after="0" w:line="240" w:lineRule="atLeast"/>
              <w:rPr>
                <w:b w:val="0"/>
                <w:bCs w:val="0"/>
                <w:i w:val="0"/>
                <w:iCs w:val="0"/>
                <w:smallCaps w:val="0"/>
                <w:color w:val="000000"/>
              </w:rPr>
            </w:pPr>
            <w:r>
              <w:rPr>
                <w:b w:val="0"/>
                <w:bCs w:val="0"/>
                <w:i w:val="0"/>
                <w:iCs w:val="0"/>
                <w:smallCaps w:val="0"/>
                <w:color w:val="000000"/>
              </w:rPr>
              <w:t>The TRA selected a sample of domestic sales transactions for verification. For these transactions, we requested source documentation in the form of the sales order, sales invoice, and bank receipts.</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The accuracy of the sales data was assessed by verifying the information submitted in the domestic sales T-by-T annex against the source documents provided.</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iCs/>
                <w:smallCaps w:val="0"/>
                <w:color w:val="000000"/>
              </w:rPr>
              <w:t>[Confidential information – business sensitive information relating to particular purchase].</w:t>
            </w:r>
          </w:p>
          <w:p>
            <w:pPr>
              <w:spacing w:before="0" w:after="0" w:line="240" w:lineRule="atLeast"/>
              <w:rPr>
                <w:rFonts w:ascii="Arial" w:eastAsia="Arial" w:hAnsi="Arial" w:cs="Arial"/>
                <w:b w:val="0"/>
                <w:bCs w:val="0"/>
                <w:i w:val="0"/>
                <w:iCs w:val="0"/>
                <w:smallCaps w:val="0"/>
                <w:color w:val="00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During the verification visit, we questioned the company on the process surrounding price discounts and rebates, particularly with regard to associated party sales. All discounts were sufficiently well presented in the sales documentation and explained during the visit. The rebate process was also satisfactorily explained. We deemed the treatment of discounts and rebates in the questionnaire response to be correct; the explanations given regarding policy on these appeared reasonable.</w:t>
            </w:r>
          </w:p>
          <w:p>
            <w:pPr>
              <w:spacing w:before="0" w:after="0" w:line="60" w:lineRule="atLeast"/>
              <w:rPr>
                <w:rFonts w:ascii="Arial" w:eastAsia="Arial" w:hAnsi="Arial" w:cs="Arial"/>
                <w:b w:val="0"/>
                <w:bCs w:val="0"/>
                <w:i w:val="0"/>
                <w:iCs w:val="0"/>
                <w:smallCaps w:val="0"/>
                <w:color w:val="000000"/>
                <w:sz w:val="6"/>
                <w:szCs w:val="6"/>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280" w:lineRule="atLeast"/>
              <w:rPr>
                <w:rFonts w:ascii="Arial" w:eastAsia="Arial" w:hAnsi="Arial" w:cs="Arial"/>
                <w:b w:val="0"/>
                <w:bCs w:val="0"/>
                <w:i w:val="0"/>
                <w:iCs w:val="0"/>
                <w:smallCaps w:val="0"/>
                <w:color w:val="000000"/>
                <w:sz w:val="28"/>
                <w:szCs w:val="28"/>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Exceptions/Findings/Adjustments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The TRA has no exceptions, findings, or adjustments to report with regards to the sales figures provided by the company.</w:t>
            </w:r>
            <w:r>
              <w:rPr>
                <w:b w:val="0"/>
                <w:bCs w:val="0"/>
                <w:i w:val="0"/>
                <w:iCs w:val="0"/>
                <w:smallCaps w:val="0"/>
                <w:color w:val="000000"/>
              </w:rPr>
              <w:t> </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40" w:lineRule="atLeast"/>
              <w:rPr>
                <w:rFonts w:ascii="Arial" w:eastAsia="Arial" w:hAnsi="Arial" w:cs="Arial"/>
                <w:b w:val="0"/>
                <w:bCs w:val="0"/>
                <w:i w:val="0"/>
                <w:iCs w:val="0"/>
                <w:smallCaps w:val="0"/>
                <w:color w:val="000000"/>
                <w:sz w:val="14"/>
                <w:szCs w:val="14"/>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Conclusions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 xml:space="preserve">The information relating to sales that we have been provided by the interested party is verifiable. Based on the work we have done, we have a reasonable level of assurance that the information can be treated as complete, relevant and accurate and can therefore be used by the TRA for any purpose within the review. </w:t>
            </w:r>
            <w:r>
              <w:rPr>
                <w:b w:val="0"/>
                <w:bCs w:val="0"/>
                <w:i w:val="0"/>
                <w:iCs w:val="0"/>
                <w:smallCaps w:val="0"/>
                <w:color w:val="000000"/>
                <w:sz w:val="22"/>
                <w:szCs w:val="22"/>
              </w:rPr>
              <w:t xml:space="preserve"> </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tcBorders>
            <w:noWrap w:val="0"/>
            <w:tcMar>
              <w:top w:w="85" w:type="dxa"/>
              <w:left w:w="108" w:type="dxa"/>
              <w:bottom w:w="85" w:type="dxa"/>
              <w:right w:w="108" w:type="dxa"/>
            </w:tcMar>
            <w:vAlign w:val="center"/>
          </w:tcPr>
          <w:p>
            <w:pPr>
              <w:spacing w:before="0" w:after="0" w:line="140" w:lineRule="atLeast"/>
              <w:rPr>
                <w:rFonts w:ascii="Arial" w:eastAsia="Arial" w:hAnsi="Arial" w:cs="Arial"/>
                <w:b w:val="0"/>
                <w:bCs w:val="0"/>
                <w:i w:val="0"/>
                <w:iCs w:val="0"/>
                <w:smallCaps w:val="0"/>
                <w:color w:val="000000"/>
                <w:sz w:val="14"/>
                <w:szCs w:val="14"/>
              </w:rPr>
            </w:pPr>
          </w:p>
        </w:tc>
      </w:tr>
    </w:tbl>
    <w:p>
      <w:pPr>
        <w:spacing w:before="0" w:after="160"/>
        <w:rPr>
          <w:rFonts w:ascii="Arial" w:eastAsia="Arial" w:hAnsi="Arial" w:cs="Arial"/>
          <w:sz w:val="24"/>
          <w:szCs w:val="24"/>
        </w:rPr>
      </w:pPr>
      <w:bookmarkStart w:id="10" w:name="_Toc164769592"/>
    </w:p>
    <w:p>
      <w:pPr>
        <w:pStyle w:val="Heading2"/>
        <w:spacing w:before="0" w:line="280" w:lineRule="atLeast"/>
        <w:rPr>
          <w:b/>
          <w:bCs/>
          <w:sz w:val="36"/>
          <w:szCs w:val="36"/>
        </w:rPr>
      </w:pPr>
      <w:r>
        <w:rPr>
          <w:rFonts w:ascii="Arial" w:eastAsia="Arial" w:hAnsi="Arial" w:cs="Arial"/>
          <w:b w:val="0"/>
          <w:bCs w:val="0"/>
          <w:i w:val="0"/>
          <w:color w:val="auto"/>
          <w:sz w:val="28"/>
          <w:szCs w:val="28"/>
        </w:rPr>
        <w:t>E. Injury</w:t>
      </w:r>
      <w:bookmarkEnd w:id="10"/>
      <w:r>
        <w:rPr>
          <w:rFonts w:ascii="Arial" w:eastAsia="Arial" w:hAnsi="Arial" w:cs="Arial"/>
          <w:b w:val="0"/>
          <w:bCs w:val="0"/>
          <w:i w:val="0"/>
          <w:color w:val="auto"/>
          <w:sz w:val="28"/>
          <w:szCs w:val="28"/>
        </w:rPr>
        <w:t xml:space="preserve"> </w:t>
      </w:r>
    </w:p>
    <w:p>
      <w:pPr>
        <w:spacing w:before="0" w:after="0" w:line="200" w:lineRule="atLeast"/>
        <w:rPr>
          <w:rFonts w:ascii="Arial" w:eastAsia="Arial" w:hAnsi="Arial" w:cs="Arial"/>
          <w:sz w:val="20"/>
          <w:szCs w:val="20"/>
        </w:rPr>
      </w:pPr>
    </w:p>
    <w:tbl>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9020"/>
      </w:tblGrid>
      <w:tr>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020" w:type="dxa"/>
            <w:tcBorders>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What information was considered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We considered the information submitted by the company in the injury annex, as well as the claims made within the injury section of the questionnaire, including:</w:t>
            </w:r>
          </w:p>
          <w:p>
            <w:pPr>
              <w:numPr>
                <w:ilvl w:val="0"/>
                <w:numId w:val="8"/>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turnover during the injury period;</w:t>
            </w:r>
            <w:r>
              <w:rPr>
                <w:b w:val="0"/>
                <w:bCs w:val="0"/>
                <w:i w:val="0"/>
                <w:iCs w:val="0"/>
                <w:smallCaps w:val="0"/>
                <w:color w:val="FF0000"/>
              </w:rPr>
              <w:t xml:space="preserve"> </w:t>
            </w:r>
          </w:p>
          <w:p>
            <w:pPr>
              <w:numPr>
                <w:ilvl w:val="0"/>
                <w:numId w:val="8"/>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profit during the injury period;</w:t>
            </w:r>
          </w:p>
          <w:p>
            <w:pPr>
              <w:numPr>
                <w:ilvl w:val="0"/>
                <w:numId w:val="8"/>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output of the like goods during the injury period;</w:t>
            </w:r>
          </w:p>
          <w:p>
            <w:pPr>
              <w:numPr>
                <w:ilvl w:val="0"/>
                <w:numId w:val="8"/>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market share of the like goods during the injury period;</w:t>
            </w:r>
          </w:p>
          <w:p>
            <w:pPr>
              <w:numPr>
                <w:ilvl w:val="0"/>
                <w:numId w:val="8"/>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utilisation of capacity during the injury period;</w:t>
            </w:r>
          </w:p>
          <w:p>
            <w:pPr>
              <w:numPr>
                <w:ilvl w:val="0"/>
                <w:numId w:val="8"/>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stocks at year end during the injury period;</w:t>
            </w:r>
          </w:p>
          <w:p>
            <w:pPr>
              <w:numPr>
                <w:ilvl w:val="0"/>
                <w:numId w:val="8"/>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employment and productivity figures during the injury period;</w:t>
            </w:r>
          </w:p>
          <w:p>
            <w:pPr>
              <w:numPr>
                <w:ilvl w:val="0"/>
                <w:numId w:val="8"/>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investments during the injury period.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20" w:lineRule="atLeast"/>
              <w:rPr>
                <w:rFonts w:ascii="Arial" w:eastAsia="Arial" w:hAnsi="Arial" w:cs="Arial"/>
                <w:b w:val="0"/>
                <w:bCs w:val="0"/>
                <w:i w:val="0"/>
                <w:iCs w:val="0"/>
                <w:smallCaps w:val="0"/>
                <w:color w:val="000000"/>
                <w:sz w:val="12"/>
                <w:szCs w:val="12"/>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How the information was checked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iCs/>
                <w:smallCaps w:val="0"/>
                <w:color w:val="000000"/>
              </w:rPr>
              <w:t>[Confidential information relating to confidential exchanges with TRA].</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u w:val="single" w:color="000000"/>
              </w:rPr>
              <w:t>Turnover and Profit</w:t>
            </w:r>
            <w:r>
              <w:rPr>
                <w:b w:val="0"/>
                <w:bCs w:val="0"/>
                <w:i w:val="0"/>
                <w:iCs w:val="0"/>
                <w:smallCaps w:val="0"/>
                <w:color w:val="000000"/>
              </w:rPr>
              <w:t xml:space="preserve">: The TRA verified the figures provided by the company for total turnover and profit by comparing them to the figures presented in the published financial statements for each year. For turnover and profit relating to the like goods, we asked the company for an explanation of how the figures were arrived at. Through discussion during the verification visit, we were happy that the methodology and resulting figures were reasonable. </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u w:val="single" w:color="000000"/>
              </w:rPr>
              <w:t>Output</w:t>
            </w:r>
            <w:r>
              <w:rPr>
                <w:b w:val="0"/>
                <w:bCs w:val="0"/>
                <w:i w:val="0"/>
                <w:iCs w:val="0"/>
                <w:smallCaps w:val="0"/>
                <w:color w:val="000000"/>
              </w:rPr>
              <w:t>: The company provided figures for output by volume and value across the injury period. These figures were verified through discussion during the verification visit and cross-checked with sales figures for reasonableness.</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u w:val="single" w:color="000000"/>
              </w:rPr>
              <w:t>Market Share</w:t>
            </w:r>
            <w:r>
              <w:rPr>
                <w:b w:val="0"/>
                <w:bCs w:val="0"/>
                <w:i w:val="0"/>
                <w:iCs w:val="0"/>
                <w:smallCaps w:val="0"/>
                <w:color w:val="000000"/>
              </w:rPr>
              <w:t>: The TRA compared the figures submitted by the company on its market share during the injury period against knowledge of UK industry gained through desk research and discussions with trade associations. We gained assurance that the methodology used by the company was reasonable through discussions during the verification visit.</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u w:val="single" w:color="000000"/>
              </w:rPr>
              <w:t>Capacity utilisation</w:t>
            </w:r>
            <w:r>
              <w:rPr>
                <w:b w:val="0"/>
                <w:bCs w:val="0"/>
                <w:i w:val="0"/>
                <w:iCs w:val="0"/>
                <w:smallCaps w:val="0"/>
                <w:color w:val="000000"/>
              </w:rPr>
              <w:t>: The company submitted figures for capacity and capacity utilisation across the injury period. We verified the capacity figures through discussion during the verification visit and were satisfied that these were reasonable. We then used the capacity and output figures together to cross-check whether the capacity utilisation figures were correct.</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u w:val="single" w:color="000000"/>
              </w:rPr>
              <w:t>Stocks</w:t>
            </w:r>
            <w:r>
              <w:rPr>
                <w:b w:val="0"/>
                <w:bCs w:val="0"/>
                <w:i w:val="0"/>
                <w:iCs w:val="0"/>
                <w:smallCaps w:val="0"/>
                <w:color w:val="000000"/>
              </w:rPr>
              <w:t xml:space="preserve">: During the verification visit, we asked the company to explain how it had produced the figures for stocks at year end. We were satisfied with the explanation given, and that the figures are reasonable. </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u w:val="single" w:color="000000"/>
              </w:rPr>
              <w:t>Employment</w:t>
            </w:r>
            <w:r>
              <w:rPr>
                <w:b w:val="0"/>
                <w:bCs w:val="0"/>
                <w:i w:val="0"/>
                <w:iCs w:val="0"/>
                <w:smallCaps w:val="0"/>
                <w:color w:val="000000"/>
              </w:rPr>
              <w:t xml:space="preserve">: The TRA verified the total employment figures provided by the company by comparing against the published financial statements. </w:t>
            </w:r>
            <w:r>
              <w:rPr>
                <w:b w:val="0"/>
                <w:bCs w:val="0"/>
                <w:i/>
                <w:iCs/>
                <w:smallCaps w:val="0"/>
                <w:color w:val="000000"/>
              </w:rPr>
              <w:t>[Confidential information relating to the internal organisation of Michelin accounting and management operation].</w:t>
            </w:r>
            <w:r>
              <w:rPr>
                <w:b w:val="0"/>
                <w:bCs w:val="0"/>
                <w:i/>
                <w:iCs/>
                <w:smallCaps w:val="0"/>
                <w:color w:val="FF0000"/>
              </w:rPr>
              <w:t xml:space="preserve"> </w:t>
            </w:r>
            <w:r>
              <w:rPr>
                <w:b w:val="0"/>
                <w:bCs w:val="0"/>
                <w:i w:val="0"/>
                <w:iCs w:val="0"/>
                <w:smallCaps w:val="0"/>
                <w:color w:val="000000"/>
              </w:rPr>
              <w:t xml:space="preserve">We discussed the methodology for determining number of employees for the like goods during this visit and were satisfied this was reasonable. We checked the productivity by recalculating the output per employee using the ‘output of like goods’ and ‘employees (FTE) for like goods’ figures provided by the company – this agreed with the figures submitted by the company for productivity. </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u w:val="single" w:color="000000"/>
              </w:rPr>
              <w:t>Investments:</w:t>
            </w:r>
            <w:r>
              <w:rPr>
                <w:b w:val="0"/>
                <w:bCs w:val="0"/>
                <w:i w:val="0"/>
                <w:iCs w:val="0"/>
                <w:smallCaps w:val="0"/>
                <w:color w:val="000000"/>
              </w:rPr>
              <w:t xml:space="preserve"> The TRA verified the company wide investment figures submitted by the company by comparing against the published financial statements for each year in the injury period. During the verification visit, we asked about the methodology used for determining the figures for investments in relation to the like goods. Having assessed this methodology, we were satisfied that it is reasonable.</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140" w:lineRule="atLeast"/>
              <w:rPr>
                <w:rFonts w:ascii="Arial" w:eastAsia="Arial" w:hAnsi="Arial" w:cs="Arial"/>
                <w:b w:val="0"/>
                <w:bCs w:val="0"/>
                <w:i w:val="0"/>
                <w:iCs w:val="0"/>
                <w:smallCaps w:val="0"/>
                <w:color w:val="000000"/>
                <w:sz w:val="14"/>
                <w:szCs w:val="14"/>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Exceptions/Findings/Adjustments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The TRA has no exceptions, findings, or adjustments to report with regards to the injury claims from the company</w:t>
            </w:r>
            <w:r>
              <w:rPr>
                <w:b w:val="0"/>
                <w:bCs w:val="0"/>
                <w:i w:val="0"/>
                <w:iCs w:val="0"/>
                <w:smallCaps w:val="0"/>
                <w:color w:val="000000"/>
                <w:sz w:val="22"/>
                <w:szCs w:val="22"/>
              </w:rPr>
              <w:t>.</w:t>
            </w:r>
            <w:r>
              <w:rPr>
                <w:b w:val="0"/>
                <w:bCs w:val="0"/>
                <w:i w:val="0"/>
                <w:iCs w:val="0"/>
                <w:smallCaps w:val="0"/>
                <w:color w:val="000000"/>
                <w:sz w:val="22"/>
                <w:szCs w:val="22"/>
              </w:rPr>
              <w:t> </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200" w:lineRule="atLeast"/>
              <w:rPr>
                <w:rFonts w:ascii="Arial" w:eastAsia="Arial" w:hAnsi="Arial" w:cs="Arial"/>
                <w:b w:val="0"/>
                <w:bCs w:val="0"/>
                <w:i w:val="0"/>
                <w:iCs w:val="0"/>
                <w:smallCaps w:val="0"/>
                <w:color w:val="000000"/>
                <w:sz w:val="20"/>
                <w:szCs w:val="20"/>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Conclusions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The information relating to injury factors that we have been provided by the interested party is verifiable. Based on the work we have done, we have a reasonable level of assurance that the information can be treated as complete, relevant and accurate and can therefore be used by the TRA for the injury likelihood assessment and for any other purpose within the review.</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tcBorders>
            <w:noWrap w:val="0"/>
            <w:tcMar>
              <w:top w:w="85" w:type="dxa"/>
              <w:left w:w="108" w:type="dxa"/>
              <w:bottom w:w="85" w:type="dxa"/>
              <w:right w:w="108" w:type="dxa"/>
            </w:tcMar>
            <w:vAlign w:val="center"/>
          </w:tcPr>
          <w:p>
            <w:pPr>
              <w:spacing w:before="0" w:after="0" w:line="200" w:lineRule="atLeast"/>
              <w:rPr>
                <w:rFonts w:ascii="Arial" w:eastAsia="Arial" w:hAnsi="Arial" w:cs="Arial"/>
                <w:b w:val="0"/>
                <w:bCs w:val="0"/>
                <w:i w:val="0"/>
                <w:iCs w:val="0"/>
                <w:smallCaps w:val="0"/>
                <w:color w:val="000000"/>
                <w:sz w:val="20"/>
                <w:szCs w:val="20"/>
              </w:rPr>
            </w:pPr>
          </w:p>
        </w:tc>
      </w:tr>
    </w:tbl>
    <w:p>
      <w:pPr>
        <w:spacing w:before="0" w:after="160"/>
        <w:rPr>
          <w:rFonts w:ascii="Arial" w:eastAsia="Arial" w:hAnsi="Arial" w:cs="Arial"/>
          <w:sz w:val="24"/>
          <w:szCs w:val="24"/>
        </w:rPr>
      </w:pPr>
      <w:bookmarkStart w:id="11" w:name="_Toc164769593"/>
    </w:p>
    <w:p>
      <w:pPr>
        <w:pStyle w:val="Heading2"/>
        <w:spacing w:before="0" w:line="280" w:lineRule="atLeast"/>
        <w:rPr>
          <w:b/>
          <w:bCs/>
          <w:sz w:val="36"/>
          <w:szCs w:val="36"/>
        </w:rPr>
      </w:pPr>
      <w:r>
        <w:rPr>
          <w:rFonts w:ascii="Arial" w:eastAsia="Arial" w:hAnsi="Arial" w:cs="Arial"/>
          <w:b w:val="0"/>
          <w:bCs w:val="0"/>
          <w:i w:val="0"/>
          <w:color w:val="auto"/>
          <w:sz w:val="28"/>
          <w:szCs w:val="28"/>
        </w:rPr>
        <w:t>F</w:t>
      </w:r>
      <w:r>
        <w:rPr>
          <w:rFonts w:ascii="Arial" w:eastAsia="Arial" w:hAnsi="Arial" w:cs="Arial"/>
          <w:b w:val="0"/>
          <w:bCs w:val="0"/>
          <w:i w:val="0"/>
          <w:color w:val="auto"/>
          <w:sz w:val="26"/>
          <w:szCs w:val="26"/>
        </w:rPr>
        <w:t xml:space="preserve">. </w:t>
      </w:r>
      <w:r>
        <w:rPr>
          <w:rFonts w:ascii="Arial" w:eastAsia="Arial" w:hAnsi="Arial" w:cs="Arial"/>
          <w:b w:val="0"/>
          <w:bCs w:val="0"/>
          <w:i w:val="0"/>
          <w:color w:val="auto"/>
          <w:sz w:val="28"/>
          <w:szCs w:val="28"/>
        </w:rPr>
        <w:t>Economic Interest Test</w:t>
      </w:r>
      <w:bookmarkEnd w:id="11"/>
      <w:r>
        <w:rPr>
          <w:rFonts w:ascii="Arial" w:eastAsia="Arial" w:hAnsi="Arial" w:cs="Arial"/>
          <w:b w:val="0"/>
          <w:bCs w:val="0"/>
          <w:i w:val="0"/>
          <w:color w:val="auto"/>
          <w:sz w:val="28"/>
          <w:szCs w:val="28"/>
        </w:rPr>
        <w:t xml:space="preserve"> </w:t>
      </w:r>
    </w:p>
    <w:p>
      <w:pPr>
        <w:spacing w:before="0" w:after="0" w:line="240" w:lineRule="atLeast"/>
        <w:rPr>
          <w:rFonts w:ascii="Arial" w:eastAsia="Arial" w:hAnsi="Arial" w:cs="Arial"/>
          <w:sz w:val="24"/>
          <w:szCs w:val="24"/>
        </w:rPr>
      </w:pPr>
    </w:p>
    <w:tbl>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9020"/>
      </w:tblGrid>
      <w:tr>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020" w:type="dxa"/>
            <w:tcBorders>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What information was considered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The TRA considered information submitted by the company in the EIT annex and EIT section of the questionnaire, including information relating to:</w:t>
            </w:r>
          </w:p>
          <w:p>
            <w:pPr>
              <w:numPr>
                <w:ilvl w:val="0"/>
                <w:numId w:val="9"/>
              </w:numPr>
              <w:pBdr>
                <w:left w:val="none" w:sz="0" w:space="7" w:color="auto"/>
              </w:pBdr>
              <w:spacing w:before="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supply chain and raw materials;</w:t>
            </w:r>
          </w:p>
          <w:p>
            <w:pPr>
              <w:numPr>
                <w:ilvl w:val="0"/>
                <w:numId w:val="9"/>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employment;</w:t>
            </w:r>
          </w:p>
          <w:p>
            <w:pPr>
              <w:numPr>
                <w:ilvl w:val="0"/>
                <w:numId w:val="9"/>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market share;</w:t>
            </w:r>
          </w:p>
          <w:p>
            <w:pPr>
              <w:numPr>
                <w:ilvl w:val="0"/>
                <w:numId w:val="9"/>
              </w:numPr>
              <w:pBdr>
                <w:left w:val="none" w:sz="0" w:space="7" w:color="auto"/>
              </w:pBdr>
              <w:spacing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effect of import price on domestic price and production;</w:t>
            </w:r>
          </w:p>
          <w:p>
            <w:pPr>
              <w:numPr>
                <w:ilvl w:val="0"/>
                <w:numId w:val="9"/>
              </w:numPr>
              <w:pBdr>
                <w:left w:val="none" w:sz="0" w:space="7" w:color="auto"/>
              </w:pBdr>
              <w:spacing w:after="0" w:line="240" w:lineRule="atLeast"/>
              <w:ind w:left="720" w:right="0" w:hanging="436"/>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circular economy activities relating to retreading.</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200" w:lineRule="atLeast"/>
              <w:rPr>
                <w:rFonts w:ascii="Arial" w:eastAsia="Arial" w:hAnsi="Arial" w:cs="Arial"/>
                <w:b w:val="0"/>
                <w:bCs w:val="0"/>
                <w:i w:val="0"/>
                <w:iCs w:val="0"/>
                <w:smallCaps w:val="0"/>
                <w:color w:val="000000"/>
                <w:sz w:val="20"/>
                <w:szCs w:val="20"/>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How the information was checked</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 xml:space="preserve">The company submitted information about its upstream supply chain, and identified the raw materials involved in the production process as casings and rubber mixes. This was confirmed during a factory tour as part of an earlier facilitation visit. We were able to verify the existence of all casing agents identified by the company, using information from Companies House. </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rPr>
              <w:t>We selected one raw materials supplier and isolated the purchases from this supplier listed in the Raw Materials annex. We compared these against the purchase ledger for this supplier and were able to match all entries in the Raw Materials annex to entries in the ledger, confirming that the purchases were correctly reported.</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rPr>
              <w:t xml:space="preserve">For verification of employment and market share information, refer to Section E – Injury. </w:t>
            </w:r>
          </w:p>
          <w:p>
            <w:pPr>
              <w:spacing w:before="0" w:after="0" w:line="240" w:lineRule="auto"/>
              <w:rPr>
                <w:rFonts w:ascii="Arial" w:eastAsia="Arial" w:hAnsi="Arial" w:cs="Arial"/>
                <w:b w:val="0"/>
                <w:bCs w:val="0"/>
                <w:i w:val="0"/>
                <w:iCs w:val="0"/>
                <w:smallCaps w:val="0"/>
                <w:color w:val="000000"/>
                <w:sz w:val="24"/>
                <w:szCs w:val="24"/>
              </w:rPr>
            </w:pPr>
          </w:p>
          <w:p>
            <w:pPr>
              <w:spacing w:before="0" w:after="0" w:line="240" w:lineRule="auto"/>
              <w:rPr>
                <w:b w:val="0"/>
                <w:bCs w:val="0"/>
                <w:i w:val="0"/>
                <w:iCs w:val="0"/>
                <w:smallCaps w:val="0"/>
                <w:color w:val="000000"/>
              </w:rPr>
            </w:pPr>
            <w:r>
              <w:rPr>
                <w:b w:val="0"/>
                <w:bCs w:val="0"/>
                <w:i w:val="0"/>
                <w:iCs w:val="0"/>
                <w:smallCaps w:val="0"/>
                <w:color w:val="000000"/>
              </w:rPr>
              <w:t xml:space="preserve">The company provided information regarding the forecast change in domestic price and production if import price of the goods subject to review were to decrease. It also submitted information regarding the impact revocation would have on the circular activities relating to retreading and reuse of truck tyres. We assessed the quality of the information provided regarding these factors and consider it to be of reasonable quality. </w:t>
            </w:r>
            <w:r>
              <w:rPr>
                <w:b w:val="0"/>
                <w:bCs w:val="0"/>
                <w:i w:val="0"/>
                <w:iCs w:val="0"/>
                <w:smallCaps w:val="0"/>
                <w:color w:val="000000"/>
              </w:rPr>
              <w:t xml:space="preserve"> </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200" w:lineRule="atLeast"/>
              <w:rPr>
                <w:rFonts w:ascii="Arial" w:eastAsia="Arial" w:hAnsi="Arial" w:cs="Arial"/>
                <w:b w:val="0"/>
                <w:bCs w:val="0"/>
                <w:i w:val="0"/>
                <w:iCs w:val="0"/>
                <w:smallCaps w:val="0"/>
                <w:color w:val="000000"/>
                <w:sz w:val="20"/>
                <w:szCs w:val="20"/>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Exceptions/Findings/Adjustments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The TRA has no exceptions, findings, or adjustments to report with regards to the claims from the company relating to the EIT.</w:t>
            </w:r>
            <w:r>
              <w:rPr>
                <w:b w:val="0"/>
                <w:bCs w:val="0"/>
                <w:i w:val="0"/>
                <w:iCs w:val="0"/>
                <w:smallCaps w:val="0"/>
                <w:color w:val="000000"/>
              </w:rPr>
              <w:t> </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center"/>
          </w:tcPr>
          <w:p>
            <w:pPr>
              <w:spacing w:before="0" w:after="0" w:line="200" w:lineRule="atLeast"/>
              <w:rPr>
                <w:rFonts w:ascii="Arial" w:eastAsia="Arial" w:hAnsi="Arial" w:cs="Arial"/>
                <w:b w:val="0"/>
                <w:bCs w:val="0"/>
                <w:i w:val="0"/>
                <w:iCs w:val="0"/>
                <w:smallCaps w:val="0"/>
                <w:color w:val="000000"/>
                <w:sz w:val="20"/>
                <w:szCs w:val="20"/>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Conclusions</w:t>
            </w:r>
          </w:p>
        </w:tc>
      </w:tr>
      <w:tr>
        <w:tblPrEx>
          <w:tblCellMar>
            <w:top w:w="0" w:type="dxa"/>
            <w:left w:w="0" w:type="dxa"/>
            <w:bottom w:w="0" w:type="dxa"/>
            <w:right w:w="0" w:type="dxa"/>
          </w:tblCellMar>
        </w:tblPrEx>
        <w:tc>
          <w:tcPr>
            <w:tcW w:w="9020" w:type="dxa"/>
            <w:tcBorders>
              <w:top w:val="single" w:sz="2" w:space="0" w:color="000000"/>
              <w:bottom w:val="single" w:sz="2" w:space="0" w:color="000000"/>
            </w:tcBorders>
            <w:noWrap w:val="0"/>
            <w:tcMar>
              <w:top w:w="85" w:type="dxa"/>
              <w:left w:w="108" w:type="dxa"/>
              <w:bottom w:w="85"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sz w:val="22"/>
                <w:szCs w:val="22"/>
              </w:rPr>
              <w:t>T</w:t>
            </w:r>
            <w:r>
              <w:rPr>
                <w:b w:val="0"/>
                <w:bCs w:val="0"/>
                <w:i w:val="0"/>
                <w:iCs w:val="0"/>
                <w:smallCaps w:val="0"/>
                <w:color w:val="000000"/>
              </w:rPr>
              <w:t xml:space="preserve">he information relating to economic interest that we have been provided by the interested party is verifiable. Based on the work we have done, we have a reasonable level of assurance that the information can be treated as complete, relevant and accurate and can therefore be used by the TRA for the Economic Interest Test and for any other purpose within the review. </w:t>
            </w:r>
          </w:p>
          <w:p>
            <w:pPr>
              <w:spacing w:before="0" w:after="0" w:line="240" w:lineRule="auto"/>
              <w:rPr>
                <w:rFonts w:ascii="Arial" w:eastAsia="Arial" w:hAnsi="Arial" w:cs="Arial"/>
                <w:b w:val="0"/>
                <w:bCs w:val="0"/>
                <w:i w:val="0"/>
                <w:iCs w:val="0"/>
                <w:smallCaps w:val="0"/>
                <w:color w:val="000000"/>
                <w:sz w:val="12"/>
                <w:szCs w:val="12"/>
              </w:rPr>
            </w:pPr>
          </w:p>
        </w:tc>
      </w:tr>
      <w:tr>
        <w:tblPrEx>
          <w:tblCellMar>
            <w:top w:w="0" w:type="dxa"/>
            <w:left w:w="0" w:type="dxa"/>
            <w:bottom w:w="0" w:type="dxa"/>
            <w:right w:w="0" w:type="dxa"/>
          </w:tblCellMar>
        </w:tblPrEx>
        <w:tc>
          <w:tcPr>
            <w:tcW w:w="9020" w:type="dxa"/>
            <w:tcBorders>
              <w:top w:val="single" w:sz="2" w:space="0" w:color="000000"/>
              <w:bottom w:val="single" w:sz="2" w:space="0" w:color="000000"/>
            </w:tcBorders>
            <w:shd w:val="clear" w:color="auto" w:fill="F2F2F2"/>
            <w:noWrap w:val="0"/>
            <w:tcMar>
              <w:top w:w="85" w:type="dxa"/>
              <w:left w:w="108" w:type="dxa"/>
              <w:bottom w:w="85" w:type="dxa"/>
              <w:right w:w="108" w:type="dxa"/>
            </w:tcMar>
            <w:vAlign w:val="center"/>
            <w:hideMark/>
          </w:tcPr>
          <w:p>
            <w:pPr>
              <w:spacing w:before="0" w:after="0" w:line="240" w:lineRule="auto"/>
              <w:rPr>
                <w:b w:val="0"/>
                <w:bCs w:val="0"/>
                <w:i w:val="0"/>
                <w:iCs w:val="0"/>
                <w:smallCaps w:val="0"/>
                <w:color w:val="000000"/>
                <w:sz w:val="22"/>
                <w:szCs w:val="22"/>
              </w:rPr>
            </w:pPr>
            <w:r>
              <w:rPr>
                <w:b w:val="0"/>
                <w:bCs w:val="0"/>
                <w:i/>
                <w:iCs/>
                <w:smallCaps w:val="0"/>
                <w:color w:val="000000"/>
                <w:sz w:val="20"/>
                <w:szCs w:val="20"/>
              </w:rPr>
              <w:t xml:space="preserve">If you have redacted or removed any information, please provide reasons as to why the information is considered confidential (see </w:t>
            </w:r>
            <w:hyperlink w:anchor="_Confidential_information" w:history="1">
              <w:r>
                <w:rPr>
                  <w:b w:val="0"/>
                  <w:bCs w:val="0"/>
                  <w:i/>
                  <w:iCs/>
                  <w:smallCaps w:val="0"/>
                  <w:color w:val="0563C1"/>
                  <w:sz w:val="20"/>
                  <w:szCs w:val="20"/>
                  <w:u w:val="single" w:color="0563C1"/>
                </w:rPr>
                <w:t>Confidential information</w:t>
              </w:r>
            </w:hyperlink>
            <w:r>
              <w:rPr>
                <w:b w:val="0"/>
                <w:bCs w:val="0"/>
                <w:i/>
                <w:iCs/>
                <w:smallCaps w:val="0"/>
                <w:color w:val="000000"/>
                <w:sz w:val="20"/>
                <w:szCs w:val="20"/>
              </w:rPr>
              <w:t>):</w:t>
            </w:r>
          </w:p>
        </w:tc>
      </w:tr>
      <w:tr>
        <w:tblPrEx>
          <w:tblCellMar>
            <w:top w:w="0" w:type="dxa"/>
            <w:left w:w="0" w:type="dxa"/>
            <w:bottom w:w="0" w:type="dxa"/>
            <w:right w:w="0" w:type="dxa"/>
          </w:tblCellMar>
        </w:tblPrEx>
        <w:tc>
          <w:tcPr>
            <w:tcW w:w="9020" w:type="dxa"/>
            <w:tcBorders>
              <w:top w:val="single" w:sz="2" w:space="0" w:color="000000"/>
            </w:tcBorders>
            <w:noWrap w:val="0"/>
            <w:tcMar>
              <w:top w:w="85" w:type="dxa"/>
              <w:left w:w="108" w:type="dxa"/>
              <w:bottom w:w="85" w:type="dxa"/>
              <w:right w:w="108" w:type="dxa"/>
            </w:tcMar>
            <w:vAlign w:val="center"/>
          </w:tcPr>
          <w:p>
            <w:pPr>
              <w:spacing w:before="0" w:after="0" w:line="200" w:lineRule="atLeast"/>
              <w:rPr>
                <w:rFonts w:ascii="Arial" w:eastAsia="Arial" w:hAnsi="Arial" w:cs="Arial"/>
                <w:b w:val="0"/>
                <w:bCs w:val="0"/>
                <w:i w:val="0"/>
                <w:iCs w:val="0"/>
                <w:smallCaps w:val="0"/>
                <w:color w:val="000000"/>
                <w:sz w:val="20"/>
                <w:szCs w:val="20"/>
              </w:rPr>
            </w:pPr>
          </w:p>
        </w:tc>
      </w:tr>
    </w:tbl>
    <w:p>
      <w:pPr>
        <w:spacing w:before="0" w:after="160"/>
        <w:rPr>
          <w:rFonts w:ascii="Arial" w:eastAsia="Arial" w:hAnsi="Arial" w:cs="Arial"/>
          <w:sz w:val="24"/>
          <w:szCs w:val="24"/>
        </w:rPr>
      </w:pPr>
      <w:bookmarkStart w:id="12" w:name="_Toc164769594"/>
    </w:p>
    <w:p>
      <w:pPr>
        <w:spacing w:before="0" w:after="160"/>
        <w:rPr>
          <w:rFonts w:ascii="Arial" w:eastAsia="Arial" w:hAnsi="Arial" w:cs="Arial"/>
          <w:sz w:val="24"/>
          <w:szCs w:val="24"/>
        </w:rPr>
      </w:pPr>
    </w:p>
    <w:p>
      <w:pPr>
        <w:spacing w:before="0" w:after="160"/>
        <w:rPr>
          <w:rFonts w:ascii="Arial" w:eastAsia="Arial" w:hAnsi="Arial" w:cs="Arial"/>
          <w:sz w:val="24"/>
          <w:szCs w:val="24"/>
        </w:rPr>
      </w:pPr>
    </w:p>
    <w:p>
      <w:pPr>
        <w:spacing w:before="0" w:after="160"/>
        <w:rPr>
          <w:rFonts w:ascii="Arial" w:eastAsia="Arial" w:hAnsi="Arial" w:cs="Arial"/>
          <w:sz w:val="24"/>
          <w:szCs w:val="24"/>
        </w:rPr>
      </w:pPr>
    </w:p>
    <w:p>
      <w:pPr>
        <w:spacing w:before="0" w:after="160"/>
        <w:rPr>
          <w:rFonts w:ascii="Arial" w:eastAsia="Arial" w:hAnsi="Arial" w:cs="Arial"/>
          <w:sz w:val="24"/>
          <w:szCs w:val="24"/>
        </w:rPr>
      </w:pPr>
    </w:p>
    <w:p>
      <w:pPr>
        <w:spacing w:before="0" w:after="160"/>
        <w:rPr>
          <w:rFonts w:ascii="Arial" w:eastAsia="Arial" w:hAnsi="Arial" w:cs="Arial"/>
          <w:sz w:val="24"/>
          <w:szCs w:val="24"/>
        </w:rPr>
      </w:pPr>
    </w:p>
    <w:p>
      <w:pPr>
        <w:pStyle w:val="Heading1"/>
        <w:rPr>
          <w:b/>
          <w:bCs/>
          <w:sz w:val="32"/>
          <w:szCs w:val="32"/>
        </w:rPr>
      </w:pPr>
      <w:r>
        <w:rPr>
          <w:rFonts w:ascii="Arial" w:eastAsia="Arial" w:hAnsi="Arial" w:cs="Arial"/>
          <w:b w:val="0"/>
          <w:bCs w:val="0"/>
          <w:i w:val="0"/>
          <w:color w:val="auto"/>
          <w:sz w:val="32"/>
          <w:szCs w:val="32"/>
        </w:rPr>
        <w:t>Conclusions</w:t>
      </w:r>
      <w:bookmarkEnd w:id="12"/>
    </w:p>
    <w:p>
      <w:pPr>
        <w:spacing w:before="0" w:after="160"/>
        <w:rPr>
          <w:rFonts w:ascii="Arial" w:eastAsia="Arial" w:hAnsi="Arial" w:cs="Arial"/>
          <w:sz w:val="10"/>
          <w:szCs w:val="10"/>
        </w:rPr>
      </w:pPr>
    </w:p>
    <w:p>
      <w:pPr>
        <w:spacing w:before="0" w:after="0" w:line="240" w:lineRule="atLeast"/>
      </w:pPr>
      <w:r>
        <w:t>Verification of a sample of the company’s submitted data and a review of its accounting system did not identify any material issues that may impact upon the way the TRA intends to use its submitted data.</w:t>
      </w:r>
    </w:p>
    <w:p>
      <w:pPr>
        <w:spacing w:before="0" w:after="0" w:line="240" w:lineRule="atLeast"/>
        <w:rPr>
          <w:rFonts w:ascii="Arial" w:eastAsia="Arial" w:hAnsi="Arial" w:cs="Arial"/>
          <w:sz w:val="24"/>
          <w:szCs w:val="24"/>
        </w:rPr>
      </w:pPr>
    </w:p>
    <w:p>
      <w:pPr>
        <w:spacing w:before="0" w:after="0" w:line="240" w:lineRule="atLeast"/>
      </w:pPr>
      <w:r>
        <w:t>We are satisfied that the company and product information provided can be verified to source documentation. We have reasonable assurance that the company and product information provided is complete, relevant, and accurate during the POI.</w:t>
      </w:r>
    </w:p>
    <w:p>
      <w:pPr>
        <w:spacing w:before="0" w:after="0" w:line="240" w:lineRule="atLeast"/>
        <w:rPr>
          <w:rFonts w:ascii="Arial" w:eastAsia="Arial" w:hAnsi="Arial" w:cs="Arial"/>
          <w:sz w:val="24"/>
          <w:szCs w:val="24"/>
        </w:rPr>
      </w:pPr>
    </w:p>
    <w:p>
      <w:pPr>
        <w:spacing w:before="0" w:after="0" w:line="240" w:lineRule="atLeast"/>
      </w:pPr>
      <w:r>
        <w:t>We have been able to reconcile the submitted questionnaire data to the company’s published financial statements and have also been able to reconcile all sampled cost and sales transactions to source documents. We also have a reasonable level of assurance that the allocation of indirect manufacturing costs to PCNs reflects the actual cost incurred by the company during the POI.</w:t>
      </w:r>
    </w:p>
    <w:p>
      <w:pPr>
        <w:spacing w:before="0" w:after="0" w:line="240" w:lineRule="atLeast"/>
        <w:rPr>
          <w:rFonts w:ascii="Arial" w:eastAsia="Arial" w:hAnsi="Arial" w:cs="Arial"/>
          <w:sz w:val="24"/>
          <w:szCs w:val="24"/>
        </w:rPr>
      </w:pPr>
    </w:p>
    <w:p>
      <w:pPr>
        <w:spacing w:before="0" w:after="0" w:line="240" w:lineRule="atLeast"/>
      </w:pPr>
      <w:r>
        <w:t xml:space="preserve">We have checked the information submitted by the company to support its allegations of injury. We verified that the injury figures are consistent with source documents provided and the calculation methods appeared to be reasonable. </w:t>
      </w:r>
    </w:p>
    <w:p>
      <w:pPr>
        <w:spacing w:before="0" w:after="0" w:line="240" w:lineRule="atLeast"/>
        <w:rPr>
          <w:rFonts w:ascii="Arial" w:eastAsia="Arial" w:hAnsi="Arial" w:cs="Arial"/>
          <w:sz w:val="24"/>
          <w:szCs w:val="24"/>
        </w:rPr>
      </w:pPr>
    </w:p>
    <w:p>
      <w:pPr>
        <w:spacing w:before="0" w:after="0" w:line="240" w:lineRule="atLeast"/>
      </w:pPr>
      <w:r>
        <w:t>In summary, we have obtained sufficient and appropriate evidence to conclude that the information provided is verifiable.</w:t>
      </w:r>
      <w:r>
        <w:t xml:space="preserve">  </w:t>
      </w:r>
      <w:r>
        <w:t xml:space="preserve">We therefore have a reasonable level of assurance that the information submitted by the company is complete, relevant, and accurate for the purpose of informing this review. </w:t>
      </w:r>
    </w:p>
    <w:p>
      <w:pPr>
        <w:spacing w:before="0" w:after="0" w:line="240" w:lineRule="atLeast"/>
        <w:ind w:left="720" w:hanging="720"/>
        <w:rPr>
          <w:rFonts w:ascii="Arial" w:eastAsia="Arial" w:hAnsi="Arial" w:cs="Arial"/>
          <w:sz w:val="24"/>
          <w:szCs w:val="24"/>
        </w:rPr>
      </w:pPr>
    </w:p>
    <w:p>
      <w:pPr>
        <w:spacing w:before="0" w:after="0" w:line="240" w:lineRule="atLeast"/>
        <w:ind w:left="720" w:hanging="720"/>
        <w:rPr>
          <w:rFonts w:ascii="Arial" w:eastAsia="Arial" w:hAnsi="Arial" w:cs="Arial"/>
          <w:sz w:val="24"/>
          <w:szCs w:val="24"/>
        </w:rPr>
      </w:pPr>
    </w:p>
    <w:p>
      <w:pPr>
        <w:spacing w:before="0" w:after="160"/>
      </w:pPr>
      <w:r>
        <w:br w:type="page"/>
      </w:r>
    </w:p>
    <w:p>
      <w:pPr>
        <w:pStyle w:val="Heading1"/>
        <w:rPr>
          <w:b/>
          <w:bCs/>
          <w:sz w:val="32"/>
          <w:szCs w:val="32"/>
        </w:rPr>
      </w:pPr>
      <w:bookmarkStart w:id="13" w:name="_Toc164769595"/>
      <w:r>
        <w:rPr>
          <w:rFonts w:ascii="Arial" w:eastAsia="Arial" w:hAnsi="Arial" w:cs="Arial"/>
          <w:b w:val="0"/>
          <w:bCs w:val="0"/>
          <w:i w:val="0"/>
          <w:color w:val="auto"/>
          <w:sz w:val="32"/>
          <w:szCs w:val="32"/>
        </w:rPr>
        <w:t>Annexes</w:t>
      </w:r>
      <w:bookmarkEnd w:id="13"/>
    </w:p>
    <w:p>
      <w:pPr>
        <w:spacing w:before="0" w:after="160"/>
        <w:rPr>
          <w:rFonts w:ascii="Arial" w:eastAsia="Arial" w:hAnsi="Arial" w:cs="Arial"/>
          <w:sz w:val="24"/>
          <w:szCs w:val="24"/>
        </w:rPr>
      </w:pPr>
    </w:p>
    <w:p>
      <w:pPr>
        <w:pStyle w:val="Heading2"/>
        <w:spacing w:before="0" w:line="280" w:lineRule="atLeast"/>
        <w:rPr>
          <w:b/>
          <w:bCs/>
          <w:sz w:val="36"/>
          <w:szCs w:val="36"/>
        </w:rPr>
      </w:pPr>
      <w:bookmarkStart w:id="14" w:name="_Toc164769596"/>
      <w:r>
        <w:rPr>
          <w:rFonts w:ascii="Arial" w:eastAsia="Arial" w:hAnsi="Arial" w:cs="Arial"/>
          <w:b w:val="0"/>
          <w:bCs w:val="0"/>
          <w:i w:val="0"/>
          <w:color w:val="auto"/>
          <w:sz w:val="28"/>
          <w:szCs w:val="28"/>
        </w:rPr>
        <w:t>Annex 1: Meetings</w:t>
      </w:r>
      <w:bookmarkEnd w:id="14"/>
    </w:p>
    <w:p>
      <w:pPr>
        <w:spacing w:before="0" w:after="0" w:line="240" w:lineRule="atLeast"/>
        <w:rPr>
          <w:rFonts w:ascii="Arial" w:eastAsia="Arial" w:hAnsi="Arial" w:cs="Arial"/>
          <w:sz w:val="24"/>
          <w:szCs w:val="24"/>
        </w:rPr>
      </w:pPr>
    </w:p>
    <w:tbl>
      <w:tblPr>
        <w:tblW w:w="90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
      <w:tblGrid>
        <w:gridCol w:w="2254"/>
        <w:gridCol w:w="1800"/>
        <w:gridCol w:w="2708"/>
        <w:gridCol w:w="2254"/>
      </w:tblGrid>
      <w:tr>
        <w:tblPrEx>
          <w:tblW w:w="90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2254" w:type="dxa"/>
            <w:tcBorders>
              <w:bottom w:val="single" w:sz="2" w:space="0" w:color="000000"/>
              <w:right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Date and duration</w:t>
            </w:r>
          </w:p>
        </w:tc>
        <w:tc>
          <w:tcPr>
            <w:tcW w:w="1800" w:type="dxa"/>
            <w:tcBorders>
              <w:left w:val="single" w:sz="2" w:space="0" w:color="000000"/>
              <w:bottom w:val="single" w:sz="2" w:space="0" w:color="000000"/>
              <w:right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Type of authentication</w:t>
            </w:r>
          </w:p>
        </w:tc>
        <w:tc>
          <w:tcPr>
            <w:tcW w:w="2708" w:type="dxa"/>
            <w:tcBorders>
              <w:left w:val="single" w:sz="2" w:space="0" w:color="000000"/>
              <w:bottom w:val="single" w:sz="2" w:space="0" w:color="000000"/>
              <w:right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Company representatives</w:t>
            </w:r>
          </w:p>
        </w:tc>
        <w:tc>
          <w:tcPr>
            <w:tcW w:w="2254" w:type="dxa"/>
            <w:tcBorders>
              <w:left w:val="single" w:sz="2" w:space="0" w:color="000000"/>
              <w:bottom w:val="single" w:sz="2" w:space="0" w:color="000000"/>
            </w:tcBorders>
            <w:shd w:val="clear" w:color="auto" w:fill="B4C6E7"/>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 xml:space="preserve">TRA a sample </w:t>
            </w:r>
          </w:p>
        </w:tc>
      </w:tr>
      <w:tr>
        <w:tblPrEx>
          <w:tblW w:w="9016" w:type="dxa"/>
          <w:tblCellMar>
            <w:top w:w="0" w:type="dxa"/>
            <w:left w:w="0" w:type="dxa"/>
            <w:bottom w:w="0" w:type="dxa"/>
            <w:right w:w="0" w:type="dxa"/>
          </w:tblCellMar>
        </w:tblPrEx>
        <w:tc>
          <w:tcPr>
            <w:tcW w:w="2254" w:type="dxa"/>
            <w:tcBorders>
              <w:top w:val="single" w:sz="2" w:space="0" w:color="000000"/>
              <w:right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11-13 December 2023 (3 days)</w:t>
            </w:r>
          </w:p>
        </w:tc>
        <w:tc>
          <w:tcPr>
            <w:tcW w:w="1800" w:type="dxa"/>
            <w:tcBorders>
              <w:top w:val="single" w:sz="2" w:space="0" w:color="000000"/>
              <w:left w:val="single" w:sz="2" w:space="0" w:color="000000"/>
              <w:right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sdt>
              <w:sdtPr>
                <w:id w:val="1485420369"/>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 xml:space="preserve"> remote</w:t>
            </w:r>
          </w:p>
          <w:p>
            <w:pPr>
              <w:spacing w:before="0" w:after="0" w:line="240" w:lineRule="atLeast"/>
              <w:rPr>
                <w:b w:val="0"/>
                <w:bCs w:val="0"/>
                <w:i w:val="0"/>
                <w:iCs w:val="0"/>
                <w:smallCaps w:val="0"/>
                <w:color w:val="000000"/>
              </w:rPr>
            </w:pPr>
            <w:sdt>
              <w:sdtPr>
                <w:id w:val="163661091"/>
                <w:placeholder>
                  <w:docPart w:val="DefaultPlaceholder_22675703"/>
                </w:placeholder>
                <w:text/>
              </w:sdtPr>
              <w:sdtContent>
                <w:r>
                  <w:rPr>
                    <w:rFonts w:ascii="MS Gothic" w:eastAsia="MS Gothic" w:hAnsi="MS Gothic" w:cs="MS Gothic"/>
                    <w:b w:val="0"/>
                    <w:bCs w:val="0"/>
                    <w:i w:val="0"/>
                    <w:iCs w:val="0"/>
                    <w:smallCaps w:val="0"/>
                    <w:color w:val="000000"/>
                  </w:rPr>
                  <w:t>☒</w:t>
                </w:r>
              </w:sdtContent>
            </w:sdt>
            <w:r>
              <w:rPr>
                <w:b w:val="0"/>
                <w:bCs w:val="0"/>
                <w:i w:val="0"/>
                <w:iCs w:val="0"/>
                <w:smallCaps w:val="0"/>
                <w:color w:val="000000"/>
              </w:rPr>
              <w:t xml:space="preserve"> on-site</w:t>
            </w:r>
          </w:p>
        </w:tc>
        <w:tc>
          <w:tcPr>
            <w:tcW w:w="2708" w:type="dxa"/>
            <w:tcBorders>
              <w:top w:val="single" w:sz="2" w:space="0" w:color="000000"/>
              <w:left w:val="single" w:sz="2" w:space="0" w:color="000000"/>
              <w:right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val="0"/>
                <w:iCs w:val="0"/>
                <w:smallCaps w:val="0"/>
                <w:color w:val="000000"/>
              </w:rPr>
              <w:t xml:space="preserve">Main representatives: </w:t>
            </w:r>
          </w:p>
          <w:p>
            <w:pPr>
              <w:spacing w:before="0" w:after="0" w:line="240" w:lineRule="atLeast"/>
              <w:rPr>
                <w:b w:val="0"/>
                <w:bCs w:val="0"/>
                <w:i w:val="0"/>
                <w:iCs w:val="0"/>
                <w:smallCaps w:val="0"/>
                <w:color w:val="000000"/>
              </w:rPr>
            </w:pPr>
            <w:r>
              <w:rPr>
                <w:b w:val="0"/>
                <w:bCs w:val="0"/>
                <w:i/>
                <w:iCs/>
                <w:smallCaps w:val="0"/>
                <w:color w:val="000000"/>
              </w:rPr>
              <w:t>[Confidential information – personal data]</w:t>
            </w:r>
          </w:p>
          <w:p>
            <w:pPr>
              <w:spacing w:before="0" w:after="0" w:line="240" w:lineRule="atLeast"/>
              <w:rPr>
                <w:rFonts w:ascii="Arial" w:eastAsia="Arial" w:hAnsi="Arial" w:cs="Arial"/>
                <w:b w:val="0"/>
                <w:bCs w:val="0"/>
                <w:i w:val="0"/>
                <w:iCs w:val="0"/>
                <w:smallCaps w:val="0"/>
                <w:color w:val="FF0000"/>
                <w:sz w:val="24"/>
                <w:szCs w:val="24"/>
              </w:rPr>
            </w:pPr>
          </w:p>
          <w:p>
            <w:pPr>
              <w:spacing w:before="0" w:after="0" w:line="240" w:lineRule="atLeast"/>
              <w:rPr>
                <w:b w:val="0"/>
                <w:bCs w:val="0"/>
                <w:i w:val="0"/>
                <w:iCs w:val="0"/>
                <w:smallCaps w:val="0"/>
                <w:color w:val="000000"/>
              </w:rPr>
            </w:pPr>
            <w:r>
              <w:rPr>
                <w:b w:val="0"/>
                <w:bCs w:val="0"/>
                <w:i w:val="0"/>
                <w:iCs w:val="0"/>
                <w:smallCaps w:val="0"/>
                <w:color w:val="000000"/>
              </w:rPr>
              <w:t>Plus additional specialists to address specific points</w:t>
            </w:r>
          </w:p>
          <w:p>
            <w:pPr>
              <w:spacing w:before="0" w:after="0" w:line="240" w:lineRule="atLeast"/>
              <w:rPr>
                <w:rFonts w:ascii="Arial" w:eastAsia="Arial" w:hAnsi="Arial" w:cs="Arial"/>
                <w:b w:val="0"/>
                <w:bCs w:val="0"/>
                <w:i w:val="0"/>
                <w:iCs w:val="0"/>
                <w:smallCaps w:val="0"/>
                <w:color w:val="000000"/>
                <w:sz w:val="24"/>
                <w:szCs w:val="24"/>
              </w:rPr>
            </w:pPr>
          </w:p>
        </w:tc>
        <w:tc>
          <w:tcPr>
            <w:tcW w:w="2254" w:type="dxa"/>
            <w:tcBorders>
              <w:top w:val="single" w:sz="2" w:space="0" w:color="000000"/>
              <w:left w:val="single" w:sz="2" w:space="0" w:color="000000"/>
            </w:tcBorders>
            <w:noWrap w:val="0"/>
            <w:tcMar>
              <w:top w:w="85" w:type="dxa"/>
              <w:left w:w="108" w:type="dxa"/>
              <w:bottom w:w="85" w:type="dxa"/>
              <w:right w:w="108" w:type="dxa"/>
            </w:tcMar>
            <w:vAlign w:val="top"/>
            <w:hideMark/>
          </w:tcPr>
          <w:p>
            <w:pPr>
              <w:spacing w:before="0" w:after="0" w:line="240" w:lineRule="atLeast"/>
              <w:rPr>
                <w:b w:val="0"/>
                <w:bCs w:val="0"/>
                <w:i w:val="0"/>
                <w:iCs w:val="0"/>
                <w:smallCaps w:val="0"/>
                <w:color w:val="000000"/>
              </w:rPr>
            </w:pPr>
            <w:r>
              <w:rPr>
                <w:b w:val="0"/>
                <w:bCs w:val="0"/>
                <w:i/>
                <w:iCs/>
                <w:smallCaps w:val="0"/>
                <w:color w:val="000000"/>
              </w:rPr>
              <w:t>[Confidential information – personal data]</w:t>
            </w:r>
          </w:p>
        </w:tc>
      </w:tr>
    </w:tbl>
    <w:p>
      <w:pPr>
        <w:spacing w:before="0" w:after="0"/>
        <w:rPr>
          <w:rFonts w:ascii="Arial" w:eastAsia="Arial" w:hAnsi="Arial" w:cs="Arial"/>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p>
      <w:pPr>
        <w:spacing w:before="0" w:after="0" w:line="240" w:lineRule="atLeast"/>
        <w:rPr>
          <w:rFonts w:ascii="Arial" w:eastAsia="Arial" w:hAnsi="Arial" w:cs="Arial"/>
          <w:i/>
          <w:iCs/>
          <w:sz w:val="24"/>
          <w:szCs w:val="24"/>
        </w:rPr>
      </w:pPr>
    </w:p>
    <w:sectPr>
      <w:headerReference w:type="default" r:id="rId6"/>
      <w:footerReference w:type="default" r:id="rId7"/>
      <w:type w:val="nextPage"/>
      <w:pgSz w:w="11906" w:h="16838"/>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3101400"/>
      <w:placeholder>
        <w:docPart w:val="DefaultPlaceholder_22675703"/>
      </w:placeholder>
      <w:richText/>
    </w:sdtPr>
    <w:sdtContent>
      <w:sdt>
        <w:sdtPr>
          <w:id w:val="502878482"/>
          <w:placeholder>
            <w:docPart w:val="DefaultPlaceholder_22675703"/>
          </w:placeholder>
          <w:richText/>
        </w:sdtPr>
        <w:sdtContent>
          <w:p>
            <w:pPr>
              <w:spacing w:before="0" w:after="0" w:line="240" w:lineRule="auto"/>
              <w:jc w:val="center"/>
            </w:pPr>
            <w:r>
              <w:t xml:space="preserve">Page </w:t>
            </w:r>
            <w:r>
              <w:fldChar w:fldCharType="begin"/>
            </w:r>
            <w:r>
              <w:instrText xml:space="preserve"> PAGE </w:instrText>
            </w:r>
            <w:r>
              <w:fldChar w:fldCharType="separate"/>
            </w:r>
            <w:r>
              <w:t>16</w:t>
            </w:r>
            <w:r>
              <w:rPr>
                <w:b/>
                <w:bCs/>
              </w:rPr>
              <w:fldChar w:fldCharType="end"/>
            </w:r>
            <w:r>
              <w:t xml:space="preserve"> of </w:t>
            </w:r>
            <w:r>
              <w:fldChar w:fldCharType="begin"/>
            </w:r>
            <w:r>
              <w:instrText xml:space="preserve"> NUMPAGES  </w:instrText>
            </w:r>
            <w:r>
              <w:fldChar w:fldCharType="separate"/>
            </w:r>
            <w:r>
              <w:t>16</w:t>
            </w:r>
            <w:r>
              <w:rPr>
                <w:b/>
                <w:bCs/>
              </w:rPr>
              <w:fldChar w:fldCharType="end"/>
            </w:r>
          </w:p>
        </w:sdtContent>
      </w:sdt>
      <w:p/>
    </w:sdtContent>
  </w:sdt>
  <w:p>
    <w:pPr>
      <w:spacing w:before="0" w:after="0" w:line="240" w:lineRule="auto"/>
    </w:pPr>
    <w:r>
      <w:rPr>
        <w:sz w:val="10"/>
        <w:szCs w:val="10"/>
      </w:rPr>
      <w:t>WS1201.1877754.1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Grid>
      <w:gridCol w:w="3119"/>
      <w:gridCol w:w="3005"/>
      <w:gridCol w:w="3941"/>
    </w:tblGrid>
    <w:tr>
      <w:tblPrEx>
        <w:tblW w:w="100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Ex>
      <w:tc>
        <w:tcPr>
          <w:tcBorders>
            <w:right w:val="single" w:sz="4" w:space="0" w:color="FFFFFF"/>
          </w:tcBorders>
          <w:noWrap w:val="0"/>
          <w:tcMar>
            <w:top w:w="0" w:type="dxa"/>
            <w:left w:w="108" w:type="dxa"/>
            <w:bottom w:w="0" w:type="dxa"/>
            <w:right w:w="108" w:type="dxa"/>
          </w:tcMar>
          <w:vAlign w:val="top"/>
          <w:hideMark/>
        </w:tcPr>
        <w:p>
          <w:pPr>
            <w:spacing w:before="0" w:after="0" w:line="276" w:lineRule="auto"/>
            <w:rPr>
              <w:b w:val="0"/>
              <w:bCs w:val="0"/>
              <w:i w:val="0"/>
              <w:iCs w:val="0"/>
              <w:smallCaps w:val="0"/>
              <w:color w:val="000000"/>
              <w:sz w:val="22"/>
              <w:szCs w:val="22"/>
            </w:rPr>
          </w:pPr>
          <w:r>
            <w:rPr>
              <w:b w:val="0"/>
              <w:bCs w:val="0"/>
              <w:i w:val="0"/>
              <w:iCs w:val="0"/>
              <w:smallCaps w:val="0"/>
              <w:strike w:val="0"/>
              <w:color w:val="000000"/>
              <w:sz w:val="22"/>
              <w:szCs w:val="22"/>
              <w:u w:val="none"/>
            </w:rPr>
            <w:drawing>
              <wp:inline>
                <wp:extent cx="1504950" cy="8286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504950" cy="828675"/>
                        </a:xfrm>
                        <a:prstGeom prst="rect">
                          <a:avLst/>
                        </a:prstGeom>
                      </pic:spPr>
                    </pic:pic>
                  </a:graphicData>
                </a:graphic>
              </wp:inline>
            </w:drawing>
          </w:r>
        </w:p>
      </w:tc>
      <w:tc>
        <w:tcPr>
          <w:tcW w:w="3005" w:type="dxa"/>
          <w:tcBorders>
            <w:left w:val="single" w:sz="4" w:space="0" w:color="FFFFFF"/>
            <w:right w:val="single" w:sz="4" w:space="0" w:color="FFFFFF"/>
          </w:tcBorders>
          <w:noWrap w:val="0"/>
          <w:tcMar>
            <w:top w:w="0" w:type="dxa"/>
            <w:left w:w="108" w:type="dxa"/>
            <w:bottom w:w="0" w:type="dxa"/>
            <w:right w:w="108" w:type="dxa"/>
          </w:tcMar>
          <w:vAlign w:val="top"/>
          <w:hideMark/>
        </w:tcPr>
        <w:p>
          <w:pPr>
            <w:spacing w:before="0" w:after="0" w:line="240" w:lineRule="auto"/>
            <w:jc w:val="center"/>
            <w:rPr>
              <w:b w:val="0"/>
              <w:bCs w:val="0"/>
              <w:i w:val="0"/>
              <w:iCs w:val="0"/>
              <w:smallCaps w:val="0"/>
              <w:color w:val="000000"/>
              <w:sz w:val="28"/>
              <w:szCs w:val="28"/>
            </w:rPr>
          </w:pPr>
          <w:r>
            <w:rPr>
              <w:b/>
              <w:bCs/>
              <w:i w:val="0"/>
              <w:iCs w:val="0"/>
              <w:smallCaps w:val="0"/>
              <w:color w:val="FF0000"/>
              <w:sz w:val="28"/>
              <w:szCs w:val="28"/>
            </w:rPr>
            <w:t>OFFICIAL</w:t>
          </w:r>
        </w:p>
      </w:tc>
      <w:tc>
        <w:tcPr>
          <w:tcW w:w="3941" w:type="dxa"/>
          <w:tcBorders>
            <w:left w:val="single" w:sz="4" w:space="0" w:color="FFFFFF"/>
          </w:tcBorders>
          <w:noWrap w:val="0"/>
          <w:tcMar>
            <w:top w:w="0" w:type="dxa"/>
            <w:left w:w="108" w:type="dxa"/>
            <w:bottom w:w="0" w:type="dxa"/>
            <w:right w:w="108" w:type="dxa"/>
          </w:tcMar>
          <w:vAlign w:val="top"/>
          <w:hideMark/>
        </w:tcPr>
        <w:p>
          <w:pPr>
            <w:spacing w:before="0" w:after="0" w:line="240" w:lineRule="auto"/>
            <w:jc w:val="right"/>
            <w:rPr>
              <w:rFonts w:ascii="Arial" w:eastAsia="Arial" w:hAnsi="Arial" w:cs="Arial"/>
              <w:b w:val="0"/>
              <w:bCs w:val="0"/>
              <w:i w:val="0"/>
              <w:iCs w:val="0"/>
              <w:smallCaps w:val="0"/>
              <w:color w:val="000000"/>
              <w:sz w:val="19"/>
              <w:szCs w:val="19"/>
            </w:rPr>
          </w:pPr>
        </w:p>
        <w:p>
          <w:pPr>
            <w:spacing w:before="0" w:after="0" w:line="240" w:lineRule="auto"/>
            <w:jc w:val="right"/>
            <w:rPr>
              <w:b w:val="0"/>
              <w:bCs w:val="0"/>
              <w:i w:val="0"/>
              <w:iCs w:val="0"/>
              <w:smallCaps w:val="0"/>
              <w:color w:val="000000"/>
              <w:sz w:val="19"/>
              <w:szCs w:val="19"/>
            </w:rPr>
          </w:pPr>
          <w:r>
            <w:rPr>
              <w:b w:val="0"/>
              <w:bCs w:val="0"/>
              <w:i w:val="0"/>
              <w:iCs w:val="0"/>
              <w:smallCaps w:val="0"/>
              <w:color w:val="000000"/>
              <w:sz w:val="19"/>
              <w:szCs w:val="19"/>
            </w:rPr>
            <w:t>Trade Remedies Authority</w:t>
          </w:r>
        </w:p>
        <w:p>
          <w:pPr>
            <w:tabs>
              <w:tab w:val="left" w:pos="2133"/>
            </w:tabs>
            <w:spacing w:before="0" w:after="0" w:line="276" w:lineRule="auto"/>
            <w:ind w:left="7" w:firstLine="141"/>
            <w:rPr>
              <w:rFonts w:ascii="Arial" w:eastAsia="Arial" w:hAnsi="Arial" w:cs="Arial"/>
              <w:b w:val="0"/>
              <w:bCs w:val="0"/>
              <w:i w:val="0"/>
              <w:iCs w:val="0"/>
              <w:smallCaps w:val="0"/>
              <w:color w:val="000000"/>
              <w:sz w:val="18"/>
              <w:szCs w:val="18"/>
            </w:rPr>
          </w:pPr>
          <w:sdt>
            <w:sdtPr>
              <w:id w:val="2013309429"/>
              <w:placeholder>
                <w:docPart w:val="DefaultPlaceholder_22675703"/>
              </w:placeholder>
              <w:text/>
            </w:sdtPr>
            <w:sdtContent>
              <w:r>
                <w:rPr>
                  <w:rFonts w:ascii="MS Gothic" w:eastAsia="MS Gothic" w:hAnsi="MS Gothic" w:cs="MS Gothic"/>
                  <w:b/>
                  <w:bCs/>
                  <w:i w:val="0"/>
                  <w:iCs w:val="0"/>
                  <w:smallCaps w:val="0"/>
                  <w:color w:val="FF0000"/>
                  <w:sz w:val="18"/>
                  <w:szCs w:val="18"/>
                  <w:shd w:val="clear" w:color="auto" w:fill="E6E6E6"/>
                </w:rPr>
                <w:t>☐</w:t>
              </w:r>
            </w:sdtContent>
          </w:sdt>
          <w:r>
            <w:rPr>
              <w:b w:val="0"/>
              <w:bCs w:val="0"/>
              <w:i w:val="0"/>
              <w:iCs w:val="0"/>
              <w:smallCaps w:val="0"/>
              <w:color w:val="FF0000"/>
              <w:sz w:val="18"/>
              <w:szCs w:val="18"/>
            </w:rPr>
            <w:t xml:space="preserve"> Confidential</w:t>
          </w:r>
          <w:r>
            <w:rPr>
              <w:rFonts w:ascii="Arial" w:eastAsia="Arial" w:hAnsi="Arial" w:cs="Arial"/>
              <w:b w:val="0"/>
              <w:bCs w:val="0"/>
              <w:i w:val="0"/>
              <w:iCs w:val="0"/>
              <w:smallCaps w:val="0"/>
              <w:color w:val="000000"/>
              <w:sz w:val="18"/>
              <w:szCs w:val="18"/>
            </w:rPr>
            <w:tab/>
          </w:r>
          <w:sdt>
            <w:sdtPr>
              <w:id w:val="944336833"/>
              <w:placeholder>
                <w:docPart w:val="DefaultPlaceholder_22675703"/>
              </w:placeholder>
              <w:text/>
            </w:sdtPr>
            <w:sdtContent>
              <w:r>
                <w:rPr>
                  <w:rFonts w:ascii="MS Gothic" w:eastAsia="MS Gothic" w:hAnsi="MS Gothic" w:cs="MS Gothic"/>
                  <w:b/>
                  <w:bCs/>
                  <w:i w:val="0"/>
                  <w:iCs w:val="0"/>
                  <w:smallCaps w:val="0"/>
                  <w:color w:val="FF0000"/>
                  <w:sz w:val="18"/>
                  <w:szCs w:val="18"/>
                  <w:shd w:val="clear" w:color="auto" w:fill="E6E6E6"/>
                </w:rPr>
                <w:t>☒</w:t>
              </w:r>
            </w:sdtContent>
          </w:sdt>
          <w:r>
            <w:rPr>
              <w:b w:val="0"/>
              <w:bCs w:val="0"/>
              <w:i w:val="0"/>
              <w:iCs w:val="0"/>
              <w:smallCaps w:val="0"/>
              <w:color w:val="FF0000"/>
              <w:sz w:val="18"/>
              <w:szCs w:val="18"/>
            </w:rPr>
            <w:t xml:space="preserve"> Non-Confidential</w:t>
          </w:r>
        </w:p>
        <w:p>
          <w:pPr>
            <w:spacing w:before="0" w:after="0" w:line="240" w:lineRule="auto"/>
            <w:ind w:firstLine="148"/>
            <w:rPr>
              <w:rFonts w:ascii="Arial" w:eastAsia="Arial" w:hAnsi="Arial" w:cs="Arial"/>
              <w:b w:val="0"/>
              <w:bCs w:val="0"/>
              <w:i w:val="0"/>
              <w:iCs w:val="0"/>
              <w:smallCaps w:val="0"/>
              <w:color w:val="FF0000"/>
              <w:sz w:val="18"/>
              <w:szCs w:val="18"/>
            </w:rPr>
          </w:pPr>
        </w:p>
      </w:tc>
    </w:tr>
  </w:tbl>
  <w:p>
    <w:pPr>
      <w:spacing w:before="0" w:after="0" w:line="240" w:lineRule="auto"/>
      <w:rPr>
        <w:rFonts w:ascii="Arial" w:eastAsia="Arial" w:hAnsi="Arial" w:cs="Arial"/>
        <w:b/>
        <w:b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59" w:lineRule="auto"/>
    </w:pPr>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numbering" Target="numbering.xml"/><Relationship Id="rId4" Type="http://schemas.openxmlformats.org/officeDocument/2006/relationships/hyperlink" Target="https://www.trade-remedies.service.gov.uk/public/case/TD0035/submission/9c297680-f2e3-4eb6-acc9-3f0d24040e0f/" TargetMode="External"/><Relationship Id="rId9" Type="http://schemas.openxmlformats.org/officeDocument/2006/relationships/theme" Target="theme/theme1.xml"/><Relationship Id="rId14" Type="http://schemas.openxmlformats.org/officeDocument/2006/relationships/customXml" Target="../customXml/item3.xml"/></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6F3A8723-0BA9-4DCD-8375-A7698BD2093E}"/>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B38B264-029F-4A84-BE77-2BC1053686C5}"/>
</file>

<file path=customXml/itemProps2.xml><?xml version="1.0" encoding="utf-8"?>
<ds:datastoreItem xmlns:ds="http://schemas.openxmlformats.org/officeDocument/2006/customXml" ds:itemID="{43CFA9B4-C866-41E1-BE63-61A7893C8120}"/>
</file>

<file path=customXml/itemProps3.xml><?xml version="1.0" encoding="utf-8"?>
<ds:datastoreItem xmlns:ds="http://schemas.openxmlformats.org/officeDocument/2006/customXml" ds:itemID="{822848E0-9AF8-4333-9CC4-0B4A9C195AA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