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22B94-70AD-4DA4-A4F4-A7EBCAC4E7FD}"/>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