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11E2">
      <w:pPr>
        <w:pStyle w:val="21"/>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5922CC4A">
      <w:pPr>
        <w:tabs>
          <w:tab w:val="left" w:pos="2130"/>
        </w:tabs>
        <w:spacing w:line="22" w:lineRule="atLeast"/>
      </w:pPr>
      <w:r>
        <w:rPr>
          <w:rFonts w:eastAsia="Arial"/>
          <w:szCs w:val="24"/>
        </w:rPr>
        <w:t>Case No.: AD0075</w:t>
      </w:r>
    </w:p>
    <w:p w14:paraId="27040DC6">
      <w:pPr>
        <w:tabs>
          <w:tab w:val="left" w:pos="2130"/>
        </w:tabs>
        <w:spacing w:line="22" w:lineRule="atLeast"/>
        <w:rPr>
          <w:rFonts w:eastAsia="Arial"/>
          <w:szCs w:val="24"/>
        </w:rPr>
      </w:pPr>
    </w:p>
    <w:p w14:paraId="61912511">
      <w:pPr>
        <w:spacing w:line="22" w:lineRule="atLeast"/>
      </w:pPr>
      <w:r>
        <w:t>Type of investigation: Anti-dumping Investigation into Boom Lifts and Components thereof from the Peoples Republic of China (PRC)</w:t>
      </w:r>
    </w:p>
    <w:p w14:paraId="1847E99A">
      <w:pPr>
        <w:spacing w:line="22" w:lineRule="atLeast"/>
        <w:rPr>
          <w:szCs w:val="24"/>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09C940F8">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9D9660E">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42CE7E6">
            <w:pPr>
              <w:tabs>
                <w:tab w:val="left" w:pos="2130"/>
              </w:tabs>
              <w:spacing w:line="22" w:lineRule="atLeast"/>
              <w:rPr>
                <w:rFonts w:eastAsia="Arial Unicode MS"/>
                <w:color w:val="333333"/>
                <w:szCs w:val="24"/>
              </w:rPr>
            </w:pPr>
            <w:r>
              <w:rPr>
                <w:rFonts w:eastAsia="Arial Unicode MS"/>
                <w:color w:val="333333"/>
                <w:szCs w:val="24"/>
              </w:rPr>
              <w:t>Fronteq (Changzhou) Machinery Co. Ltd.</w:t>
            </w:r>
          </w:p>
          <w:p w14:paraId="45C4CB14">
            <w:pPr>
              <w:tabs>
                <w:tab w:val="left" w:pos="2130"/>
              </w:tabs>
              <w:spacing w:line="22" w:lineRule="atLeast"/>
              <w:rPr>
                <w:rFonts w:ascii="Arial Unicode MS" w:hAnsi="Arial Unicode MS" w:eastAsia="Arial Unicode MS" w:cs="Arial Unicode MS"/>
                <w:color w:val="333333"/>
                <w:szCs w:val="24"/>
                <w:lang w:val="en-US" w:eastAsia="zh-CN"/>
              </w:rPr>
            </w:pPr>
            <w:r>
              <w:rPr>
                <w:rFonts w:eastAsia="Arial Unicode MS"/>
                <w:color w:val="333333"/>
                <w:szCs w:val="24"/>
                <w:lang w:val="en-US" w:eastAsia="zh-CN"/>
              </w:rPr>
              <w:t>(hereinafter “Fronteq Changzhou”)</w:t>
            </w:r>
          </w:p>
        </w:tc>
      </w:tr>
    </w:tbl>
    <w:p w14:paraId="08CE187A">
      <w:pPr>
        <w:spacing w:line="22" w:lineRule="atLeast"/>
        <w:rPr>
          <w:rFonts w:eastAsia="Arial"/>
          <w:szCs w:val="24"/>
        </w:rPr>
      </w:pPr>
    </w:p>
    <w:p w14:paraId="658DC481">
      <w:pPr>
        <w:spacing w:line="22" w:lineRule="atLeast"/>
        <w:rPr>
          <w:rFonts w:eastAsia="Arial"/>
          <w:b/>
          <w:bCs/>
          <w:szCs w:val="24"/>
        </w:rPr>
      </w:pPr>
      <w:r>
        <w:rPr>
          <w:rFonts w:eastAsia="Arial"/>
          <w:b/>
          <w:bCs/>
          <w:szCs w:val="24"/>
        </w:rPr>
        <w:t>Note:</w:t>
      </w:r>
    </w:p>
    <w:p w14:paraId="0AB86DF2">
      <w:pPr>
        <w:spacing w:line="22" w:lineRule="atLeast"/>
        <w:rPr>
          <w:rFonts w:eastAsia="Arial"/>
          <w:szCs w:val="24"/>
        </w:rPr>
      </w:pPr>
    </w:p>
    <w:p w14:paraId="605E91A9">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7"/>
          <w:rFonts w:eastAsia="Arial"/>
          <w:szCs w:val="24"/>
        </w:rPr>
        <w:t>www.trade-remedies.service.gov.uk</w:t>
      </w:r>
      <w:r>
        <w:rPr>
          <w:rStyle w:val="27"/>
          <w:rFonts w:eastAsia="Arial"/>
          <w:szCs w:val="24"/>
        </w:rPr>
        <w:fldChar w:fldCharType="end"/>
      </w:r>
      <w:r>
        <w:rPr>
          <w:rFonts w:eastAsia="Arial"/>
          <w:color w:val="000000"/>
          <w:szCs w:val="24"/>
        </w:rPr>
        <w:t>).</w:t>
      </w:r>
    </w:p>
    <w:p w14:paraId="2706FBCE">
      <w:pPr>
        <w:spacing w:line="22" w:lineRule="atLeast"/>
        <w:rPr>
          <w:rFonts w:eastAsia="Arial"/>
          <w:color w:val="000000"/>
          <w:szCs w:val="24"/>
        </w:rPr>
      </w:pPr>
    </w:p>
    <w:p w14:paraId="51F6C788">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3518101">
      <w:pPr>
        <w:spacing w:line="22" w:lineRule="atLeast"/>
        <w:rPr>
          <w:rFonts w:eastAsia="Arial"/>
          <w:color w:val="000000"/>
          <w:szCs w:val="24"/>
        </w:rPr>
      </w:pPr>
    </w:p>
    <w:p w14:paraId="68CEB99C">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5DB382FE">
      <w:pPr>
        <w:spacing w:line="22" w:lineRule="atLeast"/>
        <w:ind w:left="1440" w:hanging="720"/>
      </w:pPr>
      <w:r>
        <w:rPr>
          <w:rFonts w:hint="eastAsia" w:eastAsia="宋体"/>
          <w:color w:val="000000"/>
          <w:szCs w:val="24"/>
          <w:lang w:eastAsia="zh-CN"/>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7"/>
          <w:rFonts w:eastAsia="Arial"/>
          <w:szCs w:val="24"/>
        </w:rPr>
        <w:t>https://www.trade-remedies.service.gov.uk/public/cases/</w:t>
      </w:r>
      <w:r>
        <w:rPr>
          <w:rStyle w:val="27"/>
          <w:rFonts w:eastAsia="Arial"/>
          <w:szCs w:val="24"/>
        </w:rPr>
        <w:fldChar w:fldCharType="end"/>
      </w:r>
      <w:r>
        <w:rPr>
          <w:rFonts w:eastAsia="Arial"/>
          <w:color w:val="000000"/>
          <w:szCs w:val="24"/>
        </w:rPr>
        <w:t>)</w:t>
      </w:r>
      <w:bookmarkStart w:id="0" w:name="_Hlk536188791"/>
    </w:p>
    <w:p w14:paraId="4AB53BA4">
      <w:pPr>
        <w:spacing w:line="22" w:lineRule="atLeast"/>
        <w:rPr>
          <w:rFonts w:eastAsia="MS Gothic"/>
          <w:b/>
          <w:szCs w:val="24"/>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7B6EF7D5">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BDD59A">
            <w:pPr>
              <w:tabs>
                <w:tab w:val="left" w:pos="2130"/>
              </w:tabs>
              <w:spacing w:line="22" w:lineRule="atLeast"/>
            </w:pPr>
            <w:r>
              <w:rPr>
                <w:rFonts w:eastAsia="Arial"/>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7EB8324F">
            <w:pPr>
              <w:tabs>
                <w:tab w:val="left" w:pos="2130"/>
              </w:tabs>
              <w:spacing w:line="22" w:lineRule="atLeast"/>
            </w:pPr>
            <w:r>
              <w:rPr>
                <w:rFonts w:hint="eastAsia" w:eastAsia="宋体"/>
                <w:lang w:val="en-US" w:eastAsia="zh-CN"/>
              </w:rPr>
              <w:t>19</w:t>
            </w:r>
            <w:r>
              <w:rPr>
                <w:rFonts w:eastAsia="Arial"/>
              </w:rPr>
              <w:t xml:space="preserve"> January 2026</w:t>
            </w:r>
          </w:p>
        </w:tc>
      </w:tr>
      <w:tr w14:paraId="57EF834E">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B269F63">
            <w:pPr>
              <w:tabs>
                <w:tab w:val="left" w:pos="2130"/>
              </w:tabs>
              <w:spacing w:line="22" w:lineRule="atLeast"/>
              <w:rPr>
                <w:rFonts w:eastAsia="Arial"/>
                <w:szCs w:val="24"/>
              </w:rPr>
            </w:pPr>
            <w:r>
              <w:rPr>
                <w:rFonts w:eastAsia="Arial"/>
                <w:szCs w:val="24"/>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3BD804B">
            <w:pPr>
              <w:tabs>
                <w:tab w:val="left" w:pos="2130"/>
              </w:tabs>
              <w:spacing w:line="22" w:lineRule="atLeast"/>
              <w:rPr>
                <w:rFonts w:eastAsia="Arial"/>
                <w:szCs w:val="24"/>
              </w:rPr>
            </w:pPr>
            <w:r>
              <w:rPr>
                <w:rFonts w:eastAsia="Arial"/>
                <w:szCs w:val="24"/>
              </w:rPr>
              <w:t>AD0075@traderemedies.gov.uk</w:t>
            </w:r>
          </w:p>
        </w:tc>
      </w:tr>
    </w:tbl>
    <w:p w14:paraId="1A8D1ACF">
      <w:pPr>
        <w:pageBreakBefore/>
      </w:pPr>
    </w:p>
    <w:p w14:paraId="324A3803">
      <w:pPr>
        <w:pStyle w:val="2"/>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6453A97F">
      <w:pPr>
        <w:spacing w:line="22" w:lineRule="atLeast"/>
      </w:pPr>
    </w:p>
    <w:p w14:paraId="789A683E">
      <w:pPr>
        <w:pStyle w:val="3"/>
      </w:pPr>
      <w:r>
        <w:t>Registration of interest to the investigation</w:t>
      </w:r>
    </w:p>
    <w:p w14:paraId="569DFD12">
      <w:pPr>
        <w:spacing w:line="22" w:lineRule="atLeast"/>
        <w:rPr>
          <w:szCs w:val="24"/>
        </w:rPr>
      </w:pPr>
    </w:p>
    <w:p w14:paraId="060280C5">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r>
        <w:fldChar w:fldCharType="begin"/>
      </w:r>
      <w:r>
        <w:instrText xml:space="preserve"> HYPERLINK "http://www.trade-remedies.service.gov.uk" </w:instrText>
      </w:r>
      <w:r>
        <w:fldChar w:fldCharType="separate"/>
      </w:r>
      <w:r>
        <w:rPr>
          <w:rStyle w:val="27"/>
          <w:rFonts w:eastAsia="Arial"/>
          <w:szCs w:val="24"/>
        </w:rPr>
        <w:t>www.trade-remedies.service.gov.uk</w:t>
      </w:r>
      <w:r>
        <w:rPr>
          <w:rStyle w:val="27"/>
          <w:rFonts w:eastAsia="Arial"/>
          <w:szCs w:val="24"/>
        </w:rPr>
        <w:fldChar w:fldCharType="end"/>
      </w:r>
      <w:r>
        <w:rPr>
          <w:rFonts w:eastAsia="Arial"/>
          <w:szCs w:val="24"/>
        </w:rPr>
        <w:t>).</w:t>
      </w:r>
    </w:p>
    <w:p w14:paraId="2912C841">
      <w:pPr>
        <w:spacing w:line="22" w:lineRule="atLeast"/>
        <w:rPr>
          <w:rFonts w:eastAsia="Arial"/>
          <w:szCs w:val="24"/>
        </w:rPr>
      </w:pPr>
    </w:p>
    <w:p w14:paraId="5099326A">
      <w:pPr>
        <w:spacing w:line="22" w:lineRule="atLeast"/>
        <w:rPr>
          <w:rFonts w:eastAsia="Arial"/>
          <w:szCs w:val="24"/>
        </w:rPr>
      </w:pPr>
      <w:r>
        <w:rPr>
          <w:rFonts w:eastAsia="Arial"/>
          <w:szCs w:val="24"/>
        </w:rPr>
        <w:t>An interested party is either:</w:t>
      </w:r>
    </w:p>
    <w:p w14:paraId="202FED51">
      <w:pPr>
        <w:pStyle w:val="43"/>
        <w:numPr>
          <w:ilvl w:val="0"/>
          <w:numId w:val="2"/>
        </w:numPr>
        <w:spacing w:line="22" w:lineRule="atLeast"/>
      </w:pPr>
      <w:r>
        <w:rPr>
          <w:rFonts w:eastAsia="Arial"/>
          <w:szCs w:val="24"/>
        </w:rPr>
        <w:t xml:space="preserve">a government of the foreign country or territory subject to the </w:t>
      </w:r>
      <w:r>
        <w:rPr>
          <w:szCs w:val="24"/>
        </w:rPr>
        <w:t>investigation</w:t>
      </w:r>
      <w:r>
        <w:rPr>
          <w:rFonts w:eastAsia="Arial"/>
          <w:szCs w:val="24"/>
        </w:rPr>
        <w:t>;</w:t>
      </w:r>
    </w:p>
    <w:p w14:paraId="69B009F9">
      <w:pPr>
        <w:pStyle w:val="43"/>
        <w:numPr>
          <w:ilvl w:val="0"/>
          <w:numId w:val="2"/>
        </w:numPr>
        <w:spacing w:line="22" w:lineRule="atLeast"/>
      </w:pPr>
      <w:r>
        <w:rPr>
          <w:rFonts w:eastAsia="Arial"/>
          <w:szCs w:val="24"/>
        </w:rPr>
        <w:t xml:space="preserve">an overseas exporter, an overseas producer or an importer of the goods subject to </w:t>
      </w:r>
      <w:r>
        <w:rPr>
          <w:szCs w:val="24"/>
        </w:rPr>
        <w:t>the investigation;</w:t>
      </w:r>
    </w:p>
    <w:p w14:paraId="217B9596">
      <w:pPr>
        <w:pStyle w:val="43"/>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1D266633">
      <w:pPr>
        <w:pStyle w:val="43"/>
        <w:numPr>
          <w:ilvl w:val="0"/>
          <w:numId w:val="2"/>
        </w:numPr>
        <w:spacing w:line="22" w:lineRule="atLeast"/>
        <w:rPr>
          <w:rFonts w:eastAsia="Arial"/>
          <w:szCs w:val="24"/>
        </w:rPr>
      </w:pPr>
      <w:r>
        <w:rPr>
          <w:rFonts w:eastAsia="Arial"/>
          <w:szCs w:val="24"/>
        </w:rPr>
        <w:t>a trade or business association representing one or more of the above parties.</w:t>
      </w:r>
    </w:p>
    <w:p w14:paraId="652B69AC">
      <w:pPr>
        <w:pStyle w:val="43"/>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4D81DFB3">
      <w:pPr>
        <w:spacing w:line="22" w:lineRule="atLeast"/>
        <w:rPr>
          <w:rFonts w:eastAsia="Arial"/>
          <w:szCs w:val="24"/>
        </w:rPr>
      </w:pPr>
    </w:p>
    <w:p w14:paraId="0A6FA54E">
      <w:pPr>
        <w:pStyle w:val="3"/>
      </w:pPr>
      <w:r>
        <w:t>Scope of the investigation</w:t>
      </w:r>
    </w:p>
    <w:p w14:paraId="78255B8D">
      <w:pPr>
        <w:pStyle w:val="63"/>
        <w:spacing w:before="0" w:after="0" w:line="22" w:lineRule="atLeast"/>
        <w:rPr>
          <w:rFonts w:ascii="Arial" w:hAnsi="Arial" w:cs="Arial"/>
        </w:rPr>
      </w:pPr>
    </w:p>
    <w:tbl>
      <w:tblPr>
        <w:tblStyle w:val="23"/>
        <w:tblW w:w="9493" w:type="dxa"/>
        <w:tblInd w:w="0" w:type="dxa"/>
        <w:tblLayout w:type="autofit"/>
        <w:tblCellMar>
          <w:top w:w="0" w:type="dxa"/>
          <w:left w:w="10" w:type="dxa"/>
          <w:bottom w:w="0" w:type="dxa"/>
          <w:right w:w="10" w:type="dxa"/>
        </w:tblCellMar>
      </w:tblPr>
      <w:tblGrid>
        <w:gridCol w:w="2835"/>
        <w:gridCol w:w="6658"/>
      </w:tblGrid>
      <w:tr w14:paraId="482E770D">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C363598">
            <w:pPr>
              <w:tabs>
                <w:tab w:val="left" w:pos="2130"/>
              </w:tabs>
              <w:spacing w:line="22" w:lineRule="atLeast"/>
            </w:pPr>
            <w:r>
              <w:rPr>
                <w:rFonts w:eastAsia="Arial"/>
                <w:szCs w:val="24"/>
              </w:rPr>
              <w:t>Goods Concerned</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56B2EE58">
            <w:r>
              <w:rPr>
                <w:rStyle w:val="65"/>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296E95EA"/>
          <w:p w14:paraId="1279F3B9">
            <w:r>
              <w:rPr>
                <w:rStyle w:val="65"/>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65"/>
                <w:szCs w:val="24"/>
                <w:shd w:val="clear" w:color="auto" w:fill="FFFFFF"/>
              </w:rPr>
              <w:t>The goods concerned may contain additional features that provide for functions beyond the primary lifting function.</w:t>
            </w:r>
          </w:p>
          <w:p w14:paraId="6B87BF25"/>
          <w:p w14:paraId="51BCDE75">
            <w:r>
              <w:rPr>
                <w:rStyle w:val="65"/>
                <w:szCs w:val="24"/>
                <w:shd w:val="clear" w:color="auto" w:fill="FFFFFF"/>
              </w:rPr>
              <w:t>The goods concerned may be imported as finished boom lifts, assembled or unassembled, or in the following sections presented individually or together:</w:t>
            </w:r>
          </w:p>
          <w:p w14:paraId="55AF1D9F"/>
          <w:p w14:paraId="3A1044EA">
            <w:pPr>
              <w:pStyle w:val="43"/>
              <w:numPr>
                <w:ilvl w:val="0"/>
                <w:numId w:val="3"/>
              </w:numPr>
            </w:pPr>
            <w:r>
              <w:rPr>
                <w:rStyle w:val="65"/>
                <w:szCs w:val="24"/>
                <w:shd w:val="clear" w:color="auto" w:fill="FFFFFF"/>
              </w:rPr>
              <w:t>booms including articulated and telescopic or straight (with or without jibs) or sub-assemblies thereof, assembled or not;</w:t>
            </w:r>
          </w:p>
          <w:p w14:paraId="1D308AEB"/>
          <w:p w14:paraId="6A4E1EE7">
            <w:pPr>
              <w:pStyle w:val="43"/>
              <w:numPr>
                <w:ilvl w:val="0"/>
                <w:numId w:val="3"/>
              </w:numPr>
            </w:pPr>
            <w:r>
              <w:rPr>
                <w:rStyle w:val="65"/>
                <w:szCs w:val="24"/>
                <w:shd w:val="clear" w:color="auto" w:fill="FFFFFF"/>
              </w:rPr>
              <w:t>chassis or sub-assemblies thereof, assembled or not;</w:t>
            </w:r>
          </w:p>
          <w:p w14:paraId="52047356"/>
          <w:p w14:paraId="0FC987E8">
            <w:pPr>
              <w:pStyle w:val="43"/>
              <w:numPr>
                <w:ilvl w:val="0"/>
                <w:numId w:val="3"/>
              </w:numPr>
            </w:pPr>
            <w:r>
              <w:rPr>
                <w:rStyle w:val="65"/>
                <w:szCs w:val="24"/>
                <w:shd w:val="clear" w:color="auto" w:fill="FFFFFF"/>
              </w:rPr>
              <w:t>boom turret or turntables or sub-assemblies thereof, assembled or not;</w:t>
            </w:r>
          </w:p>
          <w:p w14:paraId="416F84B5"/>
          <w:p w14:paraId="6E42DAC9">
            <w:pPr>
              <w:pStyle w:val="43"/>
              <w:numPr>
                <w:ilvl w:val="0"/>
                <w:numId w:val="3"/>
              </w:numPr>
            </w:pPr>
            <w:r>
              <w:rPr>
                <w:rStyle w:val="65"/>
                <w:szCs w:val="24"/>
                <w:shd w:val="clear" w:color="auto" w:fill="FFFFFF"/>
              </w:rPr>
              <w:t xml:space="preserve">platforms or baskets or sub-assemblies thereof, assembled or not.  </w:t>
            </w:r>
          </w:p>
          <w:p w14:paraId="15D0325B"/>
          <w:p w14:paraId="6F287EBC">
            <w:r>
              <w:rPr>
                <w:rStyle w:val="65"/>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7F92DC8B"/>
          <w:p w14:paraId="4023B037">
            <w:r>
              <w:rPr>
                <w:rStyle w:val="65"/>
                <w:szCs w:val="24"/>
                <w:shd w:val="clear" w:color="auto" w:fill="FFFFFF"/>
              </w:rPr>
              <w:t>The imported goods are commonly classified under the commodity codes:</w:t>
            </w:r>
          </w:p>
          <w:p w14:paraId="342C013A"/>
          <w:p w14:paraId="1737E058">
            <w:pPr>
              <w:pStyle w:val="43"/>
              <w:numPr>
                <w:ilvl w:val="0"/>
                <w:numId w:val="4"/>
              </w:numPr>
            </w:pPr>
            <w:r>
              <w:rPr>
                <w:rStyle w:val="65"/>
                <w:szCs w:val="24"/>
                <w:shd w:val="clear" w:color="auto" w:fill="FFFFFF"/>
              </w:rPr>
              <w:t>8427 1010 10.</w:t>
            </w:r>
          </w:p>
          <w:p w14:paraId="55A65461">
            <w:pPr>
              <w:pStyle w:val="43"/>
              <w:numPr>
                <w:ilvl w:val="0"/>
                <w:numId w:val="4"/>
              </w:numPr>
            </w:pPr>
            <w:r>
              <w:rPr>
                <w:rStyle w:val="65"/>
                <w:szCs w:val="24"/>
                <w:shd w:val="clear" w:color="auto" w:fill="FFFFFF"/>
              </w:rPr>
              <w:t>8427 1010 90.</w:t>
            </w:r>
          </w:p>
          <w:p w14:paraId="68FFE0DB">
            <w:pPr>
              <w:pStyle w:val="43"/>
              <w:numPr>
                <w:ilvl w:val="0"/>
                <w:numId w:val="4"/>
              </w:numPr>
            </w:pPr>
            <w:r>
              <w:rPr>
                <w:rStyle w:val="65"/>
                <w:szCs w:val="24"/>
                <w:shd w:val="clear" w:color="auto" w:fill="FFFFFF"/>
              </w:rPr>
              <w:t>8427 2019 10.</w:t>
            </w:r>
          </w:p>
          <w:p w14:paraId="3B6226AC">
            <w:pPr>
              <w:pStyle w:val="43"/>
              <w:numPr>
                <w:ilvl w:val="0"/>
                <w:numId w:val="4"/>
              </w:numPr>
            </w:pPr>
            <w:r>
              <w:rPr>
                <w:rStyle w:val="65"/>
                <w:szCs w:val="24"/>
                <w:shd w:val="clear" w:color="auto" w:fill="FFFFFF"/>
              </w:rPr>
              <w:t>8427 2019 90.</w:t>
            </w:r>
          </w:p>
          <w:p w14:paraId="3F726AA7">
            <w:pPr>
              <w:pStyle w:val="43"/>
              <w:numPr>
                <w:ilvl w:val="0"/>
                <w:numId w:val="4"/>
              </w:numPr>
            </w:pPr>
            <w:r>
              <w:rPr>
                <w:rStyle w:val="65"/>
                <w:szCs w:val="24"/>
                <w:shd w:val="clear" w:color="auto" w:fill="FFFFFF"/>
              </w:rPr>
              <w:t>8427 9000 80.</w:t>
            </w:r>
          </w:p>
          <w:p w14:paraId="23725E2A">
            <w:pPr>
              <w:pStyle w:val="43"/>
              <w:numPr>
                <w:ilvl w:val="0"/>
                <w:numId w:val="4"/>
              </w:numPr>
            </w:pPr>
            <w:r>
              <w:rPr>
                <w:rStyle w:val="65"/>
                <w:szCs w:val="24"/>
                <w:shd w:val="clear" w:color="auto" w:fill="FFFFFF"/>
              </w:rPr>
              <w:t>8428 1020 00.</w:t>
            </w:r>
          </w:p>
          <w:p w14:paraId="75932E65">
            <w:pPr>
              <w:pStyle w:val="43"/>
              <w:numPr>
                <w:ilvl w:val="0"/>
                <w:numId w:val="4"/>
              </w:numPr>
            </w:pPr>
            <w:r>
              <w:rPr>
                <w:rStyle w:val="65"/>
                <w:szCs w:val="24"/>
                <w:shd w:val="clear" w:color="auto" w:fill="FFFFFF"/>
              </w:rPr>
              <w:t>8428 1080 00.</w:t>
            </w:r>
          </w:p>
          <w:p w14:paraId="2A67E14A">
            <w:pPr>
              <w:pStyle w:val="43"/>
              <w:numPr>
                <w:ilvl w:val="0"/>
                <w:numId w:val="4"/>
              </w:numPr>
            </w:pPr>
            <w:r>
              <w:rPr>
                <w:rStyle w:val="65"/>
                <w:szCs w:val="24"/>
                <w:shd w:val="clear" w:color="auto" w:fill="FFFFFF"/>
              </w:rPr>
              <w:t>8428 9090 20.</w:t>
            </w:r>
          </w:p>
          <w:p w14:paraId="6E3A8C74">
            <w:pPr>
              <w:pStyle w:val="43"/>
              <w:numPr>
                <w:ilvl w:val="0"/>
                <w:numId w:val="4"/>
              </w:numPr>
            </w:pPr>
            <w:r>
              <w:rPr>
                <w:rStyle w:val="65"/>
                <w:szCs w:val="24"/>
                <w:shd w:val="clear" w:color="auto" w:fill="FFFFFF"/>
              </w:rPr>
              <w:t>8428 9090 80.</w:t>
            </w:r>
          </w:p>
          <w:p w14:paraId="572B1D4C"/>
          <w:p w14:paraId="2C0FE0D3">
            <w:r>
              <w:rPr>
                <w:rStyle w:val="65"/>
                <w:szCs w:val="24"/>
                <w:shd w:val="clear" w:color="auto" w:fill="FFFFFF"/>
              </w:rPr>
              <w:t>Pre-assembled parts for boom lifts are commonly classified under the following commodity codes:</w:t>
            </w:r>
          </w:p>
          <w:p w14:paraId="7830CDEC"/>
          <w:p w14:paraId="0358DDAF">
            <w:pPr>
              <w:pStyle w:val="43"/>
              <w:numPr>
                <w:ilvl w:val="0"/>
                <w:numId w:val="5"/>
              </w:numPr>
            </w:pPr>
            <w:r>
              <w:rPr>
                <w:rStyle w:val="65"/>
                <w:szCs w:val="24"/>
                <w:shd w:val="clear" w:color="auto" w:fill="FFFFFF"/>
              </w:rPr>
              <w:t>8431 2000 60.</w:t>
            </w:r>
          </w:p>
          <w:p w14:paraId="033D3B4D">
            <w:pPr>
              <w:pStyle w:val="43"/>
              <w:numPr>
                <w:ilvl w:val="0"/>
                <w:numId w:val="5"/>
              </w:numPr>
            </w:pPr>
            <w:r>
              <w:rPr>
                <w:rStyle w:val="65"/>
                <w:szCs w:val="24"/>
                <w:shd w:val="clear" w:color="auto" w:fill="FFFFFF"/>
              </w:rPr>
              <w:t>8431 3100 00.</w:t>
            </w:r>
          </w:p>
          <w:p w14:paraId="5F189957">
            <w:pPr>
              <w:pStyle w:val="43"/>
              <w:numPr>
                <w:ilvl w:val="0"/>
                <w:numId w:val="5"/>
              </w:numPr>
            </w:pPr>
            <w:r>
              <w:rPr>
                <w:rStyle w:val="65"/>
                <w:szCs w:val="24"/>
                <w:shd w:val="clear" w:color="auto" w:fill="FFFFFF"/>
              </w:rPr>
              <w:t>8431 3900 10.</w:t>
            </w:r>
          </w:p>
          <w:p w14:paraId="4DBF8A6E">
            <w:pPr>
              <w:pStyle w:val="43"/>
              <w:numPr>
                <w:ilvl w:val="0"/>
                <w:numId w:val="5"/>
              </w:numPr>
            </w:pPr>
            <w:r>
              <w:rPr>
                <w:rStyle w:val="65"/>
                <w:szCs w:val="24"/>
                <w:shd w:val="clear" w:color="auto" w:fill="FFFFFF"/>
              </w:rPr>
              <w:t>8431 3900 90.</w:t>
            </w:r>
          </w:p>
        </w:tc>
      </w:tr>
      <w:tr w14:paraId="45A9989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99A0670">
            <w:pPr>
              <w:tabs>
                <w:tab w:val="left" w:pos="2130"/>
              </w:tabs>
              <w:spacing w:line="22" w:lineRule="atLeast"/>
            </w:pPr>
            <w:r>
              <w:rPr>
                <w:rFonts w:eastAsia="Arial"/>
                <w:szCs w:val="24"/>
              </w:rPr>
              <w:t>Period of investigation (POI)</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64F5D2EC">
            <w:pPr>
              <w:tabs>
                <w:tab w:val="left" w:pos="2130"/>
              </w:tabs>
              <w:spacing w:line="22" w:lineRule="atLeast"/>
            </w:pPr>
            <w:r>
              <w:rPr>
                <w:rFonts w:eastAsia="Arial"/>
                <w:szCs w:val="24"/>
              </w:rPr>
              <w:t>1 October 2024 to 30 September 2025</w:t>
            </w:r>
          </w:p>
        </w:tc>
      </w:tr>
      <w:tr w14:paraId="4464C9B8">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64F2E60">
            <w:r>
              <w:t>Alleged dumping</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76B2CCB9">
            <w:r>
              <w:rPr>
                <w:rStyle w:val="65"/>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699B8310">
      <w:pPr>
        <w:pStyle w:val="63"/>
        <w:spacing w:before="0" w:after="0" w:line="22" w:lineRule="atLeast"/>
        <w:rPr>
          <w:rFonts w:ascii="Arial" w:hAnsi="Arial" w:cs="Arial"/>
        </w:rPr>
      </w:pPr>
    </w:p>
    <w:p w14:paraId="0DFFFA3F">
      <w:pPr>
        <w:pStyle w:val="63"/>
        <w:spacing w:before="0" w:after="0" w:line="22" w:lineRule="atLeast"/>
      </w:pPr>
      <w:r>
        <w:rPr>
          <w:rStyle w:val="64"/>
          <w:rFonts w:ascii="Arial" w:hAnsi="Arial" w:eastAsia="Yu Gothic Light" w:cs="Arial"/>
        </w:rPr>
        <w:t xml:space="preserve">For further details, please refer to the </w:t>
      </w:r>
      <w:r>
        <w:rPr>
          <w:rStyle w:val="64"/>
          <w:rFonts w:ascii="Arial" w:hAnsi="Arial" w:eastAsia="Yu Gothic Light" w:cs="Arial"/>
          <w:i/>
          <w:iCs/>
        </w:rPr>
        <w:t>Notice of Initiation</w:t>
      </w:r>
      <w:r>
        <w:rPr>
          <w:rStyle w:val="64"/>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7"/>
          <w:rFonts w:ascii="Arial" w:hAnsi="Arial" w:eastAsia="Arial" w:cs="Arial"/>
        </w:rPr>
        <w:t>https://www.trade-remedies.service.gov.uk/public/cases/</w:t>
      </w:r>
      <w:r>
        <w:rPr>
          <w:rStyle w:val="27"/>
          <w:rFonts w:ascii="Arial" w:hAnsi="Arial" w:eastAsia="Arial" w:cs="Arial"/>
        </w:rPr>
        <w:fldChar w:fldCharType="end"/>
      </w:r>
      <w:r>
        <w:rPr>
          <w:rStyle w:val="64"/>
          <w:rFonts w:ascii="Arial" w:hAnsi="Arial" w:eastAsia="Yu Gothic Light" w:cs="Arial"/>
        </w:rPr>
        <w:t>.</w:t>
      </w:r>
    </w:p>
    <w:p w14:paraId="302FF8E9">
      <w:pPr>
        <w:pStyle w:val="63"/>
        <w:spacing w:before="0" w:after="0" w:line="22" w:lineRule="atLeast"/>
        <w:rPr>
          <w:rFonts w:ascii="Arial" w:hAnsi="Arial" w:cs="Arial"/>
        </w:rPr>
      </w:pPr>
    </w:p>
    <w:p w14:paraId="3B6CDB0F">
      <w:pPr>
        <w:pStyle w:val="3"/>
      </w:pPr>
      <w:r>
        <w:t>Completing this registration form and pre-sampling questionnaire</w:t>
      </w:r>
    </w:p>
    <w:p w14:paraId="5A1CB52D">
      <w:pPr>
        <w:spacing w:line="22" w:lineRule="atLeast"/>
        <w:rPr>
          <w:rFonts w:eastAsia="Arial"/>
        </w:rPr>
      </w:pPr>
    </w:p>
    <w:p w14:paraId="1A5F5A5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5718762B">
      <w:pPr>
        <w:spacing w:line="22" w:lineRule="atLeast"/>
        <w:rPr>
          <w:rFonts w:eastAsia="Arial"/>
        </w:rPr>
      </w:pPr>
    </w:p>
    <w:p w14:paraId="607A37EB">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r>
        <w:fldChar w:fldCharType="begin"/>
      </w:r>
      <w:r>
        <w:instrText xml:space="preserve"> HYPERLINK "http://www.trade-remedies.service.gov.uk" </w:instrText>
      </w:r>
      <w:r>
        <w:fldChar w:fldCharType="separate"/>
      </w:r>
      <w:r>
        <w:rPr>
          <w:rStyle w:val="27"/>
          <w:rFonts w:eastAsia="Arial"/>
        </w:rPr>
        <w:t>www.trade-remedies.service.gov.uk</w:t>
      </w:r>
      <w:r>
        <w:rPr>
          <w:rStyle w:val="27"/>
          <w:rFonts w:eastAsia="Arial"/>
        </w:rPr>
        <w:fldChar w:fldCharType="end"/>
      </w:r>
      <w:r>
        <w:rPr>
          <w:rFonts w:eastAsia="Arial"/>
        </w:rPr>
        <w:t>).</w:t>
      </w:r>
    </w:p>
    <w:p w14:paraId="4BC02C94">
      <w:pPr>
        <w:spacing w:line="22" w:lineRule="atLeast"/>
        <w:rPr>
          <w:rFonts w:eastAsia="Arial"/>
        </w:rPr>
      </w:pPr>
    </w:p>
    <w:p w14:paraId="267B0D6C">
      <w:pPr>
        <w:pStyle w:val="63"/>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7"/>
          <w:rFonts w:ascii="Arial" w:hAnsi="Arial" w:eastAsia="Arial" w:cs="Arial"/>
        </w:rPr>
        <w:t>https://www.trade-remedies.service.gov.uk/public/cases/</w:t>
      </w:r>
      <w:r>
        <w:rPr>
          <w:rStyle w:val="27"/>
          <w:rFonts w:ascii="Arial" w:hAnsi="Arial" w:eastAsia="Arial" w:cs="Arial"/>
        </w:rPr>
        <w:fldChar w:fldCharType="end"/>
      </w:r>
      <w:r>
        <w:rPr>
          <w:rStyle w:val="64"/>
          <w:rFonts w:ascii="Arial" w:hAnsi="Arial" w:eastAsia="Yu Gothic Light" w:cs="Arial"/>
        </w:rPr>
        <w:t>.</w:t>
      </w:r>
    </w:p>
    <w:p w14:paraId="59BEB20A">
      <w:pPr>
        <w:pStyle w:val="63"/>
        <w:spacing w:before="0" w:after="0" w:line="22" w:lineRule="atLeast"/>
        <w:rPr>
          <w:rFonts w:ascii="Arial" w:hAnsi="Arial" w:cs="Arial"/>
        </w:rPr>
      </w:pPr>
    </w:p>
    <w:p w14:paraId="03C10041">
      <w:pPr>
        <w:pStyle w:val="63"/>
        <w:spacing w:before="0" w:after="0" w:line="22" w:lineRule="atLeast"/>
      </w:pPr>
      <w:r>
        <w:rPr>
          <w:rStyle w:val="64"/>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7"/>
          <w:rFonts w:ascii="Arial" w:hAnsi="Arial" w:eastAsia="Yu Gothic Light" w:cs="Arial"/>
        </w:rPr>
        <w:t>TRA’s public guidance</w:t>
      </w:r>
      <w:r>
        <w:rPr>
          <w:rStyle w:val="27"/>
          <w:rFonts w:ascii="Arial" w:hAnsi="Arial" w:eastAsia="Yu Gothic Light" w:cs="Arial"/>
        </w:rPr>
        <w:fldChar w:fldCharType="end"/>
      </w:r>
      <w:r>
        <w:rPr>
          <w:rStyle w:val="29"/>
          <w:rFonts w:ascii="Arial" w:hAnsi="Arial" w:eastAsia="Yu Gothic Light" w:cs="Arial"/>
        </w:rPr>
        <w:footnoteReference w:id="0"/>
      </w:r>
      <w:r>
        <w:rPr>
          <w:rFonts w:ascii="Arial" w:hAnsi="Arial" w:eastAsia="Yu Gothic Light" w:cs="Arial"/>
        </w:rPr>
        <w:t xml:space="preserve"> </w:t>
      </w:r>
      <w:r>
        <w:rPr>
          <w:rStyle w:val="64"/>
          <w:rFonts w:ascii="Arial" w:hAnsi="Arial" w:eastAsia="Yu Gothic Light" w:cs="Arial"/>
        </w:rPr>
        <w:t>for further information on providing confidential information and non-confidential summaries.</w:t>
      </w:r>
    </w:p>
    <w:p w14:paraId="1E337031">
      <w:pPr>
        <w:pStyle w:val="63"/>
        <w:spacing w:before="0" w:after="0" w:line="22" w:lineRule="atLeast"/>
        <w:rPr>
          <w:rFonts w:ascii="Arial" w:hAnsi="Arial" w:cs="Arial"/>
        </w:rPr>
      </w:pPr>
    </w:p>
    <w:p w14:paraId="3663D295">
      <w:pPr>
        <w:pStyle w:val="63"/>
        <w:spacing w:before="0" w:after="0" w:line="22" w:lineRule="atLeast"/>
      </w:pPr>
      <w:r>
        <w:rPr>
          <w:rStyle w:val="64"/>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2E925C3F">
      <w:pPr>
        <w:spacing w:line="22" w:lineRule="atLeast"/>
        <w:rPr>
          <w:rFonts w:eastAsia="Arial"/>
        </w:rPr>
      </w:pPr>
    </w:p>
    <w:p w14:paraId="3FE9A69E">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01A9CB0D">
      <w:pPr>
        <w:spacing w:line="22" w:lineRule="atLeast"/>
        <w:rPr>
          <w:rFonts w:eastAsia="Arial"/>
        </w:rPr>
      </w:pPr>
    </w:p>
    <w:p w14:paraId="69DF686B">
      <w:pPr>
        <w:spacing w:line="22" w:lineRule="atLeast"/>
      </w:pPr>
      <w:r>
        <w:rPr>
          <w:rFonts w:eastAsia="Arial"/>
        </w:rPr>
        <w:t xml:space="preserve">If, on the basis of the information provided in this form, we determine that you are an overseas exporter or an importer of the goods subject to the </w:t>
      </w:r>
      <w:r>
        <w:rPr>
          <w:rStyle w:val="64"/>
        </w:rPr>
        <w:t xml:space="preserve">investigation </w:t>
      </w:r>
      <w:r>
        <w:rPr>
          <w:rFonts w:eastAsia="Arial"/>
        </w:rPr>
        <w:t xml:space="preserve">or a UK producer of goods that are like the goods subject to the </w:t>
      </w:r>
      <w:r>
        <w:rPr>
          <w:rStyle w:val="64"/>
        </w:rPr>
        <w:t>investigation</w:t>
      </w:r>
      <w:r>
        <w:rPr>
          <w:rFonts w:eastAsia="Arial"/>
        </w:rPr>
        <w:t xml:space="preserve">, we will ask you to complete a detailed questionnaire to inform this </w:t>
      </w:r>
      <w:r>
        <w:rPr>
          <w:rStyle w:val="64"/>
        </w:rPr>
        <w:t>investigation.</w:t>
      </w:r>
    </w:p>
    <w:p w14:paraId="3AB5C1A4">
      <w:pPr>
        <w:spacing w:line="22" w:lineRule="atLeast"/>
        <w:rPr>
          <w:rFonts w:eastAsia="Arial"/>
        </w:rPr>
      </w:pPr>
    </w:p>
    <w:p w14:paraId="69D27DAD">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4B2C5287">
      <w:pPr>
        <w:rPr>
          <w:szCs w:val="24"/>
        </w:rPr>
      </w:pPr>
    </w:p>
    <w:p w14:paraId="7E66E878">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4CF14538">
      <w:pPr>
        <w:rPr>
          <w:szCs w:val="24"/>
        </w:rPr>
      </w:pPr>
    </w:p>
    <w:p w14:paraId="5EF95879">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EC3FFB6">
      <w:pPr>
        <w:rPr>
          <w:szCs w:val="24"/>
        </w:rPr>
      </w:pPr>
    </w:p>
    <w:p w14:paraId="6035B637">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079C58AA">
      <w:pPr>
        <w:pStyle w:val="43"/>
        <w:numPr>
          <w:ilvl w:val="0"/>
          <w:numId w:val="6"/>
        </w:numPr>
        <w:rPr>
          <w:color w:val="000000"/>
          <w:szCs w:val="24"/>
        </w:rPr>
      </w:pPr>
      <w:r>
        <w:rPr>
          <w:color w:val="000000"/>
          <w:szCs w:val="24"/>
        </w:rPr>
        <w:t xml:space="preserve">you submit the required information on time; and </w:t>
      </w:r>
    </w:p>
    <w:p w14:paraId="14022ED4">
      <w:pPr>
        <w:pStyle w:val="43"/>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32CB2FEB">
      <w:pPr>
        <w:pStyle w:val="2"/>
        <w:pageBreakBefore/>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37FA06FD">
      <w:pPr>
        <w:spacing w:line="22" w:lineRule="atLeast"/>
      </w:pPr>
    </w:p>
    <w:p w14:paraId="0DEAEFBB">
      <w:pPr>
        <w:pStyle w:val="3"/>
      </w:pPr>
      <w:bookmarkStart w:id="4" w:name="_Toc115266750"/>
      <w:r>
        <w:t>A1. Your business’ or organisation’s activities</w:t>
      </w:r>
      <w:bookmarkEnd w:id="4"/>
    </w:p>
    <w:p w14:paraId="08FB87EB">
      <w:pPr>
        <w:spacing w:line="22" w:lineRule="atLeast"/>
        <w:rPr>
          <w:rFonts w:eastAsia="Arial"/>
        </w:rPr>
      </w:pPr>
    </w:p>
    <w:p w14:paraId="3499F194">
      <w:pPr>
        <w:pStyle w:val="43"/>
        <w:numPr>
          <w:ilvl w:val="0"/>
          <w:numId w:val="7"/>
        </w:numPr>
        <w:spacing w:line="22" w:lineRule="atLeast"/>
      </w:pPr>
      <w:r>
        <w:rPr>
          <w:rFonts w:eastAsia="Arial"/>
          <w:szCs w:val="24"/>
        </w:rPr>
        <w:t xml:space="preserve">To determine your business’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10D57EE1">
      <w:pPr>
        <w:spacing w:line="22" w:lineRule="atLeast"/>
        <w:rPr>
          <w:rFonts w:eastAsia="Arial"/>
          <w:szCs w:val="24"/>
        </w:rPr>
      </w:pPr>
    </w:p>
    <w:p w14:paraId="6971357C">
      <w:pPr>
        <w:spacing w:line="22" w:lineRule="atLeast"/>
        <w:ind w:left="1843" w:hanging="1123"/>
      </w:pPr>
      <w:r>
        <w:rPr>
          <w:rFonts w:eastAsia="Arial"/>
          <w:color w:val="000000"/>
          <w:szCs w:val="24"/>
        </w:rPr>
        <w:drawing>
          <wp:inline distT="0" distB="0" distL="114300" distR="114300">
            <wp:extent cx="139700" cy="139700"/>
            <wp:effectExtent l="0" t="0" r="0" b="0"/>
            <wp:docPr id="3" name="图片 3" descr="勾"/>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3000&quot;,&quot;origin&quot;:0,&quot;type&quot;:&quot;icons&quot;,&quot;user&quot;:&quot;370561322&quot;}"/>
                  </s:tag>
                </a:ext>
              </a:extLst>
            </wp:cNvGraphicFramePr>
            <a:graphic xmlns:a="http://schemas.openxmlformats.org/drawingml/2006/main">
              <a:graphicData uri="http://schemas.openxmlformats.org/drawingml/2006/picture">
                <pic:pic xmlns:pic="http://schemas.openxmlformats.org/drawingml/2006/picture">
                  <pic:nvPicPr>
                    <pic:cNvPr id="3" name="图片 3" descr="勾"/>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39700" cy="139700"/>
                    </a:xfrm>
                    <a:prstGeom prst="rect">
                      <a:avLst/>
                    </a:prstGeom>
                  </pic:spPr>
                </pic:pic>
              </a:graphicData>
            </a:graphic>
          </wp:inline>
        </w:drawing>
      </w:r>
      <w:r>
        <w:rPr>
          <w:rFonts w:hint="eastAsia" w:eastAsia="宋体"/>
          <w:color w:val="000000"/>
          <w:szCs w:val="24"/>
          <w:lang w:val="en-US" w:eastAsia="zh-CN"/>
        </w:rPr>
        <w:t xml:space="preserve"> </w:t>
      </w:r>
      <w:r>
        <w:rPr>
          <w:rFonts w:eastAsia="MS Gothic"/>
          <w:szCs w:val="24"/>
        </w:rPr>
        <w:t>[A1.1]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371DB548">
      <w:pPr>
        <w:spacing w:line="22" w:lineRule="atLeast"/>
        <w:ind w:left="1843" w:hanging="1123"/>
      </w:pPr>
      <w:r>
        <w:rPr>
          <w:rFonts w:eastAsia="MS Gothic"/>
          <w:b/>
          <w:bCs/>
          <w:szCs w:val="24"/>
        </w:rPr>
        <w:tab/>
      </w:r>
      <w:r>
        <w:rPr>
          <w:rFonts w:eastAsia="MS Gothic"/>
          <w:b/>
          <w:bCs/>
          <w:szCs w:val="24"/>
        </w:rPr>
        <w:t xml:space="preserve">Note: Please complete </w:t>
      </w:r>
      <w:r>
        <w:rPr>
          <w:rFonts w:eastAsia="MS Gothic"/>
          <w:b/>
          <w:bCs/>
          <w:szCs w:val="24"/>
          <w:u w:val="single"/>
        </w:rPr>
        <w:t>sections A2 and B</w:t>
      </w:r>
      <w:r>
        <w:rPr>
          <w:rFonts w:eastAsia="MS Gothic"/>
          <w:b/>
          <w:bCs/>
          <w:szCs w:val="24"/>
        </w:rPr>
        <w:t>.</w:t>
      </w:r>
    </w:p>
    <w:p w14:paraId="09C05FD4">
      <w:pPr>
        <w:spacing w:line="22" w:lineRule="atLeast"/>
        <w:rPr>
          <w:rFonts w:eastAsia="Arial"/>
          <w:szCs w:val="24"/>
        </w:rPr>
      </w:pPr>
    </w:p>
    <w:p w14:paraId="3429053C">
      <w:pPr>
        <w:spacing w:line="22" w:lineRule="atLeast"/>
        <w:ind w:left="1843" w:hanging="1123"/>
      </w:pPr>
      <w:r>
        <w:rPr>
          <w:rFonts w:eastAsia="Arial"/>
          <w:color w:val="000000"/>
          <w:szCs w:val="24"/>
        </w:rPr>
        <w:drawing>
          <wp:inline distT="0" distB="0" distL="114300" distR="114300">
            <wp:extent cx="139700" cy="139700"/>
            <wp:effectExtent l="0" t="0" r="0" b="0"/>
            <wp:docPr id="4" name="图片 4" descr="勾"/>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3000&quot;,&quot;origin&quot;:0,&quot;type&quot;:&quot;icons&quot;,&quot;user&quot;:&quot;370561322&quot;}"/>
                  </s:tag>
                </a:ext>
              </a:extLst>
            </wp:cNvGraphicFramePr>
            <a:graphic xmlns:a="http://schemas.openxmlformats.org/drawingml/2006/main">
              <a:graphicData uri="http://schemas.openxmlformats.org/drawingml/2006/picture">
                <pic:pic xmlns:pic="http://schemas.openxmlformats.org/drawingml/2006/picture">
                  <pic:nvPicPr>
                    <pic:cNvPr id="4" name="图片 4" descr="勾"/>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39700" cy="139700"/>
                    </a:xfrm>
                    <a:prstGeom prst="rect">
                      <a:avLst/>
                    </a:prstGeom>
                  </pic:spPr>
                </pic:pic>
              </a:graphicData>
            </a:graphic>
          </wp:inline>
        </w:drawing>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24BA91A3">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2471CE97">
      <w:pPr>
        <w:spacing w:line="22" w:lineRule="atLeast"/>
        <w:rPr>
          <w:rFonts w:eastAsia="Arial"/>
          <w:szCs w:val="24"/>
        </w:rPr>
      </w:pPr>
    </w:p>
    <w:p w14:paraId="3D0F4F6C">
      <w:pPr>
        <w:spacing w:line="22" w:lineRule="atLeast"/>
        <w:ind w:left="1843" w:hanging="1123"/>
      </w:pPr>
      <w:r>
        <w:rPr>
          <w:rFonts w:ascii="MS Gothic" w:hAnsi="MS Gothic" w:eastAsia="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0F66B08A">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718F4A7D">
      <w:pPr>
        <w:spacing w:line="22" w:lineRule="atLeast"/>
        <w:rPr>
          <w:rFonts w:eastAsia="Arial"/>
          <w:szCs w:val="24"/>
        </w:rPr>
      </w:pPr>
    </w:p>
    <w:p w14:paraId="21298BA2">
      <w:pPr>
        <w:spacing w:line="22" w:lineRule="atLeast"/>
        <w:ind w:left="1843" w:hanging="1123"/>
      </w:pPr>
      <w:r>
        <w:rPr>
          <w:rFonts w:ascii="MS Gothic" w:hAnsi="MS Gothic" w:eastAsia="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51DE80D2">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6000D041">
      <w:pPr>
        <w:spacing w:line="22" w:lineRule="atLeast"/>
        <w:rPr>
          <w:rFonts w:eastAsia="Arial"/>
          <w:szCs w:val="24"/>
        </w:rPr>
      </w:pPr>
    </w:p>
    <w:p w14:paraId="1A4230E5">
      <w:pPr>
        <w:spacing w:line="22" w:lineRule="atLeast"/>
        <w:ind w:left="1843" w:hanging="1123"/>
      </w:pPr>
      <w:r>
        <w:rPr>
          <w:rFonts w:ascii="MS Gothic" w:hAnsi="MS Gothic" w:eastAsia="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785A8E84">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451A492D">
      <w:pPr>
        <w:spacing w:line="22" w:lineRule="atLeast"/>
        <w:rPr>
          <w:rFonts w:eastAsia="MS Gothic"/>
          <w:b/>
          <w:bCs/>
          <w:szCs w:val="24"/>
        </w:rPr>
      </w:pPr>
    </w:p>
    <w:p w14:paraId="1C761A7E">
      <w:pPr>
        <w:spacing w:line="22" w:lineRule="atLeast"/>
        <w:ind w:left="1843" w:hanging="1123"/>
      </w:pPr>
      <w:r>
        <w:rPr>
          <w:rFonts w:ascii="MS Gothic" w:hAnsi="MS Gothic" w:eastAsia="MS Gothic"/>
          <w:szCs w:val="24"/>
        </w:rPr>
        <w:t>☐</w:t>
      </w:r>
      <w:r>
        <w:rPr>
          <w:rFonts w:eastAsia="MS Gothic"/>
          <w:szCs w:val="24"/>
        </w:rPr>
        <w:t xml:space="preserve"> [A1.6]</w:t>
      </w:r>
      <w:r>
        <w:rPr>
          <w:rFonts w:eastAsia="MS Gothic"/>
          <w:b/>
          <w:szCs w:val="24"/>
        </w:rPr>
        <w:tab/>
      </w:r>
      <w:r>
        <w:rPr>
          <w:rFonts w:eastAsia="Arial"/>
          <w:szCs w:val="24"/>
        </w:rPr>
        <w:t>Other.</w:t>
      </w:r>
    </w:p>
    <w:p w14:paraId="79E310C3">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17070380">
      <w:pPr>
        <w:spacing w:line="22" w:lineRule="atLeast"/>
        <w:rPr>
          <w:rFonts w:eastAsia="Arial"/>
          <w:szCs w:val="24"/>
        </w:rPr>
      </w:pPr>
    </w:p>
    <w:p w14:paraId="031E0651">
      <w:pPr>
        <w:pStyle w:val="43"/>
        <w:numPr>
          <w:ilvl w:val="0"/>
          <w:numId w:val="7"/>
        </w:numPr>
        <w:spacing w:line="22" w:lineRule="atLeast"/>
      </w:pPr>
      <w:r>
        <w:rPr>
          <w:rFonts w:eastAsia="Arial"/>
          <w:szCs w:val="24"/>
        </w:rPr>
        <w:t xml:space="preserve">If you selected ‘Other’ [A1.6], please describe the activity/activities of your business or organisation and your business’ or organisation’s interest in this investigation in the field below. </w:t>
      </w:r>
    </w:p>
    <w:p w14:paraId="31E50979">
      <w:pPr>
        <w:spacing w:line="22" w:lineRule="atLeast"/>
        <w:rPr>
          <w:rFonts w:eastAsia="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0964439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A93BB4">
            <w:pPr>
              <w:spacing w:line="22" w:lineRule="atLeast"/>
              <w:rPr>
                <w:rFonts w:eastAsia="宋体"/>
                <w:szCs w:val="24"/>
                <w:lang w:val="en-US" w:eastAsia="zh-CN"/>
              </w:rPr>
            </w:pPr>
            <w:r>
              <w:rPr>
                <w:rFonts w:hint="eastAsia"/>
                <w:szCs w:val="24"/>
                <w:lang w:val="en-US" w:eastAsia="zh-CN"/>
              </w:rPr>
              <w:t xml:space="preserve">Not applicable, as Fronteq Changzhou does not select </w:t>
            </w:r>
            <w:r>
              <w:rPr>
                <w:rFonts w:eastAsia="Arial"/>
                <w:szCs w:val="24"/>
              </w:rPr>
              <w:t>‘Other’ [A1.6]</w:t>
            </w:r>
            <w:r>
              <w:rPr>
                <w:rFonts w:hint="eastAsia" w:eastAsia="宋体"/>
                <w:szCs w:val="24"/>
                <w:lang w:val="en-US" w:eastAsia="zh-CN"/>
              </w:rPr>
              <w:t>.</w:t>
            </w:r>
          </w:p>
        </w:tc>
      </w:tr>
    </w:tbl>
    <w:p w14:paraId="668160C7">
      <w:pPr>
        <w:spacing w:line="22" w:lineRule="atLeast"/>
        <w:rPr>
          <w:rFonts w:eastAsia="Arial"/>
        </w:rPr>
      </w:pPr>
      <w:bookmarkStart w:id="5" w:name="_Toc115266751"/>
    </w:p>
    <w:p w14:paraId="0C6A8E3C">
      <w:pPr>
        <w:pageBreakBefore/>
        <w:suppressAutoHyphens w:val="0"/>
        <w:spacing w:after="160"/>
        <w:rPr>
          <w:rFonts w:eastAsia="Arial"/>
        </w:rPr>
      </w:pPr>
    </w:p>
    <w:p w14:paraId="6EDF4266">
      <w:pPr>
        <w:pStyle w:val="3"/>
      </w:pPr>
      <w:r>
        <w:t>A2. Production and domestic sales of the goods concerned</w:t>
      </w:r>
    </w:p>
    <w:p w14:paraId="06034283">
      <w:pPr>
        <w:spacing w:line="22" w:lineRule="atLeast"/>
        <w:rPr>
          <w:szCs w:val="24"/>
        </w:rPr>
      </w:pPr>
    </w:p>
    <w:tbl>
      <w:tblPr>
        <w:tblStyle w:val="23"/>
        <w:tblW w:w="9700" w:type="dxa"/>
        <w:tblInd w:w="0" w:type="dxa"/>
        <w:tblLayout w:type="autofit"/>
        <w:tblCellMar>
          <w:top w:w="0" w:type="dxa"/>
          <w:left w:w="10" w:type="dxa"/>
          <w:bottom w:w="0" w:type="dxa"/>
          <w:right w:w="10" w:type="dxa"/>
        </w:tblCellMar>
      </w:tblPr>
      <w:tblGrid>
        <w:gridCol w:w="9700"/>
      </w:tblGrid>
      <w:tr w14:paraId="208CD2A9">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61B4E0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557A63C0">
      <w:pPr>
        <w:spacing w:line="22" w:lineRule="atLeast"/>
        <w:rPr>
          <w:szCs w:val="24"/>
        </w:rPr>
      </w:pPr>
    </w:p>
    <w:p w14:paraId="5351AC18">
      <w:pPr>
        <w:pStyle w:val="43"/>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7F43EB68">
      <w:pPr>
        <w:spacing w:line="22" w:lineRule="atLeast"/>
        <w:rPr>
          <w:rFonts w:eastAsia="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96E0EB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6EF1527">
            <w:pPr>
              <w:numPr>
                <w:ilvl w:val="0"/>
                <w:numId w:val="0"/>
              </w:numPr>
              <w:spacing w:line="22" w:lineRule="atLeast"/>
              <w:rPr>
                <w:rFonts w:hint="default"/>
                <w:szCs w:val="24"/>
                <w:lang w:val="en-US" w:eastAsia="zh-CN"/>
              </w:rPr>
            </w:pPr>
            <w:r>
              <w:rPr>
                <w:rFonts w:hint="eastAsia"/>
                <w:szCs w:val="24"/>
                <w:lang w:val="en-US" w:eastAsia="zh-CN"/>
              </w:rPr>
              <w:t>Fronteq Changzhou mainly produces and sells assembled machines during the POI. The goods concerned they produced are articulated boom lift with platform heights of [redacted, contained business sensitive information of products height Fronteq Changzhou produced].</w:t>
            </w:r>
          </w:p>
        </w:tc>
      </w:tr>
    </w:tbl>
    <w:p w14:paraId="2E3873F4">
      <w:pPr>
        <w:spacing w:line="22" w:lineRule="atLeast"/>
        <w:rPr>
          <w:szCs w:val="24"/>
        </w:rPr>
      </w:pPr>
    </w:p>
    <w:p w14:paraId="46C524D1">
      <w:pPr>
        <w:pStyle w:val="43"/>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14224337">
      <w:pPr>
        <w:spacing w:line="22" w:lineRule="atLeast"/>
        <w:rPr>
          <w:szCs w:val="24"/>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52EC03C2">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794DEE">
            <w:pPr>
              <w:keepNext/>
              <w:keepLines/>
              <w:spacing w:line="22" w:lineRule="atLeast"/>
              <w:rPr>
                <w:color w:val="000000"/>
                <w:szCs w:val="24"/>
              </w:rPr>
            </w:pPr>
            <w:r>
              <w:rPr>
                <w:color w:val="000000"/>
                <w:szCs w:val="24"/>
              </w:rPr>
              <w:t>Total production volume (POI) [</w:t>
            </w:r>
            <w:r>
              <w:rPr>
                <w:rFonts w:hint="eastAsia"/>
                <w:color w:val="000000"/>
                <w:szCs w:val="24"/>
                <w:lang w:val="en-US" w:eastAsia="zh-CN"/>
              </w:rPr>
              <w:t>PCS</w:t>
            </w:r>
            <w:r>
              <w:rPr>
                <w:color w:val="000000"/>
                <w:szCs w:val="24"/>
              </w:rPr>
              <w:t>]</w:t>
            </w:r>
          </w:p>
        </w:tc>
        <w:tc>
          <w:tcPr>
            <w:tcW w:w="4981"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3BC1877D">
            <w:pPr>
              <w:keepNext/>
              <w:keepLines/>
              <w:spacing w:line="22" w:lineRule="atLeast"/>
              <w:rPr>
                <w:rFonts w:hint="eastAsia" w:ascii="Arial" w:hAnsi="Arial" w:cs="Arial" w:eastAsiaTheme="minorEastAsia"/>
                <w:sz w:val="24"/>
                <w:szCs w:val="22"/>
                <w:lang w:val="en-US" w:eastAsia="zh-CN" w:bidi="ar-SA"/>
              </w:rPr>
            </w:pPr>
            <w:r>
              <w:rPr>
                <w:rFonts w:hint="eastAsia"/>
                <w:szCs w:val="24"/>
                <w:lang w:val="en-US" w:eastAsia="zh-CN"/>
              </w:rPr>
              <w:t>[commercially sensitive data: non-confidential range: 60 – 90]</w:t>
            </w:r>
          </w:p>
        </w:tc>
      </w:tr>
      <w:tr w14:paraId="04C2F7A6">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58F830">
            <w:pPr>
              <w:keepNext/>
              <w:keepLines/>
              <w:spacing w:line="22" w:lineRule="atLeast"/>
              <w:rPr>
                <w:color w:val="000000"/>
                <w:szCs w:val="24"/>
              </w:rPr>
            </w:pPr>
            <w:r>
              <w:rPr>
                <w:color w:val="000000"/>
                <w:szCs w:val="24"/>
              </w:rPr>
              <w:t>Total production capacity (POI) [</w:t>
            </w:r>
            <w:r>
              <w:rPr>
                <w:rFonts w:hint="eastAsia"/>
                <w:color w:val="000000"/>
                <w:szCs w:val="24"/>
                <w:lang w:val="en-US" w:eastAsia="zh-CN"/>
              </w:rPr>
              <w:t>PCS</w:t>
            </w:r>
            <w:r>
              <w:rPr>
                <w:color w:val="000000"/>
                <w:szCs w:val="24"/>
              </w:rPr>
              <w:t>]</w:t>
            </w:r>
          </w:p>
        </w:tc>
        <w:tc>
          <w:tcPr>
            <w:tcW w:w="4981"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4953E0AA">
            <w:pPr>
              <w:keepNext/>
              <w:keepLines/>
              <w:spacing w:line="22" w:lineRule="atLeast"/>
              <w:rPr>
                <w:rFonts w:hint="default" w:ascii="Arial" w:hAnsi="Arial" w:cs="Arial" w:eastAsiaTheme="minorEastAsia"/>
                <w:sz w:val="24"/>
                <w:szCs w:val="22"/>
                <w:lang w:val="en-US" w:eastAsia="zh-CN" w:bidi="ar-SA"/>
              </w:rPr>
            </w:pPr>
            <w:r>
              <w:rPr>
                <w:rFonts w:hint="eastAsia"/>
                <w:szCs w:val="24"/>
                <w:lang w:val="en-US" w:eastAsia="zh-CN"/>
              </w:rPr>
              <w:t>[commercially sensitive data: non-confidential range: 80 – 120]</w:t>
            </w:r>
          </w:p>
        </w:tc>
      </w:tr>
      <w:tr w14:paraId="6B401F12">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A34304">
            <w:pPr>
              <w:keepNext/>
              <w:keepLines/>
              <w:spacing w:line="22" w:lineRule="atLeast"/>
              <w:rPr>
                <w:color w:val="000000"/>
                <w:szCs w:val="24"/>
              </w:rPr>
            </w:pPr>
            <w:r>
              <w:rPr>
                <w:color w:val="000000"/>
                <w:szCs w:val="24"/>
              </w:rPr>
              <w:t>Total production volume (POI) [kg]</w:t>
            </w:r>
          </w:p>
        </w:tc>
        <w:tc>
          <w:tcPr>
            <w:tcW w:w="4981"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3819F953">
            <w:pPr>
              <w:keepNext/>
              <w:keepLines/>
              <w:spacing w:line="22" w:lineRule="atLeast"/>
              <w:rPr>
                <w:rFonts w:hint="eastAsia" w:ascii="Arial" w:hAnsi="Arial" w:eastAsia="宋体" w:cs="Arial"/>
                <w:sz w:val="24"/>
                <w:szCs w:val="24"/>
                <w:lang w:val="en-US" w:eastAsia="zh-CN" w:bidi="ar-SA"/>
              </w:rPr>
            </w:pPr>
            <w:r>
              <w:rPr>
                <w:rFonts w:hint="eastAsia"/>
                <w:szCs w:val="24"/>
                <w:lang w:val="en-US" w:eastAsia="zh-CN"/>
              </w:rPr>
              <w:t>[commercially sensitive data: non-confidential range: 240,000-330,000]</w:t>
            </w:r>
          </w:p>
        </w:tc>
      </w:tr>
      <w:tr w14:paraId="1FCA82E4">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5F4D5AD">
            <w:pPr>
              <w:keepNext/>
              <w:keepLines/>
              <w:spacing w:line="22" w:lineRule="atLeast"/>
              <w:rPr>
                <w:color w:val="000000"/>
                <w:szCs w:val="24"/>
              </w:rPr>
            </w:pPr>
            <w:r>
              <w:rPr>
                <w:color w:val="000000"/>
                <w:szCs w:val="24"/>
              </w:rPr>
              <w:t>Total production capacity (POI) [kg]</w:t>
            </w:r>
          </w:p>
        </w:tc>
        <w:tc>
          <w:tcPr>
            <w:tcW w:w="4981"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1888E04D">
            <w:pPr>
              <w:keepNext/>
              <w:keepLines/>
              <w:spacing w:line="22" w:lineRule="atLeast"/>
              <w:rPr>
                <w:rFonts w:hint="default" w:ascii="Arial" w:hAnsi="Arial" w:eastAsia="宋体" w:cs="Arial"/>
                <w:sz w:val="24"/>
                <w:szCs w:val="24"/>
                <w:lang w:val="en-US" w:eastAsia="zh-CN" w:bidi="ar-SA"/>
              </w:rPr>
            </w:pPr>
            <w:r>
              <w:rPr>
                <w:rFonts w:hint="eastAsia"/>
                <w:szCs w:val="24"/>
                <w:lang w:val="en-US" w:eastAsia="zh-CN"/>
              </w:rPr>
              <w:t>[commercially sensitive data: non-confidential range: 280,000-420,000]</w:t>
            </w:r>
          </w:p>
        </w:tc>
      </w:tr>
    </w:tbl>
    <w:p w14:paraId="370C3693">
      <w:pPr>
        <w:spacing w:line="22" w:lineRule="atLeast"/>
        <w:rPr>
          <w:color w:val="C00000"/>
          <w:szCs w:val="24"/>
        </w:rPr>
      </w:pPr>
      <w:r>
        <w:rPr>
          <w:color w:val="C00000"/>
          <w:szCs w:val="24"/>
        </w:rPr>
        <w:t>Consider providing these figures in ranges in your non-confidential version of this form.</w:t>
      </w:r>
    </w:p>
    <w:p w14:paraId="6A9685C2">
      <w:pPr>
        <w:spacing w:line="22" w:lineRule="atLeast"/>
        <w:rPr>
          <w:rFonts w:eastAsia="Arial"/>
          <w:szCs w:val="24"/>
        </w:rPr>
      </w:pPr>
    </w:p>
    <w:p w14:paraId="2B9653F2">
      <w:pPr>
        <w:pStyle w:val="43"/>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64"/>
          <w:szCs w:val="24"/>
        </w:rPr>
        <w:t xml:space="preserve"> </w:t>
      </w:r>
      <w:r>
        <w:rPr>
          <w:rFonts w:eastAsia="Arial"/>
          <w:szCs w:val="24"/>
        </w:rPr>
        <w:t xml:space="preserve">during the period of investigation. </w:t>
      </w:r>
      <w:r>
        <w:rPr>
          <w:szCs w:val="24"/>
        </w:rPr>
        <w:t xml:space="preserve">Both </w:t>
      </w:r>
      <w:r>
        <w:rPr>
          <w:rStyle w:val="64"/>
          <w:szCs w:val="24"/>
        </w:rPr>
        <w:t xml:space="preserve">natural persons (individuals) and legal persons (e.g. companies) are considered to be associated where they meet the definition </w:t>
      </w:r>
      <w:r>
        <w:rPr>
          <w:rStyle w:val="64"/>
          <w:color w:val="000000"/>
          <w:szCs w:val="24"/>
        </w:rPr>
        <w:t xml:space="preserve">of ‘Related Persons’ in </w:t>
      </w:r>
      <w:r>
        <w:fldChar w:fldCharType="begin"/>
      </w:r>
      <w:r>
        <w:instrText xml:space="preserve"> HYPERLINK "http://www.legislation.gov.uk/uksi/2018/1248/regulation/128/made" </w:instrText>
      </w:r>
      <w:r>
        <w:fldChar w:fldCharType="separate"/>
      </w:r>
      <w:r>
        <w:rPr>
          <w:rStyle w:val="27"/>
          <w:szCs w:val="24"/>
        </w:rPr>
        <w:t>regulation 128 of the Customs (Import Duty) (EU Exit) Regulations 2018</w:t>
      </w:r>
      <w:r>
        <w:rPr>
          <w:rStyle w:val="27"/>
          <w:szCs w:val="24"/>
        </w:rPr>
        <w:fldChar w:fldCharType="end"/>
      </w:r>
      <w:r>
        <w:rPr>
          <w:rStyle w:val="64"/>
          <w:color w:val="000000"/>
          <w:szCs w:val="24"/>
        </w:rPr>
        <w:t>.</w:t>
      </w:r>
    </w:p>
    <w:p w14:paraId="411F370B">
      <w:pPr>
        <w:spacing w:line="22" w:lineRule="atLeast"/>
        <w:rPr>
          <w:szCs w:val="24"/>
        </w:rPr>
      </w:pPr>
    </w:p>
    <w:tbl>
      <w:tblPr>
        <w:tblStyle w:val="23"/>
        <w:tblW w:w="5000" w:type="pct"/>
        <w:tblInd w:w="0" w:type="dxa"/>
        <w:tblLayout w:type="fixed"/>
        <w:tblCellMar>
          <w:top w:w="0" w:type="dxa"/>
          <w:left w:w="10" w:type="dxa"/>
          <w:bottom w:w="0" w:type="dxa"/>
          <w:right w:w="10" w:type="dxa"/>
        </w:tblCellMar>
      </w:tblPr>
      <w:tblGrid>
        <w:gridCol w:w="1868"/>
        <w:gridCol w:w="3113"/>
        <w:gridCol w:w="3114"/>
        <w:gridCol w:w="1867"/>
      </w:tblGrid>
      <w:tr w14:paraId="782D32D3">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8F6973">
            <w:pPr>
              <w:spacing w:line="22" w:lineRule="atLeast"/>
              <w:jc w:val="center"/>
              <w:rPr>
                <w:rFonts w:eastAsia="Arial"/>
                <w:szCs w:val="24"/>
              </w:rPr>
            </w:pPr>
            <w:r>
              <w:rPr>
                <w:rFonts w:eastAsia="Arial"/>
                <w:szCs w:val="24"/>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CD536B">
            <w:pPr>
              <w:spacing w:line="22" w:lineRule="atLeast"/>
              <w:jc w:val="center"/>
              <w:rPr>
                <w:rFonts w:eastAsia="Arial"/>
                <w:szCs w:val="24"/>
              </w:rPr>
            </w:pPr>
            <w:r>
              <w:rPr>
                <w:rFonts w:eastAsia="Arial"/>
                <w:szCs w:val="24"/>
              </w:rPr>
              <w:t>Company location</w:t>
            </w:r>
          </w:p>
          <w:p w14:paraId="65060643">
            <w:pPr>
              <w:spacing w:line="22" w:lineRule="atLeast"/>
              <w:jc w:val="center"/>
              <w:rPr>
                <w:rFonts w:eastAsia="Arial"/>
                <w:szCs w:val="24"/>
              </w:rPr>
            </w:pPr>
            <w:r>
              <w:rPr>
                <w:rFonts w:eastAsia="Arial"/>
                <w:szCs w:val="24"/>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32B22BD">
            <w:pPr>
              <w:spacing w:line="22" w:lineRule="atLeast"/>
              <w:jc w:val="center"/>
              <w:rPr>
                <w:rFonts w:eastAsia="Arial"/>
                <w:szCs w:val="24"/>
              </w:rPr>
            </w:pPr>
            <w:r>
              <w:rPr>
                <w:rFonts w:eastAsia="Arial"/>
                <w:szCs w:val="24"/>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8E083CE">
            <w:pPr>
              <w:spacing w:line="22" w:lineRule="atLeast"/>
              <w:jc w:val="center"/>
              <w:rPr>
                <w:rFonts w:eastAsia="Arial"/>
                <w:szCs w:val="24"/>
              </w:rPr>
            </w:pPr>
            <w:r>
              <w:rPr>
                <w:rFonts w:eastAsia="Arial"/>
                <w:szCs w:val="24"/>
              </w:rPr>
              <w:t>Relationship</w:t>
            </w:r>
          </w:p>
        </w:tc>
      </w:tr>
      <w:tr w14:paraId="0A2FDF48">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903C34F">
            <w:pPr>
              <w:spacing w:line="22" w:lineRule="atLeast"/>
              <w:rPr>
                <w:szCs w:val="24"/>
                <w:lang w:val="en-US" w:eastAsia="zh-CN"/>
              </w:rPr>
            </w:pPr>
            <w:r>
              <w:rPr>
                <w:rFonts w:hint="eastAsia"/>
                <w:szCs w:val="24"/>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06894E1">
            <w:pPr>
              <w:spacing w:line="22" w:lineRule="atLeast"/>
              <w:rPr>
                <w:szCs w:val="24"/>
              </w:rPr>
            </w:pPr>
            <w:r>
              <w:rPr>
                <w:rFonts w:hint="eastAsia"/>
                <w:szCs w:val="24"/>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72433DC">
            <w:pPr>
              <w:spacing w:line="22" w:lineRule="atLeast"/>
              <w:rPr>
                <w:szCs w:val="24"/>
              </w:rPr>
            </w:pPr>
            <w:r>
              <w:rPr>
                <w:rFonts w:hint="eastAsia"/>
                <w:szCs w:val="24"/>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2E65AA2">
            <w:pPr>
              <w:spacing w:line="22" w:lineRule="atLeast"/>
              <w:rPr>
                <w:szCs w:val="24"/>
              </w:rPr>
            </w:pPr>
            <w:r>
              <w:rPr>
                <w:rFonts w:hint="eastAsia"/>
                <w:szCs w:val="24"/>
                <w:lang w:val="en-US" w:eastAsia="zh-CN"/>
              </w:rPr>
              <w:t>Not applicable</w:t>
            </w:r>
          </w:p>
        </w:tc>
      </w:tr>
      <w:tr w14:paraId="1966BE8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9958C52">
            <w:pPr>
              <w:spacing w:line="22" w:lineRule="atLeast"/>
              <w:rPr>
                <w:szCs w:val="24"/>
              </w:rPr>
            </w:pPr>
            <w:r>
              <w:rPr>
                <w:rFonts w:hint="eastAsia"/>
                <w:szCs w:val="24"/>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935045A">
            <w:pPr>
              <w:spacing w:line="22" w:lineRule="atLeast"/>
              <w:rPr>
                <w:szCs w:val="24"/>
              </w:rPr>
            </w:pPr>
            <w:r>
              <w:rPr>
                <w:rFonts w:hint="eastAsia"/>
                <w:szCs w:val="24"/>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1F4AD03">
            <w:pPr>
              <w:spacing w:line="22" w:lineRule="atLeast"/>
              <w:rPr>
                <w:szCs w:val="24"/>
              </w:rPr>
            </w:pPr>
            <w:r>
              <w:rPr>
                <w:rFonts w:hint="eastAsia"/>
                <w:szCs w:val="24"/>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29E2E65">
            <w:pPr>
              <w:spacing w:line="22" w:lineRule="atLeast"/>
              <w:rPr>
                <w:szCs w:val="24"/>
              </w:rPr>
            </w:pPr>
            <w:r>
              <w:rPr>
                <w:rFonts w:hint="eastAsia"/>
                <w:szCs w:val="24"/>
                <w:lang w:val="en-US" w:eastAsia="zh-CN"/>
              </w:rPr>
              <w:t>Not applicable</w:t>
            </w:r>
          </w:p>
        </w:tc>
      </w:tr>
    </w:tbl>
    <w:p w14:paraId="15A7C864">
      <w:pPr>
        <w:spacing w:line="22" w:lineRule="atLeast"/>
        <w:rPr>
          <w:rFonts w:eastAsia="Arial"/>
          <w:szCs w:val="24"/>
        </w:rPr>
      </w:pPr>
      <w:r>
        <w:rPr>
          <w:rFonts w:eastAsia="Arial"/>
          <w:szCs w:val="24"/>
        </w:rPr>
        <w:t>Add additional rows as required</w:t>
      </w:r>
      <w:bookmarkEnd w:id="5"/>
    </w:p>
    <w:p w14:paraId="60BF5029">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szCs w:val="24"/>
        </w:rPr>
        <w:t>TRA’s public guidance</w:t>
      </w:r>
      <w:r>
        <w:rPr>
          <w:rStyle w:val="27"/>
          <w:rFonts w:eastAsia="Yu Gothic Light"/>
          <w:szCs w:val="24"/>
        </w:rPr>
        <w:fldChar w:fldCharType="end"/>
      </w:r>
      <w:r>
        <w:rPr>
          <w:color w:val="C00000"/>
          <w:szCs w:val="24"/>
        </w:rPr>
        <w:t>.</w:t>
      </w:r>
    </w:p>
    <w:p w14:paraId="267318B3">
      <w:pPr>
        <w:keepNext/>
        <w:keepLines/>
        <w:spacing w:line="22" w:lineRule="atLeast"/>
        <w:jc w:val="right"/>
        <w:rPr>
          <w:rFonts w:eastAsia="Arial"/>
          <w:szCs w:val="24"/>
        </w:rPr>
      </w:pPr>
    </w:p>
    <w:p w14:paraId="288762C5">
      <w:pPr>
        <w:pStyle w:val="43"/>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6CE4EDF0">
      <w:pPr>
        <w:keepNext/>
        <w:keepLines/>
        <w:spacing w:line="22" w:lineRule="atLeast"/>
        <w:rPr>
          <w:color w:val="000000"/>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519E4B7A">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89103E">
            <w:pPr>
              <w:keepNext/>
              <w:keepLines/>
              <w:spacing w:line="22" w:lineRule="atLeast"/>
              <w:rPr>
                <w:color w:val="000000"/>
                <w:szCs w:val="24"/>
              </w:rPr>
            </w:pPr>
            <w:r>
              <w:rPr>
                <w:color w:val="000000"/>
                <w:szCs w:val="24"/>
              </w:rPr>
              <w:t>Total domestic sales volume (POI) [</w:t>
            </w:r>
            <w:r>
              <w:rPr>
                <w:rFonts w:hint="eastAsia"/>
                <w:color w:val="000000"/>
                <w:szCs w:val="24"/>
                <w:lang w:val="en-US" w:eastAsia="zh-CN"/>
              </w:rPr>
              <w:t>PCS</w:t>
            </w:r>
            <w:r>
              <w:rPr>
                <w:color w:val="000000"/>
                <w:szCs w:val="24"/>
              </w:rPr>
              <w:t>]</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640DE56">
            <w:pPr>
              <w:keepNext/>
              <w:keepLines/>
              <w:spacing w:line="22" w:lineRule="atLeast"/>
              <w:rPr>
                <w:szCs w:val="24"/>
                <w:lang w:val="en-US" w:eastAsia="zh-CN"/>
              </w:rPr>
            </w:pPr>
            <w:r>
              <w:rPr>
                <w:rFonts w:hint="eastAsia"/>
                <w:szCs w:val="24"/>
                <w:lang w:val="en-US" w:eastAsia="zh-CN"/>
              </w:rPr>
              <w:t>[commercially sensitive data: non-confidential range: 40-60]</w:t>
            </w:r>
          </w:p>
        </w:tc>
      </w:tr>
      <w:tr w14:paraId="4315E324">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C2770A">
            <w:pPr>
              <w:keepNext/>
              <w:keepLines/>
              <w:spacing w:line="22" w:lineRule="atLeast"/>
              <w:rPr>
                <w:color w:val="000000"/>
                <w:szCs w:val="24"/>
              </w:rPr>
            </w:pPr>
            <w:r>
              <w:rPr>
                <w:color w:val="000000"/>
                <w:szCs w:val="24"/>
              </w:rPr>
              <w:t>Total domestic sales volume (POI) [kg]</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F5D8DCD">
            <w:pPr>
              <w:keepNext/>
              <w:keepLines/>
              <w:spacing w:line="22" w:lineRule="atLeast"/>
              <w:rPr>
                <w:rFonts w:hint="default"/>
                <w:szCs w:val="24"/>
                <w:lang w:val="en-US" w:eastAsia="zh-CN"/>
              </w:rPr>
            </w:pPr>
            <w:r>
              <w:rPr>
                <w:rFonts w:hint="eastAsia"/>
                <w:szCs w:val="24"/>
                <w:lang w:val="en-US" w:eastAsia="zh-CN"/>
              </w:rPr>
              <w:t>[commercially sensitive data: non-confidential range: 160,000-220,000]</w:t>
            </w:r>
          </w:p>
        </w:tc>
      </w:tr>
      <w:tr w14:paraId="0672BE89">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9B7A4AF">
            <w:pPr>
              <w:keepNext/>
              <w:keepLines/>
              <w:spacing w:line="22" w:lineRule="atLeast"/>
              <w:rPr>
                <w:szCs w:val="24"/>
              </w:rPr>
            </w:pPr>
            <w:r>
              <w:rPr>
                <w:szCs w:val="24"/>
              </w:rPr>
              <w:t>Total domestic sales value (POI) [£]</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535A7C9">
            <w:pPr>
              <w:keepNext/>
              <w:keepLines/>
              <w:spacing w:line="22" w:lineRule="atLeast"/>
              <w:rPr>
                <w:szCs w:val="24"/>
                <w:lang w:val="en-US" w:eastAsia="zh-CN"/>
              </w:rPr>
            </w:pPr>
            <w:r>
              <w:rPr>
                <w:rFonts w:hint="eastAsia"/>
                <w:szCs w:val="24"/>
                <w:lang w:val="en-US" w:eastAsia="zh-CN"/>
              </w:rPr>
              <w:t>[commercially sensitive data: non-confidential range: 580,000-810,000]</w:t>
            </w:r>
          </w:p>
        </w:tc>
      </w:tr>
    </w:tbl>
    <w:p w14:paraId="7B04528D">
      <w:pPr>
        <w:spacing w:line="22" w:lineRule="atLeast"/>
        <w:rPr>
          <w:color w:val="C00000"/>
          <w:szCs w:val="24"/>
        </w:rPr>
      </w:pPr>
      <w:r>
        <w:rPr>
          <w:color w:val="C00000"/>
          <w:szCs w:val="24"/>
        </w:rPr>
        <w:t>Consider providing these figures in ranges in your non-confidential version of this form.</w:t>
      </w:r>
    </w:p>
    <w:p w14:paraId="6FDFE1AF">
      <w:pPr>
        <w:spacing w:line="22" w:lineRule="atLeast"/>
        <w:rPr>
          <w:rFonts w:eastAsia="Arial"/>
          <w:szCs w:val="24"/>
        </w:rPr>
      </w:pPr>
    </w:p>
    <w:p w14:paraId="7AE1D727">
      <w:pPr>
        <w:pStyle w:val="43"/>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4507F89E">
      <w:pPr>
        <w:spacing w:line="22" w:lineRule="atLeast"/>
      </w:pPr>
    </w:p>
    <w:tbl>
      <w:tblPr>
        <w:tblStyle w:val="23"/>
        <w:tblW w:w="9751" w:type="dxa"/>
        <w:tblInd w:w="0" w:type="dxa"/>
        <w:tblLayout w:type="autofit"/>
        <w:tblCellMar>
          <w:top w:w="0" w:type="dxa"/>
          <w:left w:w="10" w:type="dxa"/>
          <w:bottom w:w="0" w:type="dxa"/>
          <w:right w:w="10" w:type="dxa"/>
        </w:tblCellMar>
      </w:tblPr>
      <w:tblGrid>
        <w:gridCol w:w="9751"/>
      </w:tblGrid>
      <w:tr w14:paraId="7DE499A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D98C34">
            <w:pPr>
              <w:spacing w:line="22" w:lineRule="atLeast"/>
              <w:rPr>
                <w:lang w:val="en-US" w:eastAsia="zh-CN"/>
              </w:rPr>
            </w:pPr>
            <w:r>
              <w:rPr>
                <w:rFonts w:hint="eastAsia"/>
                <w:lang w:val="en-US" w:eastAsia="zh-CN"/>
              </w:rPr>
              <w:t>Fronteq Changzhou considers it is more appropriate to measure production volumes of boom lifts in units. It is due to the reason that the selling prices are mainly determined by the unit quantities and the specification of each unit of boom lift, rather than the weight of the boom lift.</w:t>
            </w:r>
          </w:p>
        </w:tc>
      </w:tr>
    </w:tbl>
    <w:p w14:paraId="45E88C8A">
      <w:pPr>
        <w:pStyle w:val="43"/>
        <w:spacing w:line="22" w:lineRule="atLeast"/>
        <w:rPr>
          <w:szCs w:val="24"/>
        </w:rPr>
      </w:pPr>
    </w:p>
    <w:p w14:paraId="05646C5E">
      <w:pPr>
        <w:pStyle w:val="43"/>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789E0AA4">
      <w:pPr>
        <w:spacing w:line="22" w:lineRule="atLeast"/>
        <w:rPr>
          <w:rFonts w:eastAsia="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62DBCE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20B3421">
            <w:pPr>
              <w:spacing w:line="22" w:lineRule="atLeast"/>
              <w:rPr>
                <w:szCs w:val="24"/>
                <w:lang w:val="en-US"/>
              </w:rPr>
            </w:pPr>
            <w:bookmarkStart w:id="6" w:name="OLE_LINK2"/>
            <w:r>
              <w:rPr>
                <w:rFonts w:hint="eastAsia"/>
                <w:lang w:val="en-US" w:eastAsia="zh-CN"/>
              </w:rPr>
              <w:t>Fronteq Changzhou considers that there has been no change of demand in UK market</w:t>
            </w:r>
            <w:bookmarkEnd w:id="6"/>
            <w:r>
              <w:rPr>
                <w:rFonts w:hint="eastAsia"/>
                <w:lang w:val="en-US" w:eastAsia="zh-CN"/>
              </w:rPr>
              <w:t xml:space="preserve"> in the next few years.</w:t>
            </w:r>
          </w:p>
        </w:tc>
      </w:tr>
    </w:tbl>
    <w:p w14:paraId="2584352F">
      <w:pPr>
        <w:spacing w:line="22" w:lineRule="atLeast"/>
        <w:rPr>
          <w:szCs w:val="24"/>
        </w:rPr>
      </w:pPr>
    </w:p>
    <w:p w14:paraId="5BF90DEF">
      <w:pPr>
        <w:pageBreakBefore/>
        <w:suppressAutoHyphens w:val="0"/>
        <w:spacing w:after="160"/>
        <w:rPr>
          <w:bCs/>
          <w:szCs w:val="24"/>
        </w:rPr>
      </w:pPr>
    </w:p>
    <w:p w14:paraId="7C987D10">
      <w:pPr>
        <w:pStyle w:val="3"/>
      </w:pPr>
      <w:r>
        <w:t>A3. Direct and indirect exports of the goods concerned</w:t>
      </w:r>
    </w:p>
    <w:p w14:paraId="0102B698">
      <w:pPr>
        <w:spacing w:line="22" w:lineRule="atLeast"/>
      </w:pPr>
    </w:p>
    <w:tbl>
      <w:tblPr>
        <w:tblStyle w:val="23"/>
        <w:tblW w:w="9700" w:type="dxa"/>
        <w:tblInd w:w="0" w:type="dxa"/>
        <w:tblLayout w:type="autofit"/>
        <w:tblCellMar>
          <w:top w:w="0" w:type="dxa"/>
          <w:left w:w="10" w:type="dxa"/>
          <w:bottom w:w="0" w:type="dxa"/>
          <w:right w:w="10" w:type="dxa"/>
        </w:tblCellMar>
      </w:tblPr>
      <w:tblGrid>
        <w:gridCol w:w="9700"/>
      </w:tblGrid>
      <w:tr w14:paraId="4E331288">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023885C">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185AB9EF">
      <w:pPr>
        <w:spacing w:line="22" w:lineRule="atLeast"/>
      </w:pPr>
    </w:p>
    <w:p w14:paraId="523178D9">
      <w:pPr>
        <w:pStyle w:val="43"/>
        <w:numPr>
          <w:ilvl w:val="0"/>
          <w:numId w:val="9"/>
        </w:numPr>
        <w:spacing w:line="22" w:lineRule="atLeast"/>
        <w:rPr>
          <w:shd w:val="clear" w:color="auto" w:fill="FFFFFF"/>
        </w:rPr>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tbl>
      <w:tblPr>
        <w:tblStyle w:val="23"/>
        <w:tblW w:w="4999" w:type="pct"/>
        <w:tblInd w:w="0" w:type="dxa"/>
        <w:tblLayout w:type="autofit"/>
        <w:tblCellMar>
          <w:top w:w="0" w:type="dxa"/>
          <w:left w:w="10" w:type="dxa"/>
          <w:bottom w:w="0" w:type="dxa"/>
          <w:right w:w="10" w:type="dxa"/>
        </w:tblCellMar>
      </w:tblPr>
      <w:tblGrid>
        <w:gridCol w:w="1868"/>
        <w:gridCol w:w="4357"/>
        <w:gridCol w:w="1868"/>
        <w:gridCol w:w="1867"/>
      </w:tblGrid>
      <w:tr w14:paraId="3706F0F6">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EF5FF5D">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E526727">
            <w:pPr>
              <w:spacing w:line="22" w:lineRule="atLeast"/>
              <w:jc w:val="center"/>
              <w:rPr>
                <w:rFonts w:eastAsia="Arial"/>
              </w:rPr>
            </w:pPr>
            <w:r>
              <w:rPr>
                <w:rFonts w:eastAsia="Arial"/>
              </w:rPr>
              <w:t>Company location</w:t>
            </w:r>
          </w:p>
          <w:p w14:paraId="4A4C313D">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809C47A">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9C37BEC">
            <w:pPr>
              <w:spacing w:line="22" w:lineRule="atLeast"/>
              <w:jc w:val="center"/>
              <w:rPr>
                <w:rFonts w:eastAsia="Arial"/>
                <w:szCs w:val="24"/>
              </w:rPr>
            </w:pPr>
            <w:r>
              <w:rPr>
                <w:rFonts w:eastAsia="Arial"/>
                <w:szCs w:val="24"/>
              </w:rPr>
              <w:t xml:space="preserve">Producer </w:t>
            </w:r>
          </w:p>
          <w:p w14:paraId="3B75F363">
            <w:pPr>
              <w:spacing w:line="22" w:lineRule="atLeast"/>
              <w:jc w:val="center"/>
              <w:rPr>
                <w:rFonts w:eastAsia="Arial"/>
                <w:szCs w:val="24"/>
              </w:rPr>
            </w:pPr>
            <w:r>
              <w:rPr>
                <w:rFonts w:eastAsia="Arial"/>
                <w:szCs w:val="24"/>
              </w:rPr>
              <w:t>(Y/N)</w:t>
            </w:r>
          </w:p>
        </w:tc>
      </w:tr>
      <w:tr w14:paraId="6AE9571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056D899">
            <w:pPr>
              <w:spacing w:line="22" w:lineRule="atLeast"/>
            </w:pPr>
            <w:r>
              <w:rPr>
                <w:rFonts w:hint="eastAsia"/>
                <w:szCs w:val="24"/>
                <w:lang w:val="en-US" w:eastAsia="zh-CN"/>
              </w:rPr>
              <w:t>Not applicable</w:t>
            </w: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EC02725">
            <w:pPr>
              <w:spacing w:line="22" w:lineRule="atLeast"/>
            </w:pPr>
            <w:r>
              <w:rPr>
                <w:rFonts w:hint="eastAsia"/>
                <w:szCs w:val="24"/>
                <w:lang w:val="en-US" w:eastAsia="zh-CN"/>
              </w:rPr>
              <w:t>Not applicable</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CAA8DCE">
            <w:pPr>
              <w:spacing w:line="22" w:lineRule="atLeast"/>
            </w:pPr>
            <w:r>
              <w:rPr>
                <w:rFonts w:hint="eastAsia"/>
                <w:szCs w:val="24"/>
                <w:lang w:val="en-US" w:eastAsia="zh-CN"/>
              </w:rPr>
              <w:t>Not applicable</w:t>
            </w: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60F1018">
            <w:pPr>
              <w:spacing w:line="22" w:lineRule="atLeast"/>
            </w:pPr>
            <w:r>
              <w:rPr>
                <w:rFonts w:hint="eastAsia"/>
                <w:szCs w:val="24"/>
                <w:lang w:val="en-US" w:eastAsia="zh-CN"/>
              </w:rPr>
              <w:t>Not applicable</w:t>
            </w:r>
          </w:p>
        </w:tc>
      </w:tr>
      <w:tr w14:paraId="2DDAF380">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4BED630">
            <w:pPr>
              <w:spacing w:line="22" w:lineRule="atLeast"/>
            </w:pPr>
            <w:r>
              <w:rPr>
                <w:rFonts w:hint="eastAsia"/>
                <w:szCs w:val="24"/>
                <w:lang w:val="en-US" w:eastAsia="zh-CN"/>
              </w:rPr>
              <w:t>Not applicable</w:t>
            </w: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82BB831">
            <w:pPr>
              <w:spacing w:line="22" w:lineRule="atLeast"/>
            </w:pPr>
            <w:r>
              <w:rPr>
                <w:rFonts w:hint="eastAsia"/>
                <w:szCs w:val="24"/>
                <w:lang w:val="en-US" w:eastAsia="zh-CN"/>
              </w:rPr>
              <w:t>Not applicable</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04617F4">
            <w:pPr>
              <w:spacing w:line="22" w:lineRule="atLeast"/>
            </w:pPr>
            <w:r>
              <w:rPr>
                <w:rFonts w:hint="eastAsia"/>
                <w:szCs w:val="24"/>
                <w:lang w:val="en-US" w:eastAsia="zh-CN"/>
              </w:rPr>
              <w:t>Not applicable</w:t>
            </w: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C11B1B2">
            <w:pPr>
              <w:spacing w:line="22" w:lineRule="atLeast"/>
            </w:pPr>
            <w:r>
              <w:rPr>
                <w:rFonts w:hint="eastAsia"/>
                <w:szCs w:val="24"/>
                <w:lang w:val="en-US" w:eastAsia="zh-CN"/>
              </w:rPr>
              <w:t>Not applicable</w:t>
            </w:r>
          </w:p>
        </w:tc>
      </w:tr>
    </w:tbl>
    <w:p w14:paraId="43BC3650">
      <w:pPr>
        <w:spacing w:line="22" w:lineRule="atLeast"/>
        <w:rPr>
          <w:rFonts w:eastAsia="Arial"/>
        </w:rPr>
      </w:pPr>
      <w:r>
        <w:rPr>
          <w:rFonts w:eastAsia="Arial"/>
        </w:rPr>
        <w:t>Add additional rows as required</w:t>
      </w:r>
    </w:p>
    <w:p w14:paraId="267C7979">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szCs w:val="24"/>
        </w:rPr>
        <w:t>TRA’s public guidance</w:t>
      </w:r>
      <w:r>
        <w:rPr>
          <w:rStyle w:val="27"/>
          <w:rFonts w:eastAsia="Yu Gothic Light"/>
          <w:szCs w:val="24"/>
        </w:rPr>
        <w:fldChar w:fldCharType="end"/>
      </w:r>
      <w:r>
        <w:rPr>
          <w:color w:val="C00000"/>
          <w:szCs w:val="24"/>
        </w:rPr>
        <w:t>.</w:t>
      </w:r>
    </w:p>
    <w:p w14:paraId="104CEBB4">
      <w:pPr>
        <w:spacing w:line="22" w:lineRule="atLeast"/>
        <w:rPr>
          <w:bCs/>
          <w:szCs w:val="24"/>
        </w:rPr>
      </w:pPr>
    </w:p>
    <w:p w14:paraId="71FB1C93">
      <w:pPr>
        <w:pStyle w:val="43"/>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4984187B">
      <w:pPr>
        <w:pStyle w:val="43"/>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6BAC01DE">
      <w:pPr>
        <w:spacing w:line="22" w:lineRule="atLeast"/>
        <w:rPr>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42C191D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D0A406">
            <w:pPr>
              <w:keepNext/>
              <w:keepLines/>
              <w:spacing w:line="22" w:lineRule="atLeast"/>
            </w:pPr>
            <w:r>
              <w:rPr>
                <w:szCs w:val="24"/>
              </w:rPr>
              <w:t xml:space="preserve">Total direct export volume (POI) </w:t>
            </w:r>
            <w:r>
              <w:rPr>
                <w:bCs/>
                <w:szCs w:val="24"/>
              </w:rPr>
              <w:t>[</w:t>
            </w:r>
            <w:r>
              <w:rPr>
                <w:rFonts w:hint="eastAsia"/>
                <w:bCs/>
                <w:szCs w:val="24"/>
                <w:lang w:val="en-US" w:eastAsia="zh-CN"/>
              </w:rPr>
              <w:t>PCS</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F31561E">
            <w:pPr>
              <w:keepNext/>
              <w:keepLines/>
              <w:spacing w:line="22" w:lineRule="atLeast"/>
              <w:rPr>
                <w:lang w:val="en-US" w:eastAsia="zh-CN"/>
              </w:rPr>
            </w:pPr>
            <w:r>
              <w:rPr>
                <w:rFonts w:hint="eastAsia"/>
                <w:lang w:val="en-US" w:eastAsia="zh-CN"/>
              </w:rPr>
              <w:t>[</w:t>
            </w:r>
            <w:r>
              <w:rPr>
                <w:rFonts w:hint="eastAsia"/>
                <w:szCs w:val="24"/>
                <w:lang w:val="en-US" w:eastAsia="zh-CN"/>
              </w:rPr>
              <w:t xml:space="preserve">commercially sensitive data: non-confidential range: </w:t>
            </w:r>
            <w:r>
              <w:rPr>
                <w:rFonts w:hint="eastAsia"/>
                <w:lang w:val="en-US" w:eastAsia="zh-CN"/>
              </w:rPr>
              <w:t>0-10]</w:t>
            </w:r>
          </w:p>
        </w:tc>
      </w:tr>
      <w:tr w14:paraId="251F781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05CABE">
            <w:pPr>
              <w:keepNext/>
              <w:keepLines/>
              <w:spacing w:line="22" w:lineRule="atLeast"/>
            </w:pPr>
            <w:r>
              <w:rPr>
                <w:szCs w:val="24"/>
              </w:rPr>
              <w:t xml:space="preserve">Total indirect export volume (POI) </w:t>
            </w:r>
            <w:r>
              <w:rPr>
                <w:bCs/>
                <w:szCs w:val="24"/>
              </w:rPr>
              <w:t>[</w:t>
            </w:r>
            <w:r>
              <w:rPr>
                <w:rFonts w:hint="eastAsia"/>
                <w:bCs/>
                <w:szCs w:val="24"/>
                <w:lang w:val="en-US" w:eastAsia="zh-CN"/>
              </w:rPr>
              <w:t>PCS</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3F8D60">
            <w:pPr>
              <w:keepNext/>
              <w:keepLines/>
              <w:spacing w:line="22" w:lineRule="atLeast"/>
              <w:rPr>
                <w:lang w:val="en-US" w:eastAsia="zh-CN"/>
              </w:rPr>
            </w:pPr>
            <w:r>
              <w:rPr>
                <w:rFonts w:hint="eastAsia"/>
                <w:lang w:val="en-US" w:eastAsia="zh-CN"/>
              </w:rPr>
              <w:t>0</w:t>
            </w:r>
          </w:p>
        </w:tc>
      </w:tr>
      <w:tr w14:paraId="272086A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4FBB04">
            <w:pPr>
              <w:keepNext/>
              <w:keepLines/>
              <w:spacing w:line="22" w:lineRule="atLeast"/>
            </w:pPr>
            <w:r>
              <w:rPr>
                <w:szCs w:val="24"/>
              </w:rPr>
              <w:t xml:space="preserve">Total 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C6510F">
            <w:pPr>
              <w:keepNext/>
              <w:keepLines/>
              <w:spacing w:line="22" w:lineRule="atLeast"/>
              <w:rPr>
                <w:lang w:val="en-US" w:eastAsia="zh-CN"/>
              </w:rPr>
            </w:pPr>
            <w:r>
              <w:rPr>
                <w:rFonts w:hint="eastAsia"/>
                <w:lang w:val="en-US" w:eastAsia="zh-CN"/>
              </w:rPr>
              <w:t>[</w:t>
            </w:r>
            <w:r>
              <w:rPr>
                <w:rFonts w:hint="eastAsia"/>
                <w:szCs w:val="24"/>
                <w:lang w:val="en-US" w:eastAsia="zh-CN"/>
              </w:rPr>
              <w:t xml:space="preserve">commercially sensitive data: non-confidential range: </w:t>
            </w:r>
            <w:r>
              <w:rPr>
                <w:rFonts w:hint="eastAsia"/>
                <w:lang w:val="en-US" w:eastAsia="zh-CN"/>
              </w:rPr>
              <w:t>5,000-8,000]</w:t>
            </w:r>
          </w:p>
        </w:tc>
      </w:tr>
      <w:tr w14:paraId="3A353C0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DAF5E9">
            <w:pPr>
              <w:keepNext/>
              <w:keepLines/>
              <w:spacing w:line="22" w:lineRule="atLeast"/>
            </w:pPr>
            <w:r>
              <w:rPr>
                <w:szCs w:val="24"/>
              </w:rPr>
              <w:t xml:space="preserve">Total indirect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18B06D">
            <w:pPr>
              <w:keepNext/>
              <w:keepLines/>
              <w:spacing w:line="22" w:lineRule="atLeast"/>
              <w:rPr>
                <w:rFonts w:hint="default"/>
                <w:lang w:val="en-US" w:eastAsia="zh-CN"/>
              </w:rPr>
            </w:pPr>
            <w:r>
              <w:rPr>
                <w:rFonts w:hint="eastAsia"/>
                <w:lang w:val="en-US" w:eastAsia="zh-CN"/>
              </w:rPr>
              <w:t>0</w:t>
            </w:r>
          </w:p>
        </w:tc>
      </w:tr>
      <w:tr w14:paraId="0EF6063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4DEBF5">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61EE0B">
            <w:pPr>
              <w:keepNext/>
              <w:keepLines/>
              <w:spacing w:line="22" w:lineRule="atLeast"/>
              <w:rPr>
                <w:rFonts w:hint="default"/>
                <w:lang w:val="en-US" w:eastAsia="zh-CN"/>
              </w:rPr>
            </w:pPr>
            <w:r>
              <w:rPr>
                <w:rFonts w:hint="eastAsia"/>
                <w:lang w:val="en-US" w:eastAsia="zh-CN"/>
              </w:rPr>
              <w:t>[</w:t>
            </w:r>
            <w:r>
              <w:rPr>
                <w:rFonts w:hint="eastAsia"/>
                <w:szCs w:val="24"/>
                <w:lang w:val="en-US" w:eastAsia="zh-CN"/>
              </w:rPr>
              <w:t xml:space="preserve">commercially sensitive data: non-confidential range: </w:t>
            </w:r>
            <w:r>
              <w:rPr>
                <w:rFonts w:hint="eastAsia"/>
                <w:lang w:val="en-US" w:eastAsia="zh-CN"/>
              </w:rPr>
              <w:t>24,000-34,000]</w:t>
            </w:r>
          </w:p>
        </w:tc>
      </w:tr>
      <w:tr w14:paraId="1F41A8F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F5A683F">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6E1EFA">
            <w:pPr>
              <w:keepNext/>
              <w:keepLines/>
              <w:spacing w:line="22" w:lineRule="atLeast"/>
              <w:rPr>
                <w:rFonts w:hint="eastAsia" w:ascii="Arial" w:hAnsi="Arial" w:cs="Arial" w:eastAsiaTheme="minorEastAsia"/>
                <w:sz w:val="24"/>
                <w:szCs w:val="22"/>
                <w:lang w:val="en-US" w:eastAsia="zh-CN" w:bidi="ar-SA"/>
              </w:rPr>
            </w:pPr>
            <w:r>
              <w:rPr>
                <w:rFonts w:hint="eastAsia"/>
                <w:lang w:val="en-US" w:eastAsia="zh-CN"/>
              </w:rPr>
              <w:t>0</w:t>
            </w:r>
          </w:p>
        </w:tc>
      </w:tr>
    </w:tbl>
    <w:p w14:paraId="34FBFAA0">
      <w:pPr>
        <w:spacing w:line="22" w:lineRule="atLeast"/>
        <w:rPr>
          <w:color w:val="C00000"/>
          <w:szCs w:val="24"/>
        </w:rPr>
      </w:pPr>
      <w:r>
        <w:rPr>
          <w:color w:val="C00000"/>
          <w:szCs w:val="24"/>
        </w:rPr>
        <w:t>Consider providing these figures in ranges in your non-confidential version of this form.</w:t>
      </w:r>
    </w:p>
    <w:p w14:paraId="41CA9F5F">
      <w:pPr>
        <w:spacing w:line="22" w:lineRule="atLeast"/>
        <w:rPr>
          <w:b/>
          <w:szCs w:val="24"/>
        </w:rPr>
      </w:pPr>
    </w:p>
    <w:p w14:paraId="1550D1C9">
      <w:pPr>
        <w:pStyle w:val="43"/>
        <w:numPr>
          <w:ilvl w:val="0"/>
          <w:numId w:val="9"/>
        </w:numPr>
        <w:spacing w:line="22" w:lineRule="atLeast"/>
      </w:pPr>
      <w:r>
        <w:t>What percentage of your total export volumes to the UK is made up of assembled boom lifts only?</w:t>
      </w:r>
    </w:p>
    <w:p w14:paraId="588CD06E">
      <w:pPr>
        <w:spacing w:line="22" w:lineRule="atLeast"/>
        <w:rPr>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AA225E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D24DF95">
            <w:pPr>
              <w:spacing w:line="22" w:lineRule="atLeast"/>
              <w:rPr>
                <w:lang w:val="en-US" w:eastAsia="zh-CN"/>
              </w:rPr>
            </w:pPr>
            <w:bookmarkStart w:id="7" w:name="OLE_LINK3"/>
            <w:r>
              <w:rPr>
                <w:rFonts w:hint="eastAsia"/>
                <w:lang w:val="en-US" w:eastAsia="zh-CN"/>
              </w:rPr>
              <w:t xml:space="preserve">The total export composition to the UK from Fronteq Changzhou is </w:t>
            </w:r>
            <w:r>
              <w:rPr>
                <w:rFonts w:hint="eastAsia"/>
                <w:szCs w:val="24"/>
                <w:lang w:val="en-US" w:eastAsia="zh-CN"/>
              </w:rPr>
              <w:t>[redacted, contained business sensitive information of the export composition]</w:t>
            </w:r>
            <w:r>
              <w:rPr>
                <w:rFonts w:hint="eastAsia"/>
                <w:lang w:val="en-US" w:eastAsia="zh-CN"/>
              </w:rPr>
              <w:t>.</w:t>
            </w:r>
            <w:bookmarkEnd w:id="7"/>
          </w:p>
        </w:tc>
      </w:tr>
    </w:tbl>
    <w:p w14:paraId="3993FEE8">
      <w:pPr>
        <w:spacing w:line="22" w:lineRule="atLeast"/>
      </w:pPr>
    </w:p>
    <w:p w14:paraId="7DA6DFEC">
      <w:pPr>
        <w:pStyle w:val="43"/>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05E9522E">
      <w:pPr>
        <w:spacing w:line="22" w:lineRule="atLeast"/>
      </w:pPr>
    </w:p>
    <w:tbl>
      <w:tblPr>
        <w:tblStyle w:val="23"/>
        <w:tblW w:w="9751" w:type="dxa"/>
        <w:tblInd w:w="0" w:type="dxa"/>
        <w:tblLayout w:type="autofit"/>
        <w:tblCellMar>
          <w:top w:w="0" w:type="dxa"/>
          <w:left w:w="10" w:type="dxa"/>
          <w:bottom w:w="0" w:type="dxa"/>
          <w:right w:w="10" w:type="dxa"/>
        </w:tblCellMar>
      </w:tblPr>
      <w:tblGrid>
        <w:gridCol w:w="9751"/>
      </w:tblGrid>
      <w:tr w14:paraId="6D891C9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02627C">
            <w:pPr>
              <w:spacing w:line="22" w:lineRule="atLeast"/>
            </w:pPr>
            <w:bookmarkStart w:id="8" w:name="OLE_LINK4"/>
            <w:r>
              <w:rPr>
                <w:rFonts w:hint="eastAsia"/>
                <w:lang w:val="en-US" w:eastAsia="zh-CN"/>
              </w:rPr>
              <w:t xml:space="preserve">Fronteq Changzhou considers it is more appropriate to measure export volumes of boom lifts in units. It is due to the reason that </w:t>
            </w:r>
            <w:bookmarkEnd w:id="8"/>
            <w:r>
              <w:rPr>
                <w:rFonts w:hint="eastAsia"/>
                <w:lang w:val="en-US" w:eastAsia="zh-CN"/>
              </w:rPr>
              <w:t>the selling prices are determined by the unit quantities and the model of each unit of boom lift, rather than the weight of the boom lift.</w:t>
            </w:r>
          </w:p>
        </w:tc>
      </w:tr>
    </w:tbl>
    <w:p w14:paraId="401ABC20">
      <w:pPr>
        <w:pStyle w:val="43"/>
        <w:spacing w:line="22" w:lineRule="atLeast"/>
      </w:pPr>
    </w:p>
    <w:p w14:paraId="5CAFE76C">
      <w:pPr>
        <w:pStyle w:val="43"/>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634E053B">
      <w:pPr>
        <w:spacing w:line="22" w:lineRule="atLeast"/>
        <w:rPr>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2E749B5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32B90F5">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964EFC0">
            <w:pPr>
              <w:spacing w:line="22" w:lineRule="atLeast"/>
              <w:jc w:val="center"/>
              <w:rPr>
                <w:rFonts w:eastAsia="Arial"/>
              </w:rPr>
            </w:pPr>
            <w:r>
              <w:rPr>
                <w:rFonts w:eastAsia="Arial"/>
              </w:rPr>
              <w:t>Company location</w:t>
            </w:r>
          </w:p>
          <w:p w14:paraId="304E9668">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1ECDEC9">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2B980B">
            <w:pPr>
              <w:spacing w:line="22" w:lineRule="atLeast"/>
              <w:jc w:val="center"/>
              <w:rPr>
                <w:rFonts w:eastAsia="Arial"/>
                <w:szCs w:val="24"/>
              </w:rPr>
            </w:pPr>
            <w:r>
              <w:rPr>
                <w:rFonts w:eastAsia="Arial"/>
                <w:szCs w:val="24"/>
              </w:rPr>
              <w:t>Relationship</w:t>
            </w:r>
          </w:p>
        </w:tc>
      </w:tr>
      <w:tr w14:paraId="6813FDA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A790F8F">
            <w:pPr>
              <w:spacing w:line="22" w:lineRule="atLeast"/>
              <w:rPr>
                <w:lang w:val="en-US" w:eastAsia="zh-CN"/>
              </w:rPr>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156B373">
            <w:pPr>
              <w:spacing w:line="22" w:lineRule="atLeast"/>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62EF5BB">
            <w:pPr>
              <w:spacing w:line="22" w:lineRule="atLeast"/>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295CE31">
            <w:pPr>
              <w:spacing w:line="22" w:lineRule="atLeast"/>
            </w:pPr>
            <w:r>
              <w:rPr>
                <w:rFonts w:hint="eastAsia"/>
                <w:lang w:val="en-US" w:eastAsia="zh-CN"/>
              </w:rPr>
              <w:t>Not applicable</w:t>
            </w:r>
          </w:p>
        </w:tc>
      </w:tr>
      <w:tr w14:paraId="25DD952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1F7A173">
            <w:pPr>
              <w:spacing w:line="22" w:lineRule="atLeast"/>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3F99D2E">
            <w:pPr>
              <w:spacing w:line="22" w:lineRule="atLeast"/>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A0FD6D6">
            <w:pPr>
              <w:spacing w:line="22" w:lineRule="atLeast"/>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CB1A396">
            <w:pPr>
              <w:spacing w:line="22" w:lineRule="atLeast"/>
            </w:pPr>
            <w:r>
              <w:rPr>
                <w:rFonts w:hint="eastAsia"/>
                <w:lang w:val="en-US" w:eastAsia="zh-CN"/>
              </w:rPr>
              <w:t>Not applicable</w:t>
            </w:r>
          </w:p>
        </w:tc>
      </w:tr>
    </w:tbl>
    <w:p w14:paraId="40AF9C9C">
      <w:pPr>
        <w:spacing w:line="22" w:lineRule="atLeast"/>
        <w:rPr>
          <w:rFonts w:eastAsia="Arial"/>
        </w:rPr>
      </w:pPr>
      <w:r>
        <w:rPr>
          <w:rFonts w:eastAsia="Arial"/>
        </w:rPr>
        <w:t>Add additional rows as required</w:t>
      </w:r>
    </w:p>
    <w:p w14:paraId="2C17E34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szCs w:val="24"/>
        </w:rPr>
        <w:t>TRA’s public guidance</w:t>
      </w:r>
      <w:r>
        <w:rPr>
          <w:rStyle w:val="27"/>
          <w:rFonts w:eastAsia="Yu Gothic Light"/>
          <w:szCs w:val="24"/>
        </w:rPr>
        <w:fldChar w:fldCharType="end"/>
      </w:r>
      <w:r>
        <w:rPr>
          <w:color w:val="C00000"/>
          <w:szCs w:val="24"/>
        </w:rPr>
        <w:t>.</w:t>
      </w:r>
    </w:p>
    <w:p w14:paraId="2B7766D3">
      <w:pPr>
        <w:spacing w:line="22" w:lineRule="atLeast"/>
        <w:rPr>
          <w:b/>
          <w:szCs w:val="24"/>
        </w:rPr>
      </w:pPr>
    </w:p>
    <w:p w14:paraId="1EB0776F">
      <w:pPr>
        <w:pStyle w:val="43"/>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4"/>
          <w:bCs/>
          <w:shd w:val="clear" w:color="auto" w:fill="FFFFFF"/>
        </w:rPr>
        <w:t xml:space="preserve">to the UK, </w:t>
      </w:r>
      <w:r>
        <w:rPr>
          <w:rStyle w:val="64"/>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72E29B70">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03A1534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CFC0D8E">
            <w:pPr>
              <w:spacing w:line="22" w:lineRule="atLeast"/>
              <w:rPr>
                <w:rFonts w:hint="default"/>
                <w:lang w:val="en-US" w:eastAsia="zh-CN"/>
              </w:rPr>
            </w:pPr>
            <w:r>
              <w:rPr>
                <w:rFonts w:hint="eastAsia"/>
                <w:lang w:val="en-US" w:eastAsia="zh-CN"/>
              </w:rPr>
              <w:t xml:space="preserve">Fronteq Changzhou exports the goods concerned to the United Kingdom under the commodity code </w:t>
            </w:r>
            <w:r>
              <w:rPr>
                <w:rFonts w:hint="eastAsia"/>
                <w:szCs w:val="24"/>
                <w:lang w:val="en-US" w:eastAsia="zh-CN"/>
              </w:rPr>
              <w:t>[redacted, contained business sensitive information of the commodity codes used by Fronteq Changzhou]</w:t>
            </w:r>
            <w:r>
              <w:rPr>
                <w:rFonts w:hint="eastAsia"/>
                <w:lang w:val="en-US" w:eastAsia="zh-CN"/>
              </w:rPr>
              <w:t>.</w:t>
            </w:r>
          </w:p>
          <w:p w14:paraId="5FF9CA40">
            <w:pPr>
              <w:spacing w:line="22" w:lineRule="atLeast"/>
              <w:rPr>
                <w:lang w:val="en-US" w:eastAsia="zh-CN"/>
              </w:rPr>
            </w:pPr>
          </w:p>
          <w:p w14:paraId="58583AB2">
            <w:pPr>
              <w:spacing w:line="22" w:lineRule="atLeast"/>
              <w:rPr>
                <w:lang w:val="en-US" w:eastAsia="zh-CN"/>
              </w:rPr>
            </w:pPr>
            <w:r>
              <w:rPr>
                <w:rFonts w:hint="eastAsia"/>
                <w:szCs w:val="24"/>
                <w:lang w:val="en-US" w:eastAsia="zh-CN"/>
              </w:rPr>
              <w:t>[redacted, contained business sensitive information of business plan and the commodity codes used by Fronteq Changzhou]</w:t>
            </w:r>
            <w:r>
              <w:rPr>
                <w:rFonts w:hint="eastAsia"/>
                <w:lang w:val="en-US" w:eastAsia="zh-CN"/>
              </w:rPr>
              <w:t>.</w:t>
            </w:r>
          </w:p>
          <w:p w14:paraId="48083FD4">
            <w:pPr>
              <w:spacing w:line="22" w:lineRule="atLeast"/>
              <w:rPr>
                <w:lang w:val="en-US" w:eastAsia="zh-CN"/>
              </w:rPr>
            </w:pPr>
          </w:p>
          <w:p w14:paraId="0657F64F">
            <w:pPr>
              <w:spacing w:line="22" w:lineRule="atLeast"/>
              <w:rPr>
                <w:lang w:val="en-US" w:eastAsia="zh-CN"/>
              </w:rPr>
            </w:pPr>
            <w:r>
              <w:rPr>
                <w:rFonts w:hint="eastAsia"/>
                <w:lang w:val="en-US" w:eastAsia="zh-CN"/>
              </w:rPr>
              <w:t>The use of these codes follows industrial common practices for this type of business.</w:t>
            </w:r>
          </w:p>
        </w:tc>
      </w:tr>
    </w:tbl>
    <w:p w14:paraId="5F05B478">
      <w:pPr>
        <w:spacing w:line="22" w:lineRule="atLeast"/>
        <w:rPr>
          <w:rFonts w:eastAsia="Arial"/>
        </w:rPr>
      </w:pPr>
    </w:p>
    <w:p w14:paraId="78E95753">
      <w:pPr>
        <w:pStyle w:val="43"/>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2AC81566">
      <w:pPr>
        <w:spacing w:line="22" w:lineRule="atLeast"/>
        <w:rPr>
          <w:rFonts w:eastAsia="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60AF38C">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8E9A279">
            <w:pPr>
              <w:spacing w:line="22" w:lineRule="atLeast"/>
              <w:rPr>
                <w:rFonts w:hint="default"/>
                <w:lang w:val="en-US" w:eastAsia="zh-CN"/>
              </w:rPr>
            </w:pPr>
            <w:r>
              <w:rPr>
                <w:rFonts w:hint="eastAsia"/>
                <w:szCs w:val="24"/>
                <w:lang w:val="en-US" w:eastAsia="zh-CN"/>
              </w:rPr>
              <w:t>Fronteq Changzhou [redacted, commercially sensitive information]</w:t>
            </w:r>
            <w:bookmarkStart w:id="24" w:name="_GoBack"/>
            <w:bookmarkEnd w:id="24"/>
            <w:r>
              <w:rPr>
                <w:rFonts w:hint="eastAsia"/>
                <w:szCs w:val="24"/>
                <w:lang w:val="en-US" w:eastAsia="zh-CN"/>
              </w:rPr>
              <w:t xml:space="preserve"> articulated boom lifts to the UK during the POI. Fronteq Changzhou [redacted, contained business sensitive information of business operations and business plans of Fronteq Changzhou].</w:t>
            </w:r>
          </w:p>
        </w:tc>
      </w:tr>
    </w:tbl>
    <w:p w14:paraId="1DA374B9">
      <w:pPr>
        <w:spacing w:line="22" w:lineRule="atLeast"/>
        <w:rPr>
          <w:rFonts w:eastAsia="Arial"/>
        </w:rPr>
      </w:pPr>
    </w:p>
    <w:p w14:paraId="22C1A67E">
      <w:pPr>
        <w:spacing w:line="22" w:lineRule="atLeast"/>
        <w:rPr>
          <w:rFonts w:eastAsia="Arial"/>
        </w:rPr>
      </w:pPr>
    </w:p>
    <w:p w14:paraId="7A1CEC9D">
      <w:pPr>
        <w:pStyle w:val="43"/>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42AE2FC2">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344DB51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6AEE88">
            <w:pPr>
              <w:spacing w:line="22" w:lineRule="atLeast"/>
            </w:pPr>
            <w:r>
              <w:rPr>
                <w:rFonts w:hint="eastAsia"/>
                <w:lang w:val="en-US" w:eastAsia="zh-CN"/>
              </w:rPr>
              <w:t>Fronteq Changzhou considers that there has been no change of demand in UK market in the next few years.</w:t>
            </w:r>
          </w:p>
        </w:tc>
      </w:tr>
    </w:tbl>
    <w:p w14:paraId="3233D4E3">
      <w:pPr>
        <w:rPr>
          <w:rFonts w:eastAsia="Arial"/>
        </w:rPr>
      </w:pPr>
      <w:r>
        <w:rPr>
          <w:rFonts w:eastAsia="Arial"/>
        </w:rPr>
        <w:br w:type="page"/>
      </w:r>
    </w:p>
    <w:p w14:paraId="5282CCE2">
      <w:pPr>
        <w:pStyle w:val="3"/>
      </w:pPr>
      <w:r>
        <w:t>A4. UK imports of the goods concerned</w:t>
      </w:r>
    </w:p>
    <w:p w14:paraId="7EFAE35F">
      <w:pPr>
        <w:spacing w:line="22" w:lineRule="atLeast"/>
      </w:pPr>
    </w:p>
    <w:p w14:paraId="3B585823">
      <w:pPr>
        <w:spacing w:line="22" w:lineRule="atLeast"/>
      </w:pPr>
    </w:p>
    <w:tbl>
      <w:tblPr>
        <w:tblStyle w:val="23"/>
        <w:tblW w:w="9700" w:type="dxa"/>
        <w:tblInd w:w="0" w:type="dxa"/>
        <w:tblLayout w:type="autofit"/>
        <w:tblCellMar>
          <w:top w:w="0" w:type="dxa"/>
          <w:left w:w="10" w:type="dxa"/>
          <w:bottom w:w="0" w:type="dxa"/>
          <w:right w:w="10" w:type="dxa"/>
        </w:tblCellMar>
      </w:tblPr>
      <w:tblGrid>
        <w:gridCol w:w="9700"/>
      </w:tblGrid>
      <w:tr w14:paraId="49B6179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79F1BB9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tbl>
      <w:tblPr>
        <w:tblStyle w:val="23"/>
        <w:tblpPr w:leftFromText="180" w:rightFromText="180" w:vertAnchor="text" w:horzAnchor="page" w:tblpX="1145" w:tblpY="56"/>
        <w:tblOverlap w:val="never"/>
        <w:tblW w:w="9751" w:type="dxa"/>
        <w:tblInd w:w="0" w:type="dxa"/>
        <w:tblLayout w:type="autofit"/>
        <w:tblCellMar>
          <w:top w:w="0" w:type="dxa"/>
          <w:left w:w="10" w:type="dxa"/>
          <w:bottom w:w="0" w:type="dxa"/>
          <w:right w:w="10" w:type="dxa"/>
        </w:tblCellMar>
      </w:tblPr>
      <w:tblGrid>
        <w:gridCol w:w="9751"/>
      </w:tblGrid>
      <w:tr w14:paraId="2E493DE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8EA53C2">
            <w:pPr>
              <w:spacing w:line="22" w:lineRule="atLeast"/>
              <w:rPr>
                <w:rFonts w:hint="default" w:ascii="Arial" w:hAnsi="Arial" w:cs="Arial" w:eastAsiaTheme="minorEastAsia"/>
                <w:color w:val="000000"/>
                <w:lang w:val="en-US" w:eastAsia="zh-CN"/>
              </w:rPr>
            </w:pPr>
            <w:r>
              <w:rPr>
                <w:rFonts w:hint="eastAsia" w:cs="Arial"/>
                <w:color w:val="000000"/>
                <w:lang w:val="en-US" w:eastAsia="zh-CN"/>
              </w:rPr>
              <w:t>This section is not applicable for Fronteq Changzhou, as it is not an importer of the goods concerned from the PRC.</w:t>
            </w:r>
          </w:p>
        </w:tc>
      </w:tr>
    </w:tbl>
    <w:p w14:paraId="59542AE1">
      <w:pPr>
        <w:spacing w:line="22" w:lineRule="atLeast"/>
        <w:rPr>
          <w:rFonts w:eastAsia="Arial"/>
        </w:rPr>
      </w:pPr>
    </w:p>
    <w:p w14:paraId="1A717B57">
      <w:pPr>
        <w:pStyle w:val="43"/>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0E9567BD">
      <w:pPr>
        <w:spacing w:line="22" w:lineRule="atLeast"/>
        <w:rPr>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2D8D944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B97ACE">
            <w:pPr>
              <w:keepNext/>
              <w:keepLines/>
              <w:spacing w:line="22" w:lineRule="atLeast"/>
            </w:pPr>
            <w:r>
              <w:rPr>
                <w:color w:val="000000"/>
                <w:szCs w:val="24"/>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AA8ECB5">
            <w:pPr>
              <w:keepNext/>
              <w:keepLines/>
              <w:spacing w:line="22" w:lineRule="atLeast"/>
              <w:rPr>
                <w:rFonts w:hint="default" w:eastAsiaTheme="minorEastAsia"/>
                <w:lang w:val="en-US" w:eastAsia="zh-CN"/>
              </w:rPr>
            </w:pPr>
            <w:r>
              <w:rPr>
                <w:rFonts w:hint="eastAsia"/>
                <w:lang w:val="en-US" w:eastAsia="zh-CN"/>
              </w:rPr>
              <w:t>Not applicable</w:t>
            </w:r>
          </w:p>
        </w:tc>
      </w:tr>
      <w:tr w14:paraId="00711D5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7D3371">
            <w:pPr>
              <w:keepNext/>
              <w:keepLines/>
              <w:spacing w:line="22" w:lineRule="atLeast"/>
            </w:pPr>
            <w:r>
              <w:rPr>
                <w:color w:val="000000"/>
                <w:szCs w:val="24"/>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D2B47DE">
            <w:pPr>
              <w:keepNext/>
              <w:keepLines/>
              <w:spacing w:line="22" w:lineRule="atLeast"/>
            </w:pPr>
            <w:r>
              <w:rPr>
                <w:rFonts w:hint="eastAsia"/>
                <w:lang w:val="en-US" w:eastAsia="zh-CN"/>
              </w:rPr>
              <w:t>Not applicable</w:t>
            </w:r>
          </w:p>
        </w:tc>
      </w:tr>
      <w:tr w14:paraId="3561B4C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E7F58AB">
            <w:pPr>
              <w:keepNext/>
              <w:keepLines/>
              <w:spacing w:line="22" w:lineRule="atLeast"/>
              <w:rPr>
                <w:szCs w:val="24"/>
              </w:rPr>
            </w:pPr>
            <w:r>
              <w:rPr>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679453B">
            <w:pPr>
              <w:keepNext/>
              <w:keepLines/>
              <w:spacing w:line="22" w:lineRule="atLeast"/>
            </w:pPr>
            <w:r>
              <w:rPr>
                <w:rFonts w:hint="eastAsia"/>
                <w:lang w:val="en-US" w:eastAsia="zh-CN"/>
              </w:rPr>
              <w:t>Not applicable</w:t>
            </w:r>
          </w:p>
        </w:tc>
      </w:tr>
    </w:tbl>
    <w:p w14:paraId="005FF07D">
      <w:pPr>
        <w:spacing w:line="22" w:lineRule="atLeast"/>
        <w:rPr>
          <w:color w:val="C00000"/>
          <w:szCs w:val="24"/>
        </w:rPr>
      </w:pPr>
      <w:r>
        <w:rPr>
          <w:color w:val="C00000"/>
          <w:szCs w:val="24"/>
        </w:rPr>
        <w:t>Consider providing these figures in ranges in your non-confidential version of this form.</w:t>
      </w:r>
    </w:p>
    <w:p w14:paraId="7B998A81">
      <w:pPr>
        <w:spacing w:line="22" w:lineRule="atLeast"/>
        <w:rPr>
          <w:szCs w:val="24"/>
        </w:rPr>
      </w:pPr>
    </w:p>
    <w:p w14:paraId="4C635F50">
      <w:pPr>
        <w:pStyle w:val="43"/>
        <w:numPr>
          <w:ilvl w:val="0"/>
          <w:numId w:val="10"/>
        </w:numPr>
        <w:spacing w:line="22" w:lineRule="atLeast"/>
      </w:pPr>
      <w:r>
        <w:t>What percentage of your total import volumes to the UK is made up of assembled boom lifts only?</w:t>
      </w:r>
    </w:p>
    <w:p w14:paraId="1B4C703C">
      <w:pPr>
        <w:spacing w:line="22" w:lineRule="atLeast"/>
        <w:rPr>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776F1A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E7A5E0D">
            <w:pPr>
              <w:spacing w:line="22" w:lineRule="atLeast"/>
            </w:pPr>
            <w:r>
              <w:rPr>
                <w:rFonts w:hint="eastAsia"/>
                <w:lang w:val="en-US" w:eastAsia="zh-CN"/>
              </w:rPr>
              <w:t>Not applicable</w:t>
            </w:r>
          </w:p>
        </w:tc>
      </w:tr>
    </w:tbl>
    <w:p w14:paraId="4921D189">
      <w:pPr>
        <w:spacing w:line="22" w:lineRule="atLeast"/>
        <w:rPr>
          <w:b/>
          <w:szCs w:val="24"/>
        </w:rPr>
      </w:pPr>
    </w:p>
    <w:p w14:paraId="31705940">
      <w:pPr>
        <w:pStyle w:val="43"/>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E1CB5FB">
      <w:pPr>
        <w:spacing w:line="22" w:lineRule="atLeast"/>
      </w:pPr>
    </w:p>
    <w:tbl>
      <w:tblPr>
        <w:tblStyle w:val="23"/>
        <w:tblW w:w="9751" w:type="dxa"/>
        <w:tblInd w:w="0" w:type="dxa"/>
        <w:tblLayout w:type="autofit"/>
        <w:tblCellMar>
          <w:top w:w="0" w:type="dxa"/>
          <w:left w:w="10" w:type="dxa"/>
          <w:bottom w:w="0" w:type="dxa"/>
          <w:right w:w="10" w:type="dxa"/>
        </w:tblCellMar>
      </w:tblPr>
      <w:tblGrid>
        <w:gridCol w:w="9751"/>
      </w:tblGrid>
      <w:tr w14:paraId="79B1217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E7E2DD4">
            <w:pPr>
              <w:spacing w:line="22" w:lineRule="atLeast"/>
            </w:pPr>
            <w:r>
              <w:rPr>
                <w:rFonts w:hint="eastAsia"/>
                <w:lang w:val="en-US" w:eastAsia="zh-CN"/>
              </w:rPr>
              <w:t>Not applicable</w:t>
            </w:r>
          </w:p>
        </w:tc>
      </w:tr>
    </w:tbl>
    <w:p w14:paraId="1B5CB69B">
      <w:pPr>
        <w:pStyle w:val="43"/>
        <w:spacing w:line="22" w:lineRule="atLeast"/>
      </w:pPr>
    </w:p>
    <w:p w14:paraId="4ED627F5">
      <w:pPr>
        <w:pStyle w:val="43"/>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08C7BF12">
      <w:pPr>
        <w:spacing w:line="22" w:lineRule="atLeast"/>
        <w:rPr>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54EF29B0">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F9B994">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4514AC5">
            <w:pPr>
              <w:spacing w:line="22" w:lineRule="atLeast"/>
              <w:jc w:val="center"/>
              <w:rPr>
                <w:rFonts w:eastAsia="Arial"/>
              </w:rPr>
            </w:pPr>
            <w:r>
              <w:rPr>
                <w:rFonts w:eastAsia="Arial"/>
              </w:rPr>
              <w:t>Company location</w:t>
            </w:r>
          </w:p>
          <w:p w14:paraId="0DAE1F8B">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BFCBEE8">
            <w:pPr>
              <w:spacing w:line="22" w:lineRule="atLeast"/>
              <w:jc w:val="center"/>
              <w:rPr>
                <w:rFonts w:eastAsia="Arial"/>
              </w:rPr>
            </w:pPr>
            <w:r>
              <w:rPr>
                <w:rFonts w:eastAsia="Arial"/>
              </w:rPr>
              <w:t xml:space="preserve">Activities </w:t>
            </w:r>
          </w:p>
          <w:p w14:paraId="5A34B8F3">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3A8270F">
            <w:pPr>
              <w:spacing w:line="22" w:lineRule="atLeast"/>
              <w:jc w:val="center"/>
              <w:rPr>
                <w:rFonts w:eastAsia="Arial"/>
                <w:szCs w:val="24"/>
              </w:rPr>
            </w:pPr>
            <w:r>
              <w:rPr>
                <w:rFonts w:eastAsia="Arial"/>
                <w:szCs w:val="24"/>
              </w:rPr>
              <w:t>Relationship</w:t>
            </w:r>
          </w:p>
        </w:tc>
      </w:tr>
      <w:tr w14:paraId="600E9181">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61F2A76">
            <w:pPr>
              <w:spacing w:line="22" w:lineRule="atLeast"/>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4ACF5CB">
            <w:pPr>
              <w:spacing w:line="22" w:lineRule="atLeast"/>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A5E2937">
            <w:pPr>
              <w:spacing w:line="22" w:lineRule="atLeast"/>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5FECDD">
            <w:pPr>
              <w:spacing w:line="22" w:lineRule="atLeast"/>
            </w:pPr>
            <w:r>
              <w:rPr>
                <w:rFonts w:hint="eastAsia"/>
                <w:lang w:val="en-US" w:eastAsia="zh-CN"/>
              </w:rPr>
              <w:t>Not applicable</w:t>
            </w:r>
          </w:p>
        </w:tc>
      </w:tr>
      <w:tr w14:paraId="7C7377DA">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F0FD0C">
            <w:pPr>
              <w:spacing w:line="22" w:lineRule="atLeast"/>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288084">
            <w:pPr>
              <w:spacing w:line="22" w:lineRule="atLeast"/>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D7028C">
            <w:pPr>
              <w:spacing w:line="22" w:lineRule="atLeast"/>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89905A">
            <w:pPr>
              <w:spacing w:line="22" w:lineRule="atLeast"/>
            </w:pPr>
            <w:r>
              <w:rPr>
                <w:rFonts w:hint="eastAsia"/>
                <w:lang w:val="en-US" w:eastAsia="zh-CN"/>
              </w:rPr>
              <w:t>Not applicable</w:t>
            </w:r>
          </w:p>
        </w:tc>
      </w:tr>
    </w:tbl>
    <w:p w14:paraId="74C9D802">
      <w:pPr>
        <w:spacing w:line="22" w:lineRule="atLeast"/>
        <w:rPr>
          <w:rFonts w:eastAsia="Arial"/>
        </w:rPr>
      </w:pPr>
      <w:r>
        <w:rPr>
          <w:rFonts w:eastAsia="Arial"/>
        </w:rPr>
        <w:t>Add additional rows as required</w:t>
      </w:r>
    </w:p>
    <w:p w14:paraId="7E70C1A1">
      <w:pPr>
        <w:spacing w:line="22" w:lineRule="atLeast"/>
      </w:pPr>
      <w:r>
        <w:rPr>
          <w:color w:val="C00000"/>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rPr>
        <w:t>TRA’s public guidance</w:t>
      </w:r>
      <w:r>
        <w:rPr>
          <w:rStyle w:val="27"/>
          <w:rFonts w:eastAsia="Yu Gothic Light"/>
        </w:rPr>
        <w:fldChar w:fldCharType="end"/>
      </w:r>
      <w:r>
        <w:rPr>
          <w:color w:val="C00000"/>
        </w:rPr>
        <w:t>.</w:t>
      </w:r>
    </w:p>
    <w:p w14:paraId="46C135E6">
      <w:pPr>
        <w:spacing w:line="22" w:lineRule="atLeast"/>
        <w:rPr>
          <w:color w:val="C00000"/>
        </w:rPr>
      </w:pPr>
    </w:p>
    <w:p w14:paraId="7D3D8E7E">
      <w:pPr>
        <w:pStyle w:val="43"/>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3D908517">
      <w:pPr>
        <w:keepNext/>
        <w:keepLines/>
        <w:spacing w:line="22" w:lineRule="atLeast"/>
        <w:rPr>
          <w:rFonts w:eastAsia="Arial"/>
        </w:rPr>
      </w:pPr>
    </w:p>
    <w:p w14:paraId="6C4E8D02">
      <w:pPr>
        <w:pStyle w:val="43"/>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1C8474C6">
      <w:pPr>
        <w:keepNext/>
        <w:keepLines/>
        <w:spacing w:line="22" w:lineRule="atLeast"/>
        <w:rPr>
          <w:rFonts w:eastAsia="MS Gothic"/>
          <w:b/>
          <w:bCs/>
          <w:color w:val="000000"/>
          <w:szCs w:val="24"/>
        </w:rPr>
      </w:pPr>
    </w:p>
    <w:p w14:paraId="20808AE7">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7E5D7184">
      <w:pPr>
        <w:keepNext/>
        <w:keepLines/>
        <w:spacing w:line="22" w:lineRule="atLeast"/>
        <w:rPr>
          <w:rFonts w:eastAsia="Arial"/>
          <w:color w:val="000000"/>
          <w:szCs w:val="24"/>
          <w:u w:val="single"/>
        </w:rPr>
      </w:pPr>
    </w:p>
    <w:p w14:paraId="61D8DE98">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57E060FB">
      <w:pPr>
        <w:keepNext/>
        <w:keepLines/>
        <w:spacing w:line="22" w:lineRule="atLeast"/>
        <w:rPr>
          <w:rFonts w:eastAsia="MS Gothic"/>
          <w:b/>
          <w:color w:val="000000"/>
          <w:szCs w:val="24"/>
        </w:rPr>
      </w:pPr>
    </w:p>
    <w:p w14:paraId="55F56F60">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43BE88D2">
      <w:pPr>
        <w:spacing w:line="22" w:lineRule="atLeast"/>
        <w:rPr>
          <w:rFonts w:eastAsia="Arial"/>
        </w:rPr>
      </w:pPr>
    </w:p>
    <w:p w14:paraId="7F93BD0C">
      <w:pPr>
        <w:pStyle w:val="43"/>
        <w:numPr>
          <w:ilvl w:val="0"/>
          <w:numId w:val="10"/>
        </w:numPr>
        <w:spacing w:line="22" w:lineRule="atLeast"/>
      </w:pPr>
      <w:r>
        <w:rPr>
          <w:rFonts w:eastAsia="Arial"/>
        </w:rPr>
        <w:t>If you selected ‘Other’, please specify the purpose of the goods concerned that you are importing from the PRC in the field below.</w:t>
      </w:r>
    </w:p>
    <w:p w14:paraId="61C8709D">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334FBE0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952F98">
            <w:pPr>
              <w:spacing w:line="22" w:lineRule="atLeast"/>
            </w:pPr>
            <w:r>
              <w:rPr>
                <w:rFonts w:hint="eastAsia"/>
                <w:lang w:val="en-US" w:eastAsia="zh-CN"/>
              </w:rPr>
              <w:t>Not applicable</w:t>
            </w:r>
          </w:p>
        </w:tc>
      </w:tr>
    </w:tbl>
    <w:p w14:paraId="1539C3EC">
      <w:pPr>
        <w:spacing w:line="22" w:lineRule="atLeast"/>
        <w:rPr>
          <w:rFonts w:eastAsia="Arial"/>
        </w:rPr>
      </w:pPr>
    </w:p>
    <w:p w14:paraId="641E031C">
      <w:pPr>
        <w:pStyle w:val="43"/>
        <w:numPr>
          <w:ilvl w:val="0"/>
          <w:numId w:val="10"/>
        </w:numPr>
        <w:spacing w:line="22" w:lineRule="atLeast"/>
      </w:pPr>
      <w:r>
        <w:rPr>
          <w:rFonts w:eastAsia="Arial"/>
        </w:rPr>
        <w:t>Please describe how the goods concerned compare to UK produced goods that are like the goods concerned in the field below.</w:t>
      </w:r>
    </w:p>
    <w:p w14:paraId="6E6A22DC">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34B36D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C83C04">
            <w:pPr>
              <w:spacing w:line="22" w:lineRule="atLeast"/>
            </w:pPr>
            <w:r>
              <w:rPr>
                <w:rFonts w:hint="eastAsia"/>
                <w:lang w:val="en-US" w:eastAsia="zh-CN"/>
              </w:rPr>
              <w:t>Not applicable</w:t>
            </w:r>
          </w:p>
        </w:tc>
      </w:tr>
    </w:tbl>
    <w:p w14:paraId="627AA254">
      <w:pPr>
        <w:spacing w:line="22" w:lineRule="atLeast"/>
      </w:pPr>
    </w:p>
    <w:p w14:paraId="15B24A48">
      <w:pPr>
        <w:pStyle w:val="43"/>
        <w:numPr>
          <w:ilvl w:val="0"/>
          <w:numId w:val="10"/>
        </w:numPr>
        <w:spacing w:line="22" w:lineRule="atLeast"/>
      </w:pPr>
      <w:r>
        <w:rPr>
          <w:rFonts w:eastAsia="Arial"/>
        </w:rPr>
        <w:t>Please provide a summary of your boom lift importing activities, including what types of boom lifts you import, and whether you import assembled boom lifts only, or component parts/subassemblies.</w:t>
      </w:r>
    </w:p>
    <w:p w14:paraId="73D876DB">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1674772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254B36E">
            <w:pPr>
              <w:spacing w:line="22" w:lineRule="atLeast"/>
            </w:pPr>
            <w:r>
              <w:rPr>
                <w:rFonts w:hint="eastAsia"/>
                <w:lang w:val="en-US" w:eastAsia="zh-CN"/>
              </w:rPr>
              <w:t>Not applicable</w:t>
            </w:r>
          </w:p>
        </w:tc>
      </w:tr>
    </w:tbl>
    <w:p w14:paraId="0D0CC8A0">
      <w:pPr>
        <w:spacing w:line="22" w:lineRule="atLeast"/>
      </w:pPr>
    </w:p>
    <w:p w14:paraId="3E795C58">
      <w:pPr>
        <w:pStyle w:val="43"/>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50D87AFA">
      <w:pPr>
        <w:spacing w:line="22" w:lineRule="atLeast"/>
      </w:pPr>
    </w:p>
    <w:tbl>
      <w:tblPr>
        <w:tblStyle w:val="23"/>
        <w:tblW w:w="9751" w:type="dxa"/>
        <w:tblInd w:w="0" w:type="dxa"/>
        <w:tblLayout w:type="autofit"/>
        <w:tblCellMar>
          <w:top w:w="0" w:type="dxa"/>
          <w:left w:w="10" w:type="dxa"/>
          <w:bottom w:w="0" w:type="dxa"/>
          <w:right w:w="10" w:type="dxa"/>
        </w:tblCellMar>
      </w:tblPr>
      <w:tblGrid>
        <w:gridCol w:w="9751"/>
      </w:tblGrid>
      <w:tr w14:paraId="482E69D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BF2AEF3">
            <w:pPr>
              <w:spacing w:line="22" w:lineRule="atLeast"/>
            </w:pPr>
            <w:r>
              <w:rPr>
                <w:rFonts w:hint="eastAsia"/>
                <w:lang w:val="en-US" w:eastAsia="zh-CN"/>
              </w:rPr>
              <w:t>Not applicable</w:t>
            </w:r>
          </w:p>
        </w:tc>
      </w:tr>
    </w:tbl>
    <w:p w14:paraId="379FDEA3">
      <w:pPr>
        <w:spacing w:line="22" w:lineRule="atLeast"/>
        <w:rPr>
          <w:rFonts w:eastAsia="Arial"/>
        </w:rPr>
      </w:pPr>
    </w:p>
    <w:p w14:paraId="0B2CD228">
      <w:pPr>
        <w:spacing w:line="22" w:lineRule="atLeast"/>
      </w:pPr>
    </w:p>
    <w:p w14:paraId="5187122F">
      <w:pPr>
        <w:pStyle w:val="43"/>
        <w:numPr>
          <w:ilvl w:val="0"/>
          <w:numId w:val="10"/>
        </w:numPr>
        <w:spacing w:line="22" w:lineRule="atLeast"/>
      </w:pPr>
      <w:r>
        <w:t xml:space="preserve">Please provide details of the commodity code(s) under which you import the </w:t>
      </w:r>
      <w:r>
        <w:rPr>
          <w:rFonts w:eastAsia="Arial"/>
        </w:rPr>
        <w:t xml:space="preserve">goods concerned </w:t>
      </w:r>
      <w:r>
        <w:rPr>
          <w:rStyle w:val="64"/>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45D1841E">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009473A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1C65415">
            <w:pPr>
              <w:spacing w:line="22" w:lineRule="atLeast"/>
            </w:pPr>
            <w:r>
              <w:rPr>
                <w:rFonts w:hint="eastAsia"/>
                <w:lang w:val="en-US" w:eastAsia="zh-CN"/>
              </w:rPr>
              <w:t>Not applicable</w:t>
            </w:r>
          </w:p>
        </w:tc>
      </w:tr>
    </w:tbl>
    <w:p w14:paraId="5A25DF8D">
      <w:pPr>
        <w:spacing w:line="22" w:lineRule="atLeast"/>
      </w:pPr>
    </w:p>
    <w:p w14:paraId="79FE1729">
      <w:pPr>
        <w:spacing w:line="22" w:lineRule="atLeast"/>
      </w:pPr>
    </w:p>
    <w:p w14:paraId="23CB7DA0">
      <w:pPr>
        <w:pStyle w:val="43"/>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509F352C">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358BC12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6C7AEDB">
            <w:pPr>
              <w:spacing w:line="22" w:lineRule="atLeast"/>
            </w:pPr>
            <w:r>
              <w:rPr>
                <w:rFonts w:hint="eastAsia"/>
                <w:lang w:val="en-US" w:eastAsia="zh-CN"/>
              </w:rPr>
              <w:t>Not applicable</w:t>
            </w:r>
          </w:p>
        </w:tc>
      </w:tr>
    </w:tbl>
    <w:p w14:paraId="4D7ECF56">
      <w:pPr>
        <w:spacing w:line="22" w:lineRule="atLeast"/>
        <w:rPr>
          <w:rFonts w:eastAsia="Arial"/>
        </w:rPr>
      </w:pPr>
    </w:p>
    <w:p w14:paraId="14E4F6FA">
      <w:pPr>
        <w:pageBreakBefore/>
        <w:suppressAutoHyphens w:val="0"/>
        <w:spacing w:after="160"/>
        <w:rPr>
          <w:rFonts w:eastAsia="Arial"/>
          <w:szCs w:val="24"/>
        </w:rPr>
      </w:pPr>
    </w:p>
    <w:p w14:paraId="2EE39B67">
      <w:pPr>
        <w:pStyle w:val="3"/>
      </w:pPr>
      <w:r>
        <w:t>A5. Production and sales of goods produced in the UK that are like the goods concerned</w:t>
      </w:r>
    </w:p>
    <w:p w14:paraId="6CCD9C4D">
      <w:pPr>
        <w:spacing w:line="22" w:lineRule="atLeast"/>
      </w:pPr>
    </w:p>
    <w:tbl>
      <w:tblPr>
        <w:tblStyle w:val="23"/>
        <w:tblW w:w="9700" w:type="dxa"/>
        <w:tblInd w:w="0" w:type="dxa"/>
        <w:tblLayout w:type="autofit"/>
        <w:tblCellMar>
          <w:top w:w="0" w:type="dxa"/>
          <w:left w:w="10" w:type="dxa"/>
          <w:bottom w:w="0" w:type="dxa"/>
          <w:right w:w="10" w:type="dxa"/>
        </w:tblCellMar>
      </w:tblPr>
      <w:tblGrid>
        <w:gridCol w:w="9700"/>
      </w:tblGrid>
      <w:tr w14:paraId="32C228CB">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26F226AB">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5DA3AFD6">
      <w:pPr>
        <w:spacing w:line="22" w:lineRule="atLeast"/>
        <w:rPr>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25EA8DA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C718164">
            <w:pPr>
              <w:spacing w:line="22" w:lineRule="atLeast"/>
              <w:rPr>
                <w:rFonts w:hint="default" w:ascii="Arial" w:hAnsi="Arial" w:cs="Arial" w:eastAsiaTheme="minorEastAsia"/>
                <w:color w:val="000000"/>
                <w:lang w:val="en-US" w:eastAsia="zh-CN"/>
              </w:rPr>
            </w:pPr>
            <w:r>
              <w:rPr>
                <w:rFonts w:hint="eastAsia" w:cs="Arial"/>
                <w:color w:val="000000"/>
                <w:lang w:val="en-US" w:eastAsia="zh-CN"/>
              </w:rPr>
              <w:t>This section is not applicable for Fronteq Changzhou, as it is not a UK producer who produced goods that are like the goods concerned.</w:t>
            </w:r>
          </w:p>
        </w:tc>
      </w:tr>
    </w:tbl>
    <w:p w14:paraId="7E6EF28C">
      <w:pPr>
        <w:spacing w:line="22" w:lineRule="atLeast"/>
        <w:rPr>
          <w:color w:val="000000"/>
        </w:rPr>
      </w:pPr>
    </w:p>
    <w:p w14:paraId="6B9D9881">
      <w:pPr>
        <w:pStyle w:val="43"/>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17F07F0F">
      <w:pPr>
        <w:spacing w:line="22" w:lineRule="atLeast"/>
        <w:rPr>
          <w:rFonts w:eastAsia="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411882A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0470F09">
            <w:pPr>
              <w:spacing w:line="22" w:lineRule="atLeast"/>
              <w:rPr>
                <w:color w:val="000000"/>
              </w:rPr>
            </w:pPr>
            <w:r>
              <w:rPr>
                <w:rFonts w:hint="eastAsia"/>
                <w:lang w:val="en-US" w:eastAsia="zh-CN"/>
              </w:rPr>
              <w:t>Not applicable</w:t>
            </w:r>
          </w:p>
        </w:tc>
      </w:tr>
    </w:tbl>
    <w:p w14:paraId="6459AF04">
      <w:pPr>
        <w:spacing w:line="22" w:lineRule="atLeast"/>
        <w:rPr>
          <w:color w:val="000000"/>
        </w:rPr>
      </w:pPr>
    </w:p>
    <w:p w14:paraId="5F9C0CF6">
      <w:pPr>
        <w:pStyle w:val="43"/>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00AA116A">
      <w:pPr>
        <w:spacing w:line="22" w:lineRule="atLeast"/>
      </w:pPr>
    </w:p>
    <w:tbl>
      <w:tblPr>
        <w:tblStyle w:val="23"/>
        <w:tblW w:w="5000" w:type="pct"/>
        <w:tblInd w:w="0" w:type="dxa"/>
        <w:tblLayout w:type="autofit"/>
        <w:tblCellMar>
          <w:top w:w="0" w:type="dxa"/>
          <w:left w:w="10" w:type="dxa"/>
          <w:bottom w:w="0" w:type="dxa"/>
          <w:right w:w="10" w:type="dxa"/>
        </w:tblCellMar>
      </w:tblPr>
      <w:tblGrid>
        <w:gridCol w:w="4981"/>
        <w:gridCol w:w="4981"/>
      </w:tblGrid>
      <w:tr w14:paraId="3A088A4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6AAD08">
            <w:pPr>
              <w:keepNext/>
              <w:keepLines/>
              <w:spacing w:line="22" w:lineRule="atLeast"/>
            </w:pPr>
            <w:r>
              <w:rPr>
                <w:szCs w:val="24"/>
              </w:rPr>
              <w:t xml:space="preserve">Total production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7CD51C">
            <w:pPr>
              <w:keepNext/>
              <w:keepLines/>
              <w:spacing w:line="22" w:lineRule="atLeast"/>
            </w:pPr>
            <w:r>
              <w:rPr>
                <w:rFonts w:hint="eastAsia"/>
                <w:lang w:val="en-US" w:eastAsia="zh-CN"/>
              </w:rPr>
              <w:t>Not applicable</w:t>
            </w:r>
          </w:p>
        </w:tc>
      </w:tr>
      <w:tr w14:paraId="0A0640F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4AD5B4B">
            <w:pPr>
              <w:keepNext/>
              <w:keepLines/>
              <w:spacing w:line="22" w:lineRule="atLeast"/>
            </w:pPr>
            <w:r>
              <w:rPr>
                <w:szCs w:val="24"/>
              </w:rPr>
              <w:t xml:space="preserve">Total production capacity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9945178">
            <w:pPr>
              <w:keepNext/>
              <w:keepLines/>
              <w:spacing w:line="22" w:lineRule="atLeast"/>
            </w:pPr>
            <w:r>
              <w:rPr>
                <w:rFonts w:hint="eastAsia"/>
                <w:lang w:val="en-US" w:eastAsia="zh-CN"/>
              </w:rPr>
              <w:t>Not applicable</w:t>
            </w:r>
          </w:p>
        </w:tc>
      </w:tr>
      <w:tr w14:paraId="1FB9FBB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CF5F096">
            <w:pPr>
              <w:keepNext/>
              <w:keepLines/>
              <w:spacing w:line="22" w:lineRule="atLeast"/>
            </w:pPr>
            <w:r>
              <w:rPr>
                <w:szCs w:val="24"/>
              </w:rPr>
              <w:t xml:space="preserve">Total production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1B6336">
            <w:pPr>
              <w:keepNext/>
              <w:keepLines/>
              <w:spacing w:line="22" w:lineRule="atLeast"/>
            </w:pPr>
            <w:r>
              <w:rPr>
                <w:rFonts w:hint="eastAsia"/>
                <w:lang w:val="en-US" w:eastAsia="zh-CN"/>
              </w:rPr>
              <w:t>Not applicable</w:t>
            </w:r>
          </w:p>
        </w:tc>
      </w:tr>
      <w:tr w14:paraId="1675B20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CFA60F1">
            <w:pPr>
              <w:keepNext/>
              <w:keepLines/>
              <w:spacing w:line="22" w:lineRule="atLeast"/>
            </w:pPr>
            <w:r>
              <w:rPr>
                <w:szCs w:val="24"/>
              </w:rPr>
              <w:t xml:space="preserve">Total production capacity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65BFA3">
            <w:pPr>
              <w:keepNext/>
              <w:keepLines/>
              <w:spacing w:line="22" w:lineRule="atLeast"/>
            </w:pPr>
            <w:r>
              <w:rPr>
                <w:rFonts w:hint="eastAsia"/>
                <w:lang w:val="en-US" w:eastAsia="zh-CN"/>
              </w:rPr>
              <w:t>Not applicable</w:t>
            </w:r>
          </w:p>
        </w:tc>
      </w:tr>
    </w:tbl>
    <w:p w14:paraId="3C3A5F20">
      <w:pPr>
        <w:spacing w:line="22" w:lineRule="atLeast"/>
        <w:rPr>
          <w:color w:val="C00000"/>
          <w:szCs w:val="24"/>
        </w:rPr>
      </w:pPr>
      <w:r>
        <w:rPr>
          <w:color w:val="C00000"/>
          <w:szCs w:val="24"/>
        </w:rPr>
        <w:t>Consider providing these figures in ranges in your non-confidential version of this form.</w:t>
      </w:r>
    </w:p>
    <w:p w14:paraId="26602026">
      <w:pPr>
        <w:spacing w:line="22" w:lineRule="atLeast"/>
        <w:jc w:val="right"/>
        <w:rPr>
          <w:rFonts w:eastAsia="Arial"/>
        </w:rPr>
      </w:pPr>
    </w:p>
    <w:p w14:paraId="50BE1D42">
      <w:pPr>
        <w:pStyle w:val="43"/>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28754372">
      <w:pPr>
        <w:spacing w:line="22" w:lineRule="atLeast"/>
        <w:rPr>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55A3CC8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A9376B">
            <w:pPr>
              <w:keepNext/>
              <w:keepLines/>
              <w:spacing w:line="22" w:lineRule="atLeast"/>
            </w:pPr>
            <w:r>
              <w:rPr>
                <w:szCs w:val="24"/>
              </w:rPr>
              <w:t xml:space="preserve">Total domestic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7BFD6E4">
            <w:pPr>
              <w:keepNext/>
              <w:keepLines/>
              <w:spacing w:line="22" w:lineRule="atLeast"/>
            </w:pPr>
            <w:r>
              <w:rPr>
                <w:rFonts w:hint="eastAsia"/>
                <w:lang w:val="en-US" w:eastAsia="zh-CN"/>
              </w:rPr>
              <w:t>Not applicable</w:t>
            </w:r>
          </w:p>
        </w:tc>
      </w:tr>
      <w:tr w14:paraId="1CBFFBB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7EB5ABA">
            <w:pPr>
              <w:keepNext/>
              <w:keepLines/>
              <w:spacing w:line="22" w:lineRule="atLeast"/>
            </w:pPr>
            <w:r>
              <w:rPr>
                <w:szCs w:val="24"/>
              </w:rPr>
              <w:t xml:space="preserve">Total domestic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043DB3">
            <w:pPr>
              <w:keepNext/>
              <w:keepLines/>
              <w:spacing w:line="22" w:lineRule="atLeast"/>
            </w:pPr>
            <w:r>
              <w:rPr>
                <w:rFonts w:hint="eastAsia"/>
                <w:lang w:val="en-US" w:eastAsia="zh-CN"/>
              </w:rPr>
              <w:t>Not applicable</w:t>
            </w:r>
          </w:p>
        </w:tc>
      </w:tr>
      <w:tr w14:paraId="74860F5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C281604">
            <w:pPr>
              <w:keepNext/>
              <w:keepLines/>
              <w:spacing w:line="22" w:lineRule="atLeast"/>
            </w:pPr>
            <w:r>
              <w:rPr>
                <w:szCs w:val="24"/>
              </w:rPr>
              <w:t xml:space="preserve">Total domestic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E140F6">
            <w:pPr>
              <w:keepNext/>
              <w:keepLines/>
              <w:spacing w:line="22" w:lineRule="atLeast"/>
            </w:pPr>
            <w:r>
              <w:rPr>
                <w:rFonts w:hint="eastAsia"/>
                <w:lang w:val="en-US" w:eastAsia="zh-CN"/>
              </w:rPr>
              <w:t>Not applicable</w:t>
            </w:r>
          </w:p>
        </w:tc>
      </w:tr>
      <w:tr w14:paraId="16E1A2B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07145B">
            <w:pPr>
              <w:keepNext/>
              <w:keepLines/>
              <w:spacing w:line="22" w:lineRule="atLeast"/>
            </w:pPr>
            <w:r>
              <w:rPr>
                <w:szCs w:val="24"/>
              </w:rPr>
              <w:t xml:space="preserve">Total export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8A4D739">
            <w:pPr>
              <w:keepNext/>
              <w:keepLines/>
              <w:spacing w:line="22" w:lineRule="atLeast"/>
            </w:pPr>
            <w:r>
              <w:rPr>
                <w:rFonts w:hint="eastAsia"/>
                <w:lang w:val="en-US" w:eastAsia="zh-CN"/>
              </w:rPr>
              <w:t>Not applicable</w:t>
            </w:r>
          </w:p>
        </w:tc>
      </w:tr>
      <w:tr w14:paraId="2F6D086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2B12E0">
            <w:pPr>
              <w:keepNext/>
              <w:keepLines/>
              <w:spacing w:line="22" w:lineRule="atLeast"/>
            </w:pPr>
            <w:r>
              <w:rPr>
                <w:szCs w:val="24"/>
              </w:rPr>
              <w:t xml:space="preserve">Total export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4800C85">
            <w:pPr>
              <w:keepNext/>
              <w:keepLines/>
              <w:spacing w:line="22" w:lineRule="atLeast"/>
            </w:pPr>
            <w:r>
              <w:rPr>
                <w:rFonts w:hint="eastAsia"/>
                <w:lang w:val="en-US" w:eastAsia="zh-CN"/>
              </w:rPr>
              <w:t>Not applicable</w:t>
            </w:r>
          </w:p>
        </w:tc>
      </w:tr>
      <w:tr w14:paraId="703A455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4E9540F">
            <w:pPr>
              <w:keepNext/>
              <w:keepLines/>
              <w:spacing w:line="22" w:lineRule="atLeast"/>
            </w:pPr>
            <w:r>
              <w:rPr>
                <w:szCs w:val="24"/>
              </w:rPr>
              <w:t xml:space="preserve">Total export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64A6CBD">
            <w:pPr>
              <w:keepNext/>
              <w:keepLines/>
              <w:spacing w:line="22" w:lineRule="atLeast"/>
            </w:pPr>
            <w:r>
              <w:rPr>
                <w:rFonts w:hint="eastAsia"/>
                <w:lang w:val="en-US" w:eastAsia="zh-CN"/>
              </w:rPr>
              <w:t>Not applicable</w:t>
            </w:r>
          </w:p>
        </w:tc>
      </w:tr>
    </w:tbl>
    <w:p w14:paraId="0683A4D4">
      <w:pPr>
        <w:spacing w:line="22" w:lineRule="atLeast"/>
        <w:rPr>
          <w:color w:val="C00000"/>
          <w:szCs w:val="24"/>
        </w:rPr>
      </w:pPr>
      <w:r>
        <w:rPr>
          <w:color w:val="C00000"/>
          <w:szCs w:val="24"/>
        </w:rPr>
        <w:t>Consider providing these figures in ranges in your non-confidential version of this form.</w:t>
      </w:r>
    </w:p>
    <w:p w14:paraId="03571ABB">
      <w:pPr>
        <w:spacing w:line="22" w:lineRule="atLeast"/>
      </w:pPr>
    </w:p>
    <w:p w14:paraId="3FA936E0">
      <w:pPr>
        <w:pStyle w:val="43"/>
        <w:numPr>
          <w:ilvl w:val="0"/>
          <w:numId w:val="11"/>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59AAF907">
      <w:pPr>
        <w:spacing w:line="22" w:lineRule="atLeast"/>
      </w:pPr>
    </w:p>
    <w:tbl>
      <w:tblPr>
        <w:tblStyle w:val="23"/>
        <w:tblW w:w="9751" w:type="dxa"/>
        <w:tblInd w:w="0" w:type="dxa"/>
        <w:tblLayout w:type="autofit"/>
        <w:tblCellMar>
          <w:top w:w="0" w:type="dxa"/>
          <w:left w:w="10" w:type="dxa"/>
          <w:bottom w:w="0" w:type="dxa"/>
          <w:right w:w="10" w:type="dxa"/>
        </w:tblCellMar>
      </w:tblPr>
      <w:tblGrid>
        <w:gridCol w:w="9751"/>
      </w:tblGrid>
      <w:tr w14:paraId="6A8C0BA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F207097">
            <w:pPr>
              <w:spacing w:line="22" w:lineRule="atLeast"/>
            </w:pPr>
            <w:r>
              <w:rPr>
                <w:rFonts w:hint="eastAsia"/>
                <w:lang w:val="en-US" w:eastAsia="zh-CN"/>
              </w:rPr>
              <w:t>Not applicable</w:t>
            </w:r>
          </w:p>
        </w:tc>
      </w:tr>
    </w:tbl>
    <w:p w14:paraId="19A8B5E1">
      <w:pPr>
        <w:pStyle w:val="43"/>
        <w:keepNext/>
        <w:keepLines/>
        <w:spacing w:line="22" w:lineRule="atLeast"/>
        <w:ind w:left="714"/>
        <w:rPr>
          <w:color w:val="000000"/>
        </w:rPr>
      </w:pPr>
    </w:p>
    <w:p w14:paraId="78563DE5">
      <w:pPr>
        <w:pStyle w:val="43"/>
        <w:keepNext/>
        <w:keepLines/>
        <w:spacing w:line="22" w:lineRule="atLeast"/>
        <w:ind w:left="714"/>
        <w:rPr>
          <w:color w:val="000000"/>
        </w:rPr>
      </w:pPr>
    </w:p>
    <w:p w14:paraId="1F916D22">
      <w:pPr>
        <w:pStyle w:val="43"/>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29147D68">
      <w:pPr>
        <w:spacing w:line="22" w:lineRule="atLeast"/>
        <w:rPr>
          <w:rFonts w:eastAsia="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4DABE77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21BC046">
            <w:pPr>
              <w:spacing w:line="22" w:lineRule="atLeast"/>
              <w:rPr>
                <w:color w:val="000000"/>
              </w:rPr>
            </w:pPr>
            <w:r>
              <w:rPr>
                <w:rFonts w:hint="eastAsia"/>
                <w:lang w:val="en-US" w:eastAsia="zh-CN"/>
              </w:rPr>
              <w:t>Not applicable</w:t>
            </w:r>
          </w:p>
        </w:tc>
      </w:tr>
    </w:tbl>
    <w:p w14:paraId="4FA04605">
      <w:pPr>
        <w:spacing w:line="22" w:lineRule="atLeast"/>
        <w:rPr>
          <w:rFonts w:eastAsia="Arial"/>
        </w:rPr>
      </w:pPr>
    </w:p>
    <w:p w14:paraId="56DB963F">
      <w:pPr>
        <w:pStyle w:val="2"/>
        <w:pageBreakBefore/>
        <w:spacing w:before="0" w:after="0" w:line="22" w:lineRule="atLeast"/>
        <w:rPr>
          <w:rFonts w:ascii="Arial" w:hAnsi="Arial" w:cs="Arial"/>
          <w:b/>
          <w:color w:val="auto"/>
          <w:sz w:val="36"/>
          <w:szCs w:val="22"/>
          <w:lang w:eastAsia="zh-CN"/>
        </w:rPr>
      </w:pPr>
      <w:bookmarkStart w:id="9" w:name="_Section_C_–"/>
      <w:bookmarkEnd w:id="9"/>
      <w:bookmarkStart w:id="10" w:name="_Toc115266757"/>
      <w:r>
        <w:rPr>
          <w:rFonts w:ascii="Arial" w:hAnsi="Arial" w:cs="Arial"/>
          <w:b/>
          <w:color w:val="auto"/>
          <w:sz w:val="36"/>
          <w:szCs w:val="22"/>
          <w:lang w:eastAsia="zh-CN"/>
        </w:rPr>
        <w:t>Section B: Additional information</w:t>
      </w:r>
      <w:bookmarkEnd w:id="10"/>
      <w:r>
        <w:rPr>
          <w:rFonts w:ascii="Arial" w:hAnsi="Arial" w:cs="Arial"/>
          <w:b/>
          <w:color w:val="auto"/>
          <w:sz w:val="36"/>
          <w:szCs w:val="22"/>
          <w:lang w:eastAsia="zh-CN"/>
        </w:rPr>
        <w:t xml:space="preserve"> </w:t>
      </w:r>
    </w:p>
    <w:p w14:paraId="411FDCCF">
      <w:pPr>
        <w:spacing w:line="22" w:lineRule="atLeast"/>
      </w:pPr>
    </w:p>
    <w:p w14:paraId="7E66B694">
      <w:pPr>
        <w:pStyle w:val="3"/>
      </w:pPr>
      <w:bookmarkStart w:id="11" w:name="_Toc115266758"/>
      <w:bookmarkStart w:id="12" w:name="_Toc98925164"/>
      <w:bookmarkStart w:id="13" w:name="_Toc110433995"/>
      <w:r>
        <w:t>B1. Notifying other interested parties</w:t>
      </w:r>
      <w:bookmarkEnd w:id="11"/>
      <w:bookmarkEnd w:id="12"/>
      <w:bookmarkEnd w:id="13"/>
    </w:p>
    <w:p w14:paraId="4577539C">
      <w:pPr>
        <w:spacing w:line="22" w:lineRule="atLeast"/>
        <w:rPr>
          <w:rFonts w:eastAsia="Yu Gothic"/>
          <w:szCs w:val="24"/>
        </w:rPr>
      </w:pPr>
    </w:p>
    <w:p w14:paraId="0DCF6DA7">
      <w:pPr>
        <w:pStyle w:val="43"/>
        <w:numPr>
          <w:ilvl w:val="0"/>
          <w:numId w:val="12"/>
        </w:numPr>
        <w:spacing w:line="22" w:lineRule="atLeast"/>
        <w:rPr>
          <w:rFonts w:eastAsia="Yu Gothic"/>
          <w:szCs w:val="24"/>
        </w:rPr>
      </w:pPr>
      <w:r>
        <w:rPr>
          <w:rFonts w:eastAsia="Yu Gothic"/>
          <w:szCs w:val="24"/>
        </w:rPr>
        <w:t>If you believe there are other interested parties that should register an interest in this case, please provide their business’ or organisation’s name and website details below.</w:t>
      </w:r>
    </w:p>
    <w:p w14:paraId="69AE5B4F">
      <w:pPr>
        <w:spacing w:line="22" w:lineRule="atLeast"/>
        <w:rPr>
          <w:color w:val="000000"/>
          <w:shd w:val="clear" w:color="auto" w:fill="FFFFFF"/>
        </w:rPr>
      </w:pPr>
    </w:p>
    <w:tbl>
      <w:tblPr>
        <w:tblStyle w:val="23"/>
        <w:tblW w:w="4658" w:type="pct"/>
        <w:tblInd w:w="0" w:type="dxa"/>
        <w:tblLayout w:type="autofit"/>
        <w:tblCellMar>
          <w:top w:w="0" w:type="dxa"/>
          <w:left w:w="10" w:type="dxa"/>
          <w:bottom w:w="0" w:type="dxa"/>
          <w:right w:w="10" w:type="dxa"/>
        </w:tblCellMar>
      </w:tblPr>
      <w:tblGrid>
        <w:gridCol w:w="4640"/>
        <w:gridCol w:w="4641"/>
      </w:tblGrid>
      <w:tr w14:paraId="4286E96D">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0F1D604">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8AC3C02">
            <w:pPr>
              <w:spacing w:line="22" w:lineRule="atLeast"/>
              <w:jc w:val="center"/>
              <w:rPr>
                <w:rFonts w:eastAsia="Arial"/>
              </w:rPr>
            </w:pPr>
            <w:r>
              <w:rPr>
                <w:rFonts w:eastAsia="Arial"/>
              </w:rPr>
              <w:t>Website</w:t>
            </w:r>
          </w:p>
        </w:tc>
      </w:tr>
      <w:tr w14:paraId="377607B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CB5C620">
            <w:pPr>
              <w:spacing w:line="22" w:lineRule="atLeast"/>
              <w:rPr>
                <w:lang w:val="en-US" w:eastAsia="zh-CN"/>
              </w:rPr>
            </w:pPr>
            <w:r>
              <w:rPr>
                <w:rFonts w:hint="eastAsia"/>
                <w:lang w:val="en-US" w:eastAsia="zh-CN"/>
              </w:rPr>
              <w:t>Not applicable</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747E970F">
            <w:pPr>
              <w:spacing w:line="22" w:lineRule="atLeast"/>
            </w:pPr>
            <w:r>
              <w:rPr>
                <w:rFonts w:hint="eastAsia"/>
                <w:lang w:val="en-US" w:eastAsia="zh-CN"/>
              </w:rPr>
              <w:t>Not applicable</w:t>
            </w:r>
          </w:p>
        </w:tc>
      </w:tr>
      <w:tr w14:paraId="1614C959">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6120B36">
            <w:pPr>
              <w:spacing w:line="22" w:lineRule="atLeast"/>
            </w:pPr>
            <w:r>
              <w:rPr>
                <w:rFonts w:hint="eastAsia"/>
                <w:lang w:val="en-US" w:eastAsia="zh-CN"/>
              </w:rPr>
              <w:t>Not applicable</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D44DE66">
            <w:pPr>
              <w:spacing w:line="22" w:lineRule="atLeast"/>
            </w:pPr>
            <w:r>
              <w:rPr>
                <w:rFonts w:hint="eastAsia"/>
                <w:lang w:val="en-US" w:eastAsia="zh-CN"/>
              </w:rPr>
              <w:t>Not applicable</w:t>
            </w:r>
          </w:p>
        </w:tc>
      </w:tr>
    </w:tbl>
    <w:p w14:paraId="367D0A17">
      <w:pPr>
        <w:spacing w:line="22" w:lineRule="atLeast"/>
        <w:rPr>
          <w:rFonts w:eastAsia="Arial"/>
        </w:rPr>
      </w:pPr>
      <w:r>
        <w:rPr>
          <w:rFonts w:eastAsia="Arial"/>
        </w:rPr>
        <w:t>Add additional rows as required</w:t>
      </w:r>
    </w:p>
    <w:p w14:paraId="75F8D504">
      <w:pPr>
        <w:spacing w:line="22" w:lineRule="atLeast"/>
        <w:rPr>
          <w:b/>
          <w:szCs w:val="24"/>
        </w:rPr>
      </w:pPr>
    </w:p>
    <w:p w14:paraId="6610F14A">
      <w:pPr>
        <w:pStyle w:val="3"/>
      </w:pPr>
      <w:bookmarkStart w:id="14" w:name="_Toc98925166"/>
      <w:bookmarkStart w:id="15" w:name="_Toc115266760"/>
      <w:bookmarkStart w:id="16" w:name="_Toc110433997"/>
      <w:r>
        <w:t>B2. Scope</w:t>
      </w:r>
      <w:bookmarkEnd w:id="14"/>
      <w:bookmarkEnd w:id="15"/>
      <w:bookmarkEnd w:id="16"/>
    </w:p>
    <w:p w14:paraId="33058105">
      <w:pPr>
        <w:spacing w:line="22" w:lineRule="atLeast"/>
        <w:rPr>
          <w:rFonts w:eastAsia="Yu Gothic"/>
          <w:szCs w:val="24"/>
        </w:rPr>
      </w:pPr>
    </w:p>
    <w:p w14:paraId="75336E30">
      <w:pPr>
        <w:pStyle w:val="43"/>
        <w:numPr>
          <w:ilvl w:val="0"/>
          <w:numId w:val="13"/>
        </w:numPr>
        <w:spacing w:line="22" w:lineRule="atLeast"/>
      </w:pPr>
      <w:r>
        <w:rPr>
          <w:rFonts w:eastAsia="Yu Gothic"/>
        </w:rPr>
        <w:t xml:space="preserve">If you consider that the scope of the investigation should be different, please provide your reasons in the field below. </w:t>
      </w:r>
    </w:p>
    <w:p w14:paraId="51170B51">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0CAD45D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1A0135">
            <w:pPr>
              <w:spacing w:line="22" w:lineRule="atLeast"/>
              <w:rPr>
                <w:lang w:val="en-US" w:eastAsia="zh-CN"/>
              </w:rPr>
            </w:pPr>
            <w:r>
              <w:rPr>
                <w:rFonts w:hint="eastAsia"/>
                <w:lang w:val="en-US" w:eastAsia="zh-CN"/>
              </w:rPr>
              <w:t>Currently Fronteq Changzhou does not know if the scope should be changed, but reserves the right to comment in the future.</w:t>
            </w:r>
          </w:p>
        </w:tc>
      </w:tr>
    </w:tbl>
    <w:p w14:paraId="6E5D1F0C">
      <w:pPr>
        <w:spacing w:line="22" w:lineRule="atLeast"/>
        <w:rPr>
          <w:color w:val="EE0000"/>
          <w:lang w:eastAsia="zh-CN"/>
        </w:rPr>
      </w:pPr>
    </w:p>
    <w:p w14:paraId="057CF651">
      <w:pPr>
        <w:pStyle w:val="43"/>
        <w:numPr>
          <w:ilvl w:val="0"/>
          <w:numId w:val="13"/>
        </w:numPr>
        <w:spacing w:line="22" w:lineRule="atLeast"/>
      </w:pPr>
      <w:r>
        <w:rPr>
          <w:rFonts w:eastAsia="Yu Gothic"/>
        </w:rPr>
        <w:t>Please provide any views on the categorisation of sub-assemblies which have been listed in the scope, which consists of:</w:t>
      </w:r>
    </w:p>
    <w:p w14:paraId="260224B8">
      <w:pPr>
        <w:pStyle w:val="43"/>
        <w:spacing w:line="22" w:lineRule="atLeast"/>
      </w:pPr>
    </w:p>
    <w:p w14:paraId="3B476F86">
      <w:pPr>
        <w:pStyle w:val="43"/>
        <w:numPr>
          <w:ilvl w:val="0"/>
          <w:numId w:val="3"/>
        </w:numPr>
        <w:ind w:left="1440"/>
      </w:pPr>
      <w:r>
        <w:rPr>
          <w:rStyle w:val="65"/>
          <w:szCs w:val="24"/>
          <w:shd w:val="clear" w:color="auto" w:fill="FFFFFF"/>
        </w:rPr>
        <w:t>booms including articulated and telescopic or straight (with or without jibs) or sub-assemblies thereof, assembled or not;</w:t>
      </w:r>
    </w:p>
    <w:p w14:paraId="3E8E48DD">
      <w:pPr>
        <w:pStyle w:val="43"/>
        <w:numPr>
          <w:ilvl w:val="0"/>
          <w:numId w:val="3"/>
        </w:numPr>
        <w:ind w:left="1440"/>
      </w:pPr>
      <w:r>
        <w:rPr>
          <w:rStyle w:val="65"/>
          <w:szCs w:val="24"/>
          <w:shd w:val="clear" w:color="auto" w:fill="FFFFFF"/>
        </w:rPr>
        <w:t>chassis or sub-assemblies thereof, assembled or not;</w:t>
      </w:r>
    </w:p>
    <w:p w14:paraId="738E1050">
      <w:pPr>
        <w:pStyle w:val="43"/>
        <w:numPr>
          <w:ilvl w:val="0"/>
          <w:numId w:val="3"/>
        </w:numPr>
        <w:ind w:left="1440"/>
      </w:pPr>
      <w:r>
        <w:rPr>
          <w:rStyle w:val="65"/>
          <w:szCs w:val="24"/>
          <w:shd w:val="clear" w:color="auto" w:fill="FFFFFF"/>
        </w:rPr>
        <w:t>boom turret or turntables or sub-assemblies thereof, assembled or not;</w:t>
      </w:r>
    </w:p>
    <w:p w14:paraId="2C14B896">
      <w:pPr>
        <w:pStyle w:val="43"/>
        <w:numPr>
          <w:ilvl w:val="0"/>
          <w:numId w:val="3"/>
        </w:numPr>
        <w:ind w:left="1440"/>
      </w:pPr>
      <w:r>
        <w:rPr>
          <w:rStyle w:val="65"/>
          <w:szCs w:val="24"/>
          <w:shd w:val="clear" w:color="auto" w:fill="FFFFFF"/>
        </w:rPr>
        <w:t xml:space="preserve">platforms or baskets or sub-assemblies thereof, assembled or not.  </w:t>
      </w:r>
    </w:p>
    <w:p w14:paraId="31FA1F25">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31FE4FD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89A14F">
            <w:pPr>
              <w:spacing w:line="22" w:lineRule="atLeast"/>
              <w:rPr>
                <w:lang w:val="en-US"/>
              </w:rPr>
            </w:pPr>
            <w:r>
              <w:rPr>
                <w:rFonts w:hint="eastAsia"/>
                <w:lang w:val="en-US" w:eastAsia="zh-CN"/>
              </w:rPr>
              <w:t>Fronteq Changzhou does not have any comments, but reserves the right to comment in the future.</w:t>
            </w:r>
          </w:p>
        </w:tc>
      </w:tr>
    </w:tbl>
    <w:p w14:paraId="044A5D94">
      <w:pPr>
        <w:spacing w:line="22" w:lineRule="atLeast"/>
      </w:pPr>
    </w:p>
    <w:p w14:paraId="33F4A226">
      <w:pPr>
        <w:spacing w:line="22" w:lineRule="atLeast"/>
      </w:pPr>
    </w:p>
    <w:p w14:paraId="4AFD6C2A">
      <w:pPr>
        <w:pStyle w:val="43"/>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772B515C">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6677617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3DD28E9">
            <w:pPr>
              <w:spacing w:line="22" w:lineRule="atLeast"/>
              <w:rPr>
                <w:lang w:val="en-US"/>
              </w:rPr>
            </w:pPr>
            <w:r>
              <w:rPr>
                <w:rFonts w:hint="eastAsia"/>
                <w:lang w:val="en-US" w:eastAsia="zh-CN"/>
              </w:rPr>
              <w:t>Fronteq Changzhou does not have any further remarks relating to the goods concerned and the like goods currently, but reserves the right to comment in the future.</w:t>
            </w:r>
          </w:p>
        </w:tc>
      </w:tr>
    </w:tbl>
    <w:p w14:paraId="0CE2DE83">
      <w:pPr>
        <w:spacing w:line="22" w:lineRule="atLeast"/>
      </w:pPr>
    </w:p>
    <w:p w14:paraId="767EF79E">
      <w:pPr>
        <w:spacing w:line="22" w:lineRule="atLeast"/>
      </w:pPr>
    </w:p>
    <w:p w14:paraId="7FEE52CB">
      <w:pPr>
        <w:pStyle w:val="3"/>
      </w:pPr>
      <w:r>
        <w:t>B3. Product control numbers</w:t>
      </w:r>
    </w:p>
    <w:p w14:paraId="74EB3340">
      <w:pPr>
        <w:spacing w:line="22" w:lineRule="atLeast"/>
        <w:rPr>
          <w:rFonts w:eastAsia="Yu Gothic"/>
          <w:color w:val="000000"/>
          <w:szCs w:val="24"/>
        </w:rPr>
      </w:pPr>
    </w:p>
    <w:p w14:paraId="7E1A01AD">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46BF4B8C">
      <w:pPr>
        <w:spacing w:line="22" w:lineRule="atLeast"/>
        <w:rPr>
          <w:rFonts w:eastAsia="Yu Gothic"/>
          <w:color w:val="000000"/>
          <w:szCs w:val="24"/>
        </w:rPr>
      </w:pPr>
    </w:p>
    <w:p w14:paraId="33C223E2">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39E76FC4">
      <w:pPr>
        <w:spacing w:line="22" w:lineRule="atLeast"/>
        <w:rPr>
          <w:rFonts w:eastAsia="Yu Gothic"/>
          <w:color w:val="000000"/>
          <w:szCs w:val="24"/>
        </w:rPr>
      </w:pPr>
    </w:p>
    <w:p w14:paraId="7EB783CC">
      <w:pPr>
        <w:spacing w:line="22" w:lineRule="atLeast"/>
        <w:rPr>
          <w:rFonts w:eastAsia="Yu Gothic"/>
          <w:color w:val="000000"/>
          <w:szCs w:val="24"/>
        </w:rPr>
      </w:pPr>
      <w:r>
        <w:rPr>
          <w:rFonts w:eastAsia="Yu Gothic"/>
          <w:color w:val="000000"/>
          <w:szCs w:val="24"/>
        </w:rPr>
        <w:t>Draft PCN table:</w:t>
      </w:r>
    </w:p>
    <w:p w14:paraId="614821E4">
      <w:pPr>
        <w:spacing w:line="22" w:lineRule="atLeast"/>
        <w:rPr>
          <w:rFonts w:eastAsia="Yu Gothic"/>
          <w:color w:val="000000"/>
          <w:szCs w:val="24"/>
        </w:rPr>
      </w:pPr>
    </w:p>
    <w:p w14:paraId="2749208A">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3B721983">
      <w:pPr>
        <w:spacing w:line="22" w:lineRule="atLeast"/>
        <w:rPr>
          <w:rFonts w:eastAsia="Yu Gothic"/>
          <w:color w:val="000000"/>
          <w:szCs w:val="24"/>
        </w:rPr>
      </w:pPr>
    </w:p>
    <w:p w14:paraId="23498617">
      <w:pPr>
        <w:pStyle w:val="43"/>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56A9EF7B">
      <w:pPr>
        <w:pStyle w:val="43"/>
        <w:numPr>
          <w:ilvl w:val="0"/>
          <w:numId w:val="14"/>
        </w:numPr>
        <w:spacing w:line="22" w:lineRule="atLeast"/>
        <w:rPr>
          <w:rFonts w:eastAsia="Yu Gothic"/>
          <w:color w:val="000000"/>
          <w:szCs w:val="24"/>
        </w:rPr>
      </w:pPr>
      <w:r>
        <w:rPr>
          <w:rFonts w:eastAsia="Yu Gothic"/>
          <w:color w:val="000000"/>
          <w:szCs w:val="24"/>
        </w:rPr>
        <w:t>For chassis sections, complete Table 2.</w:t>
      </w:r>
    </w:p>
    <w:p w14:paraId="50551454">
      <w:pPr>
        <w:pStyle w:val="43"/>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6AF9C1C4">
      <w:pPr>
        <w:pStyle w:val="43"/>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0A8B6196">
      <w:pPr>
        <w:pStyle w:val="43"/>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202B61D4">
      <w:pPr>
        <w:spacing w:line="22" w:lineRule="atLeast"/>
        <w:rPr>
          <w:rFonts w:eastAsia="Yu Gothic"/>
          <w:color w:val="000000"/>
          <w:szCs w:val="24"/>
        </w:rPr>
      </w:pPr>
    </w:p>
    <w:tbl>
      <w:tblPr>
        <w:tblStyle w:val="23"/>
        <w:tblW w:w="9780" w:type="dxa"/>
        <w:tblInd w:w="0" w:type="dxa"/>
        <w:tblLayout w:type="autofit"/>
        <w:tblCellMar>
          <w:top w:w="0" w:type="dxa"/>
          <w:left w:w="10" w:type="dxa"/>
          <w:bottom w:w="0" w:type="dxa"/>
          <w:right w:w="10" w:type="dxa"/>
        </w:tblCellMar>
      </w:tblPr>
      <w:tblGrid>
        <w:gridCol w:w="3676"/>
        <w:gridCol w:w="2704"/>
        <w:gridCol w:w="3400"/>
      </w:tblGrid>
      <w:tr w14:paraId="3F5E2AEF">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3B54CD8B">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21EE679F">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1AA1D9B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4E29C82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33F03A04">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61C327CE">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20A1321">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78CC70E">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1EBD5DC6">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41E368A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6DAF07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848BF67">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9E3C402">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751FBF72">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C32A609">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E18792A">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1BED2E8E">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7E9FA76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E006B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12ECD98">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B921797">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0EC47922">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DE56F42">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75EA1F33">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31BBDAC5">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2267BE5B">
      <w:pPr>
        <w:spacing w:line="22" w:lineRule="atLeast"/>
        <w:rPr>
          <w:rFonts w:eastAsia="Yu Gothic"/>
          <w:color w:val="000000"/>
          <w:szCs w:val="24"/>
        </w:rPr>
      </w:pPr>
    </w:p>
    <w:tbl>
      <w:tblPr>
        <w:tblStyle w:val="23"/>
        <w:tblW w:w="9780" w:type="dxa"/>
        <w:tblInd w:w="0" w:type="dxa"/>
        <w:tblLayout w:type="autofit"/>
        <w:tblCellMar>
          <w:top w:w="0" w:type="dxa"/>
          <w:left w:w="10" w:type="dxa"/>
          <w:bottom w:w="0" w:type="dxa"/>
          <w:right w:w="10" w:type="dxa"/>
        </w:tblCellMar>
      </w:tblPr>
      <w:tblGrid>
        <w:gridCol w:w="3676"/>
        <w:gridCol w:w="3118"/>
        <w:gridCol w:w="2986"/>
      </w:tblGrid>
      <w:tr w14:paraId="3DBFD0EF">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00FE7AF6">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7D2DB833">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02BF490E">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7F62500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79A65592">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6BF8D3F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E006799">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0934826">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D43C567">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2F55355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E8728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477DE607">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3EE7D99">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2456B119">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2ED285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F329A75">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35C3B2B">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0D5ED9FD">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D4C2B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3E5D3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6889E68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4343B47">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ADD70D1">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C3DB45A">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163CC3E7">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789DED23">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2D2DBC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E46119E">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611EE0AB">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63096CC7">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9F62EE">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6A3312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DA2A10D">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601A04E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B9EEE46">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B27E76C">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4E5D49A">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15A119E4">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613A7CB6">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BCF42D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42E03A">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735FF2A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6B0D6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5ED1C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581D1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6060AFEF">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EE17CA">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3136FBB">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BB2407C">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284F120F">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84A4A5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5123E93">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7F760F3">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05CE1D44">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C74A3B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1BA5EC8">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5D2DF53">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4F43760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45705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5F309F4">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7D19B66">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0CE5B2F4">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A1348C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0DACAAA">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49D9839">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37BCEB5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30EFD5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1194C51">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291A03B">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7813174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59D8F1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8877CC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0CB088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0288A6E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F700E41">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8DF8DFB">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356C322">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3944700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76A9B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6593F6E">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8E30BB1">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0D4AC11E">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1897CA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27FE58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F95B4ED">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B7AF293">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7DF474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BBE758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AF130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3C69C6A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6B8E039">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D7EB70E">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14197D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0C4C8CDB">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40F5CD9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30DC7E5C">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15E84FDD">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6FC4708B">
      <w:pPr>
        <w:spacing w:line="22" w:lineRule="atLeast"/>
        <w:rPr>
          <w:rFonts w:eastAsia="Yu Gothic"/>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2AA6B55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5E1E6D2B">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504F0162">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01F4E2A0">
            <w:pPr>
              <w:suppressAutoHyphens w:val="0"/>
              <w:textAlignment w:val="auto"/>
            </w:pPr>
            <w:r>
              <w:rPr>
                <w:rFonts w:ascii="Calibri" w:hAnsi="Calibri" w:eastAsia="Times New Roman" w:cs="Calibri"/>
                <w:color w:val="000000"/>
                <w:sz w:val="22"/>
                <w:lang w:eastAsia="en-GB"/>
              </w:rPr>
              <w:t> </w:t>
            </w:r>
          </w:p>
        </w:tc>
      </w:tr>
      <w:tr w14:paraId="2A2FEFD3">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5886D02D">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46ED207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1203786F">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6539A506">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C103FA8">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666C6E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FE87E15">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77E586E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7CB6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691570">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682F25">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DDAF05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74BA9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827CE2A">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1CCC6A">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090444B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34276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7D05CA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F7EA81E">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EF8AFF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3CCF4B4">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8D45728">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5209B75">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38685AE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58490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29BA50F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BBFCEAB">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A70B4A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740F3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7D7936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E3D22E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14DB04B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0D08353">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A4AFAC4">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9831575">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13C9963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14FD65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EDD96FF">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5F6AFF7">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6206975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79361D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C1E3E7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F502E22">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8B20BAE">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1E86E92">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CE6B6F3">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054EEE">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371F8B2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76D8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75F2204">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A8F082">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2B1DED7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29845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3C8155D">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E87D5C">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387181B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2BCD2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6AA36B">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0C0D93">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2974D37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58B187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372B4E">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853CA9">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1F301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E185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D11017">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6631394">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8BFFF6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295810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C82CDB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19E055">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53259B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8B63384">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E316A9">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E924B7">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0F032E9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7A8CE7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06B222">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5EC8DA7">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08EBD68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81E1D9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60C93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A14541E">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5A917B11">
      <w:pPr>
        <w:spacing w:line="22" w:lineRule="atLeast"/>
        <w:rPr>
          <w:rFonts w:eastAsia="Yu Gothic"/>
          <w:color w:val="000000"/>
          <w:szCs w:val="24"/>
        </w:rPr>
      </w:pPr>
    </w:p>
    <w:p w14:paraId="1A2B1159">
      <w:pPr>
        <w:spacing w:line="22" w:lineRule="atLeast"/>
        <w:rPr>
          <w:rFonts w:eastAsia="Yu Gothic"/>
          <w:color w:val="000000"/>
          <w:szCs w:val="24"/>
        </w:rPr>
      </w:pPr>
    </w:p>
    <w:tbl>
      <w:tblPr>
        <w:tblStyle w:val="23"/>
        <w:tblW w:w="9812" w:type="dxa"/>
        <w:tblInd w:w="0" w:type="dxa"/>
        <w:tblLayout w:type="autofit"/>
        <w:tblCellMar>
          <w:top w:w="0" w:type="dxa"/>
          <w:left w:w="10" w:type="dxa"/>
          <w:bottom w:w="0" w:type="dxa"/>
          <w:right w:w="10" w:type="dxa"/>
        </w:tblCellMar>
      </w:tblPr>
      <w:tblGrid>
        <w:gridCol w:w="3676"/>
        <w:gridCol w:w="2728"/>
        <w:gridCol w:w="3408"/>
      </w:tblGrid>
      <w:tr w14:paraId="10ABE55A">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1453277">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6ADBC5F">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2206ABE">
            <w:pPr>
              <w:suppressAutoHyphens w:val="0"/>
              <w:textAlignment w:val="auto"/>
            </w:pPr>
            <w:r>
              <w:rPr>
                <w:rFonts w:ascii="Calibri" w:hAnsi="Calibri" w:eastAsia="Times New Roman" w:cs="Calibri"/>
                <w:color w:val="000000"/>
                <w:sz w:val="22"/>
                <w:lang w:eastAsia="en-GB"/>
              </w:rPr>
              <w:t> </w:t>
            </w:r>
          </w:p>
        </w:tc>
      </w:tr>
      <w:tr w14:paraId="539B174D">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D8A5782">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4BD757">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90F887">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196376C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FD9D10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23483CE">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3B171B2">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48F66BB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D19F1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FD02E09">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82E776">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DFC93F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8E26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5EC4AF">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6AC6070">
            <w:pPr>
              <w:suppressAutoHyphens w:val="0"/>
              <w:textAlignment w:val="auto"/>
              <w:rPr>
                <w:rFonts w:eastAsia="Times New Roman"/>
                <w:color w:val="000000"/>
                <w:szCs w:val="24"/>
                <w:lang w:eastAsia="en-GB"/>
              </w:rPr>
            </w:pPr>
          </w:p>
        </w:tc>
      </w:tr>
      <w:tr w14:paraId="38C334F7">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DC60895">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1441464">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BCF3F7B">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0517C19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3D3B50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BD5C54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2FF3EC4">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26D42E1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6A96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13BBCB">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1835C8">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6FBAFA5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F932E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2275C6">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00D0D1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2921234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3240D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21968E">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899A379">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1356759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753888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AA6BAD">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F1BFC3">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09628C6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EA86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23FE9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EB27C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DD6B10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4B06C3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F33261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848D9C3">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6EFF93A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0534E2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6EA6045">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87C2E0E">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6A427A2C">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5DD0027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0FFCAF2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BD87662">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1355CB78">
      <w:pPr>
        <w:spacing w:line="22" w:lineRule="atLeast"/>
        <w:rPr>
          <w:rFonts w:eastAsia="Yu Gothic"/>
          <w:color w:val="000000"/>
          <w:szCs w:val="24"/>
        </w:rPr>
      </w:pPr>
    </w:p>
    <w:p w14:paraId="5D6B7A22">
      <w:pPr>
        <w:spacing w:line="22" w:lineRule="atLeast"/>
        <w:rPr>
          <w:rFonts w:eastAsia="Yu Gothic"/>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44BF9B8B">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7F394563">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327DB67">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3B18E2BF">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28F5390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5BEFB64">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0ABEE14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57D5323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1430EF7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298DC5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D48DA0F">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E221A2">
            <w:pPr>
              <w:suppressAutoHyphens w:val="0"/>
              <w:textAlignment w:val="auto"/>
              <w:rPr>
                <w:rFonts w:eastAsia="Times New Roman"/>
                <w:szCs w:val="24"/>
                <w:lang w:eastAsia="en-GB"/>
              </w:rPr>
            </w:pPr>
            <w:r>
              <w:rPr>
                <w:rFonts w:eastAsia="Times New Roman"/>
                <w:szCs w:val="24"/>
                <w:lang w:eastAsia="en-GB"/>
              </w:rPr>
              <w:t>L</w:t>
            </w:r>
          </w:p>
        </w:tc>
      </w:tr>
      <w:tr w14:paraId="0C58B08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45F50C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AA534F">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4ACAF3">
            <w:pPr>
              <w:suppressAutoHyphens w:val="0"/>
              <w:textAlignment w:val="auto"/>
              <w:rPr>
                <w:rFonts w:eastAsia="Times New Roman"/>
                <w:szCs w:val="24"/>
                <w:lang w:eastAsia="en-GB"/>
              </w:rPr>
            </w:pPr>
            <w:r>
              <w:rPr>
                <w:rFonts w:eastAsia="Times New Roman"/>
                <w:szCs w:val="24"/>
                <w:lang w:eastAsia="en-GB"/>
              </w:rPr>
              <w:t>R</w:t>
            </w:r>
          </w:p>
        </w:tc>
      </w:tr>
      <w:tr w14:paraId="22378FE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792CB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0B65EF8">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664A27">
            <w:pPr>
              <w:suppressAutoHyphens w:val="0"/>
              <w:textAlignment w:val="auto"/>
              <w:rPr>
                <w:rFonts w:eastAsia="Times New Roman"/>
                <w:szCs w:val="24"/>
                <w:lang w:eastAsia="en-GB"/>
              </w:rPr>
            </w:pPr>
            <w:r>
              <w:rPr>
                <w:rFonts w:eastAsia="Times New Roman"/>
                <w:szCs w:val="24"/>
                <w:lang w:eastAsia="en-GB"/>
              </w:rPr>
              <w:t>NA</w:t>
            </w:r>
          </w:p>
        </w:tc>
      </w:tr>
      <w:tr w14:paraId="30F2AD0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97C98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21A7C76">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D25747D">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4321590D">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E52A01">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894C3E">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3EC53C">
            <w:pPr>
              <w:suppressAutoHyphens w:val="0"/>
              <w:textAlignment w:val="auto"/>
              <w:rPr>
                <w:rFonts w:eastAsia="Times New Roman"/>
                <w:szCs w:val="24"/>
                <w:lang w:eastAsia="en-GB"/>
              </w:rPr>
            </w:pPr>
            <w:r>
              <w:rPr>
                <w:rFonts w:eastAsia="Times New Roman"/>
                <w:szCs w:val="24"/>
                <w:lang w:eastAsia="en-GB"/>
              </w:rPr>
              <w:t>5</w:t>
            </w:r>
          </w:p>
        </w:tc>
      </w:tr>
      <w:tr w14:paraId="2AE833E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6221C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B70298">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EB74AE">
            <w:pPr>
              <w:suppressAutoHyphens w:val="0"/>
              <w:textAlignment w:val="auto"/>
              <w:rPr>
                <w:rFonts w:eastAsia="Times New Roman"/>
                <w:szCs w:val="24"/>
                <w:lang w:eastAsia="en-GB"/>
              </w:rPr>
            </w:pPr>
            <w:r>
              <w:rPr>
                <w:rFonts w:eastAsia="Times New Roman"/>
                <w:szCs w:val="24"/>
                <w:lang w:eastAsia="en-GB"/>
              </w:rPr>
              <w:t>6</w:t>
            </w:r>
          </w:p>
        </w:tc>
      </w:tr>
      <w:tr w14:paraId="70EDA7E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91B954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39E03E">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15C6725">
            <w:pPr>
              <w:suppressAutoHyphens w:val="0"/>
              <w:textAlignment w:val="auto"/>
              <w:rPr>
                <w:rFonts w:eastAsia="Times New Roman"/>
                <w:szCs w:val="24"/>
                <w:lang w:eastAsia="en-GB"/>
              </w:rPr>
            </w:pPr>
            <w:r>
              <w:rPr>
                <w:rFonts w:eastAsia="Times New Roman"/>
                <w:szCs w:val="24"/>
                <w:lang w:eastAsia="en-GB"/>
              </w:rPr>
              <w:t>NA</w:t>
            </w:r>
          </w:p>
        </w:tc>
      </w:tr>
      <w:tr w14:paraId="67E9477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4ED1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C94A6A">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388F95">
            <w:pPr>
              <w:suppressAutoHyphens w:val="0"/>
              <w:textAlignment w:val="auto"/>
              <w:rPr>
                <w:rFonts w:eastAsia="Times New Roman"/>
                <w:szCs w:val="24"/>
                <w:lang w:eastAsia="en-GB"/>
              </w:rPr>
            </w:pPr>
            <w:r>
              <w:rPr>
                <w:rFonts w:eastAsia="Times New Roman"/>
                <w:szCs w:val="24"/>
                <w:lang w:eastAsia="en-GB"/>
              </w:rPr>
              <w:t> </w:t>
            </w:r>
          </w:p>
        </w:tc>
      </w:tr>
      <w:tr w14:paraId="6F28BD08">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B68195D">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3A20343">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964128E">
            <w:pPr>
              <w:suppressAutoHyphens w:val="0"/>
              <w:textAlignment w:val="auto"/>
              <w:rPr>
                <w:rFonts w:eastAsia="Times New Roman"/>
                <w:szCs w:val="24"/>
                <w:lang w:eastAsia="en-GB"/>
              </w:rPr>
            </w:pPr>
            <w:r>
              <w:rPr>
                <w:rFonts w:eastAsia="Times New Roman"/>
                <w:szCs w:val="24"/>
                <w:lang w:eastAsia="en-GB"/>
              </w:rPr>
              <w:t>Y</w:t>
            </w:r>
          </w:p>
        </w:tc>
      </w:tr>
      <w:tr w14:paraId="1D8D3B4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8E8C7E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548D2D6">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CD3C40">
            <w:pPr>
              <w:suppressAutoHyphens w:val="0"/>
              <w:textAlignment w:val="auto"/>
              <w:rPr>
                <w:rFonts w:eastAsia="Times New Roman"/>
                <w:szCs w:val="24"/>
                <w:lang w:eastAsia="en-GB"/>
              </w:rPr>
            </w:pPr>
            <w:r>
              <w:rPr>
                <w:rFonts w:eastAsia="Times New Roman"/>
                <w:szCs w:val="24"/>
                <w:lang w:eastAsia="en-GB"/>
              </w:rPr>
              <w:t>N</w:t>
            </w:r>
          </w:p>
        </w:tc>
      </w:tr>
      <w:tr w14:paraId="4B833E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E28702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62919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076E02E">
            <w:pPr>
              <w:suppressAutoHyphens w:val="0"/>
              <w:textAlignment w:val="auto"/>
              <w:rPr>
                <w:rFonts w:eastAsia="Times New Roman"/>
                <w:szCs w:val="24"/>
                <w:lang w:eastAsia="en-GB"/>
              </w:rPr>
            </w:pPr>
            <w:r>
              <w:rPr>
                <w:rFonts w:eastAsia="Times New Roman"/>
                <w:szCs w:val="24"/>
                <w:lang w:eastAsia="en-GB"/>
              </w:rPr>
              <w:t> </w:t>
            </w:r>
          </w:p>
        </w:tc>
      </w:tr>
      <w:tr w14:paraId="65EF33A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5062FEF">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96992F4">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377E25">
            <w:pPr>
              <w:suppressAutoHyphens w:val="0"/>
              <w:textAlignment w:val="auto"/>
              <w:rPr>
                <w:rFonts w:eastAsia="Times New Roman"/>
                <w:szCs w:val="24"/>
                <w:lang w:eastAsia="en-GB"/>
              </w:rPr>
            </w:pPr>
            <w:r>
              <w:rPr>
                <w:rFonts w:eastAsia="Times New Roman"/>
                <w:szCs w:val="24"/>
                <w:lang w:eastAsia="en-GB"/>
              </w:rPr>
              <w:t>12</w:t>
            </w:r>
          </w:p>
        </w:tc>
      </w:tr>
      <w:tr w14:paraId="465ED5C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49E2C5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3180428">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B646AB8">
            <w:pPr>
              <w:suppressAutoHyphens w:val="0"/>
              <w:textAlignment w:val="auto"/>
              <w:rPr>
                <w:rFonts w:eastAsia="Times New Roman"/>
                <w:szCs w:val="24"/>
                <w:lang w:eastAsia="en-GB"/>
              </w:rPr>
            </w:pPr>
            <w:r>
              <w:rPr>
                <w:rFonts w:eastAsia="Times New Roman"/>
                <w:szCs w:val="24"/>
                <w:lang w:eastAsia="en-GB"/>
              </w:rPr>
              <w:t>13</w:t>
            </w:r>
          </w:p>
        </w:tc>
      </w:tr>
      <w:tr w14:paraId="42A64610">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3F3D2C2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28D4D394">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07C599B4">
            <w:pPr>
              <w:suppressAutoHyphens w:val="0"/>
              <w:textAlignment w:val="auto"/>
              <w:rPr>
                <w:rFonts w:eastAsia="Times New Roman"/>
                <w:szCs w:val="24"/>
                <w:lang w:eastAsia="en-GB"/>
              </w:rPr>
            </w:pPr>
            <w:r>
              <w:rPr>
                <w:rFonts w:eastAsia="Times New Roman"/>
                <w:szCs w:val="24"/>
                <w:lang w:eastAsia="en-GB"/>
              </w:rPr>
              <w:t> </w:t>
            </w:r>
          </w:p>
        </w:tc>
      </w:tr>
      <w:tr w14:paraId="5C82637A">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7FDAAC13">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0308540F">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718D805D">
            <w:pPr>
              <w:suppressAutoHyphens w:val="0"/>
              <w:textAlignment w:val="auto"/>
              <w:rPr>
                <w:rFonts w:eastAsia="Times New Roman"/>
                <w:szCs w:val="24"/>
                <w:lang w:eastAsia="en-GB"/>
              </w:rPr>
            </w:pPr>
            <w:r>
              <w:rPr>
                <w:rFonts w:eastAsia="Times New Roman"/>
                <w:szCs w:val="24"/>
                <w:lang w:eastAsia="en-GB"/>
              </w:rPr>
              <w:t>2</w:t>
            </w:r>
          </w:p>
        </w:tc>
      </w:tr>
      <w:tr w14:paraId="7CE48713">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112F1B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573587F2">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3BAD2801">
            <w:pPr>
              <w:suppressAutoHyphens w:val="0"/>
              <w:textAlignment w:val="auto"/>
              <w:rPr>
                <w:rFonts w:eastAsia="Times New Roman"/>
                <w:szCs w:val="24"/>
                <w:lang w:eastAsia="en-GB"/>
              </w:rPr>
            </w:pPr>
            <w:r>
              <w:rPr>
                <w:rFonts w:eastAsia="Times New Roman"/>
                <w:szCs w:val="24"/>
                <w:lang w:eastAsia="en-GB"/>
              </w:rPr>
              <w:t>3</w:t>
            </w:r>
          </w:p>
        </w:tc>
      </w:tr>
    </w:tbl>
    <w:p w14:paraId="661EE680">
      <w:pPr>
        <w:spacing w:line="22" w:lineRule="atLeast"/>
        <w:rPr>
          <w:rFonts w:eastAsia="Yu Gothic"/>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5D9AA1C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A7DAD6B">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272B172">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150E3882">
            <w:pPr>
              <w:suppressAutoHyphens w:val="0"/>
              <w:textAlignment w:val="auto"/>
            </w:pPr>
            <w:r>
              <w:rPr>
                <w:rFonts w:ascii="Calibri" w:hAnsi="Calibri" w:eastAsia="Times New Roman" w:cs="Calibri"/>
                <w:color w:val="000000"/>
                <w:sz w:val="22"/>
                <w:lang w:eastAsia="en-GB"/>
              </w:rPr>
              <w:t> </w:t>
            </w:r>
          </w:p>
        </w:tc>
      </w:tr>
      <w:tr w14:paraId="20FE67EF">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103C2A61">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6F3286BB">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00679652">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64E5AB05">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E612BE">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69DFDC">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3BDD6C9">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3EAC300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DEBC0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E030E2">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3C02DDC">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61F5709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BA837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520B5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A8957A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8FE49E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FED74E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A9804D">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8ABFC63">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50D12D3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E65873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8005B1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B23CBF">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21503C3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3C1BD2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8167D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17A711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681D63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E23F0AA">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3D470F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FD967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9CE4BBB">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3E04531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46F4D2BA">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394511F2">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6A3BFE1A">
      <w:pPr>
        <w:spacing w:line="22" w:lineRule="atLeast"/>
        <w:rPr>
          <w:rFonts w:eastAsia="Yu Gothic"/>
          <w:color w:val="000000"/>
          <w:sz w:val="20"/>
          <w:szCs w:val="20"/>
        </w:rPr>
      </w:pPr>
      <w:r>
        <w:rPr>
          <w:rFonts w:eastAsia="Yu Gothic"/>
          <w:color w:val="000000"/>
          <w:sz w:val="20"/>
          <w:szCs w:val="20"/>
        </w:rPr>
        <w:t>*For stick booms, select ‘NA’.</w:t>
      </w:r>
    </w:p>
    <w:p w14:paraId="1A901BFD">
      <w:pPr>
        <w:spacing w:line="22" w:lineRule="atLeast"/>
        <w:rPr>
          <w:rFonts w:eastAsia="Yu Gothic"/>
          <w:color w:val="000000"/>
          <w:szCs w:val="24"/>
        </w:rPr>
      </w:pPr>
    </w:p>
    <w:p w14:paraId="258E8C02">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689DED0F">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0D9C4B78">
      <w:pPr>
        <w:spacing w:line="22" w:lineRule="atLeast"/>
        <w:rPr>
          <w:rFonts w:eastAsia="Yu Gothic"/>
          <w:color w:val="000000"/>
          <w:szCs w:val="24"/>
        </w:rPr>
      </w:pPr>
    </w:p>
    <w:p w14:paraId="4007E71A">
      <w:pPr>
        <w:pStyle w:val="43"/>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0A39A63E">
      <w:pPr>
        <w:pStyle w:val="43"/>
        <w:numPr>
          <w:ilvl w:val="1"/>
          <w:numId w:val="15"/>
        </w:numPr>
        <w:spacing w:line="22" w:lineRule="atLeast"/>
        <w:rPr>
          <w:rFonts w:eastAsia="Yu Gothic"/>
          <w:szCs w:val="24"/>
        </w:rPr>
      </w:pPr>
      <w:r>
        <w:rPr>
          <w:rFonts w:eastAsia="Yu Gothic"/>
          <w:szCs w:val="24"/>
        </w:rPr>
        <w:t xml:space="preserve">The categorisation of product features; and </w:t>
      </w:r>
    </w:p>
    <w:p w14:paraId="60AB4B2C">
      <w:pPr>
        <w:pStyle w:val="43"/>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266FCF19">
      <w:pPr>
        <w:spacing w:line="22" w:lineRule="atLeast"/>
        <w:rPr>
          <w:rFonts w:eastAsia="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0C9E456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A68AC14">
            <w:pPr>
              <w:spacing w:line="22" w:lineRule="atLeast"/>
              <w:rPr>
                <w:color w:val="000000"/>
                <w:lang w:val="en-US"/>
              </w:rPr>
            </w:pPr>
            <w:r>
              <w:rPr>
                <w:rFonts w:hint="eastAsia"/>
                <w:lang w:val="en-US" w:eastAsia="zh-CN"/>
              </w:rPr>
              <w:t>Fronteq Changzhou does not have any comments on the PCN structure currently, but reserves the right to comment in the future.</w:t>
            </w:r>
          </w:p>
        </w:tc>
      </w:tr>
    </w:tbl>
    <w:p w14:paraId="2ED819A4">
      <w:pPr>
        <w:spacing w:line="22" w:lineRule="atLeast"/>
        <w:rPr>
          <w:rFonts w:eastAsia="Yu Gothic"/>
          <w:szCs w:val="24"/>
        </w:rPr>
      </w:pPr>
    </w:p>
    <w:p w14:paraId="335C7109">
      <w:pPr>
        <w:spacing w:line="22" w:lineRule="atLeast"/>
        <w:rPr>
          <w:rFonts w:eastAsia="Yu Gothic"/>
          <w:szCs w:val="24"/>
        </w:rPr>
      </w:pPr>
    </w:p>
    <w:p w14:paraId="7C69328B">
      <w:pPr>
        <w:spacing w:line="22" w:lineRule="atLeast"/>
        <w:rPr>
          <w:rFonts w:eastAsia="Yu Gothic"/>
          <w:szCs w:val="24"/>
        </w:rPr>
      </w:pPr>
    </w:p>
    <w:p w14:paraId="6AC4FB40">
      <w:pPr>
        <w:pStyle w:val="3"/>
      </w:pPr>
      <w:bookmarkStart w:id="17" w:name="_Toc110434000"/>
      <w:bookmarkStart w:id="18" w:name="_Toc98925169"/>
      <w:bookmarkStart w:id="19" w:name="_Toc115266763"/>
      <w:r>
        <w:t>B4. Economic Interest Test</w:t>
      </w:r>
      <w:bookmarkEnd w:id="17"/>
      <w:bookmarkEnd w:id="18"/>
      <w:bookmarkEnd w:id="19"/>
    </w:p>
    <w:p w14:paraId="21E7B0BA">
      <w:pPr>
        <w:shd w:val="clear" w:color="auto" w:fill="FFFFFF"/>
        <w:spacing w:line="22" w:lineRule="atLeast"/>
        <w:rPr>
          <w:rFonts w:eastAsia="Times New Roman"/>
          <w:color w:val="000000"/>
          <w:szCs w:val="24"/>
          <w:lang w:eastAsia="en-GB"/>
        </w:rPr>
      </w:pPr>
    </w:p>
    <w:p w14:paraId="50738764">
      <w:pPr>
        <w:pStyle w:val="43"/>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7B1DED87">
      <w:pPr>
        <w:shd w:val="clear" w:color="auto" w:fill="FFFFFF"/>
        <w:spacing w:line="22" w:lineRule="atLeast"/>
        <w:rPr>
          <w:rFonts w:eastAsia="Times New Roman"/>
          <w:color w:val="000000"/>
          <w:szCs w:val="24"/>
          <w:lang w:eastAsia="en-GB"/>
        </w:rPr>
      </w:pPr>
    </w:p>
    <w:tbl>
      <w:tblPr>
        <w:tblStyle w:val="23"/>
        <w:tblW w:w="4862" w:type="pct"/>
        <w:tblInd w:w="0" w:type="dxa"/>
        <w:tblLayout w:type="autofit"/>
        <w:tblCellMar>
          <w:top w:w="0" w:type="dxa"/>
          <w:left w:w="10" w:type="dxa"/>
          <w:bottom w:w="0" w:type="dxa"/>
          <w:right w:w="10" w:type="dxa"/>
        </w:tblCellMar>
      </w:tblPr>
      <w:tblGrid>
        <w:gridCol w:w="1729"/>
        <w:gridCol w:w="2878"/>
        <w:gridCol w:w="1872"/>
        <w:gridCol w:w="1712"/>
        <w:gridCol w:w="1496"/>
      </w:tblGrid>
      <w:tr w14:paraId="4AFE13F2">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2E4AF4">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8FE56AB">
            <w:pPr>
              <w:spacing w:line="22" w:lineRule="atLeast"/>
              <w:jc w:val="center"/>
              <w:rPr>
                <w:rFonts w:eastAsia="Arial"/>
                <w:color w:val="000000"/>
              </w:rPr>
            </w:pPr>
            <w:r>
              <w:rPr>
                <w:rFonts w:eastAsia="Arial"/>
                <w:color w:val="000000"/>
              </w:rPr>
              <w:t>Company location</w:t>
            </w:r>
          </w:p>
          <w:p w14:paraId="504FCAC4">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022A9BB">
            <w:pPr>
              <w:spacing w:line="22" w:lineRule="atLeast"/>
              <w:jc w:val="center"/>
              <w:rPr>
                <w:rFonts w:eastAsia="Arial"/>
                <w:color w:val="000000"/>
              </w:rPr>
            </w:pPr>
            <w:r>
              <w:rPr>
                <w:rFonts w:eastAsia="Arial"/>
                <w:color w:val="000000"/>
              </w:rPr>
              <w:t xml:space="preserve">Contact details </w:t>
            </w:r>
          </w:p>
          <w:p w14:paraId="6CD62D51">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957A14">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47942A2">
            <w:pPr>
              <w:spacing w:line="22" w:lineRule="atLeast"/>
              <w:jc w:val="center"/>
              <w:rPr>
                <w:rFonts w:eastAsia="Arial"/>
                <w:color w:val="000000"/>
                <w:szCs w:val="24"/>
              </w:rPr>
            </w:pPr>
            <w:r>
              <w:rPr>
                <w:rFonts w:eastAsia="Arial"/>
                <w:color w:val="000000"/>
                <w:szCs w:val="24"/>
              </w:rPr>
              <w:t>Contact permission (Y/N)</w:t>
            </w:r>
          </w:p>
        </w:tc>
      </w:tr>
      <w:tr w14:paraId="758C9947">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50159D">
            <w:pPr>
              <w:spacing w:line="22" w:lineRule="atLeast"/>
              <w:rPr>
                <w:rFonts w:hint="default"/>
                <w:color w:val="000000"/>
                <w:lang w:val="en-US" w:eastAsia="zh-CN"/>
              </w:rPr>
            </w:pPr>
            <w:r>
              <w:rPr>
                <w:rFonts w:hint="eastAsia"/>
                <w:szCs w:val="24"/>
                <w:lang w:val="en-US" w:eastAsia="zh-CN"/>
              </w:rPr>
              <w:t>[redacted, contained business sensitive information]</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59F4AF">
            <w:pPr>
              <w:spacing w:line="22" w:lineRule="atLeast"/>
              <w:rPr>
                <w:color w:val="000000"/>
              </w:rPr>
            </w:pPr>
            <w:r>
              <w:rPr>
                <w:rFonts w:hint="eastAsia"/>
                <w:szCs w:val="24"/>
                <w:lang w:val="en-US" w:eastAsia="zh-CN"/>
              </w:rPr>
              <w:t>[redacted, contained business sensitive information]</w:t>
            </w: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2146B75">
            <w:pPr>
              <w:spacing w:line="22" w:lineRule="atLeast"/>
              <w:rPr>
                <w:rFonts w:hint="default"/>
                <w:color w:val="000000"/>
                <w:lang w:val="en-US" w:eastAsia="zh-CN"/>
              </w:rPr>
            </w:pPr>
            <w:r>
              <w:rPr>
                <w:rFonts w:hint="eastAsia"/>
                <w:szCs w:val="24"/>
                <w:lang w:val="en-US" w:eastAsia="zh-CN"/>
              </w:rPr>
              <w:t>[redacted, contained business sensitive information]</w:t>
            </w: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8999925">
            <w:pPr>
              <w:spacing w:line="22" w:lineRule="atLeast"/>
              <w:rPr>
                <w:rFonts w:hint="default"/>
                <w:color w:val="000000"/>
                <w:lang w:val="en-US"/>
              </w:rPr>
            </w:pPr>
            <w:r>
              <w:rPr>
                <w:rFonts w:hint="eastAsia"/>
                <w:szCs w:val="24"/>
                <w:lang w:val="en-US" w:eastAsia="zh-CN"/>
              </w:rPr>
              <w:t>[redacted, contained business sensitive information]</w:t>
            </w: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94E11C">
            <w:pPr>
              <w:spacing w:line="22" w:lineRule="atLeast"/>
              <w:rPr>
                <w:rFonts w:hint="default"/>
                <w:color w:val="000000"/>
                <w:lang w:val="en-US"/>
              </w:rPr>
            </w:pPr>
            <w:r>
              <w:rPr>
                <w:rFonts w:hint="eastAsia"/>
                <w:szCs w:val="24"/>
                <w:lang w:val="en-US" w:eastAsia="zh-CN"/>
              </w:rPr>
              <w:t>[redacted, contained business sensitive information]</w:t>
            </w:r>
          </w:p>
        </w:tc>
      </w:tr>
      <w:tr w14:paraId="2072CE85">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DE13C25">
            <w:pPr>
              <w:spacing w:line="22" w:lineRule="atLeast"/>
              <w:rPr>
                <w:color w:val="000000"/>
              </w:rPr>
            </w:pPr>
            <w:r>
              <w:rPr>
                <w:rFonts w:hint="eastAsia"/>
                <w:color w:val="000000"/>
                <w:lang w:val="en-US" w:eastAsia="zh-CN"/>
              </w:rPr>
              <w:t>Not applicable</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4CD1AF4">
            <w:pPr>
              <w:spacing w:line="22" w:lineRule="atLeast"/>
              <w:rPr>
                <w:color w:val="000000"/>
              </w:rPr>
            </w:pPr>
            <w:r>
              <w:rPr>
                <w:rFonts w:hint="eastAsia"/>
                <w:color w:val="000000"/>
                <w:lang w:val="en-US" w:eastAsia="zh-CN"/>
              </w:rPr>
              <w:t>Not applicable</w:t>
            </w: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B8FCF5E">
            <w:pPr>
              <w:spacing w:line="22" w:lineRule="atLeast"/>
              <w:rPr>
                <w:color w:val="000000"/>
              </w:rPr>
            </w:pPr>
            <w:r>
              <w:rPr>
                <w:rFonts w:hint="eastAsia"/>
                <w:color w:val="000000"/>
                <w:lang w:val="en-US" w:eastAsia="zh-CN"/>
              </w:rPr>
              <w:t>Not applicable</w:t>
            </w: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71322FE">
            <w:pPr>
              <w:spacing w:line="22" w:lineRule="atLeast"/>
              <w:rPr>
                <w:color w:val="000000"/>
              </w:rPr>
            </w:pPr>
            <w:r>
              <w:rPr>
                <w:rFonts w:hint="eastAsia"/>
                <w:color w:val="000000"/>
                <w:lang w:val="en-US" w:eastAsia="zh-CN"/>
              </w:rPr>
              <w:t>Not applicable</w:t>
            </w: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4321595">
            <w:pPr>
              <w:spacing w:line="22" w:lineRule="atLeast"/>
              <w:rPr>
                <w:color w:val="000000"/>
              </w:rPr>
            </w:pPr>
            <w:r>
              <w:rPr>
                <w:rFonts w:hint="eastAsia"/>
                <w:color w:val="000000"/>
                <w:lang w:val="en-US" w:eastAsia="zh-CN"/>
              </w:rPr>
              <w:t>Not applicable</w:t>
            </w:r>
          </w:p>
        </w:tc>
      </w:tr>
    </w:tbl>
    <w:p w14:paraId="6F69928A">
      <w:pPr>
        <w:spacing w:line="22" w:lineRule="atLeast"/>
        <w:rPr>
          <w:rFonts w:eastAsia="Arial"/>
          <w:color w:val="000000"/>
        </w:rPr>
      </w:pPr>
      <w:r>
        <w:rPr>
          <w:rFonts w:eastAsia="Arial"/>
          <w:color w:val="000000"/>
        </w:rPr>
        <w:t>Add additional rows as required</w:t>
      </w:r>
    </w:p>
    <w:p w14:paraId="4027AA4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szCs w:val="24"/>
        </w:rPr>
        <w:t>TRA’s public guidance</w:t>
      </w:r>
      <w:r>
        <w:rPr>
          <w:rStyle w:val="27"/>
          <w:rFonts w:eastAsia="Yu Gothic Light"/>
          <w:szCs w:val="24"/>
        </w:rPr>
        <w:fldChar w:fldCharType="end"/>
      </w:r>
      <w:r>
        <w:rPr>
          <w:color w:val="C00000"/>
          <w:szCs w:val="24"/>
        </w:rPr>
        <w:t>.</w:t>
      </w:r>
    </w:p>
    <w:p w14:paraId="4CBB254D">
      <w:pPr>
        <w:rPr>
          <w:lang w:eastAsia="zh-CN"/>
        </w:rPr>
      </w:pPr>
    </w:p>
    <w:p w14:paraId="4292E2D3">
      <w:pPr>
        <w:pStyle w:val="3"/>
      </w:pPr>
      <w:r>
        <w:t>B5. Particular market situation</w:t>
      </w:r>
    </w:p>
    <w:p w14:paraId="1814890E">
      <w:pPr>
        <w:spacing w:line="22" w:lineRule="atLeast"/>
        <w:rPr>
          <w:rFonts w:eastAsia="Yu Gothic"/>
          <w:color w:val="000000"/>
          <w:szCs w:val="24"/>
        </w:rPr>
      </w:pPr>
    </w:p>
    <w:p w14:paraId="66DA8DBD">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697C7994">
      <w:pPr>
        <w:spacing w:line="22" w:lineRule="atLeast"/>
        <w:rPr>
          <w:rFonts w:eastAsia="Yu Gothic"/>
          <w:color w:val="000000"/>
          <w:szCs w:val="24"/>
        </w:rPr>
      </w:pPr>
    </w:p>
    <w:p w14:paraId="67510E83">
      <w:pPr>
        <w:pStyle w:val="43"/>
        <w:numPr>
          <w:ilvl w:val="0"/>
          <w:numId w:val="17"/>
        </w:numPr>
      </w:pPr>
      <w:r>
        <w:rPr>
          <w:rFonts w:eastAsia="Yu Gothic"/>
          <w:color w:val="000000"/>
        </w:rPr>
        <w:t>The applicant alleged that there is a particular market situation</w:t>
      </w:r>
      <w:r>
        <w:rPr>
          <w:rStyle w:val="29"/>
          <w:rFonts w:eastAsia="Yu Gothic"/>
          <w:color w:val="000000"/>
        </w:rPr>
        <w:footnoteReference w:id="1"/>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2BA69913">
      <w:pPr>
        <w:pStyle w:val="43"/>
        <w:numPr>
          <w:ilvl w:val="0"/>
          <w:numId w:val="18"/>
        </w:numPr>
        <w:suppressAutoHyphens w:val="0"/>
        <w:textAlignment w:val="auto"/>
      </w:pPr>
      <w:r>
        <w:t>Prices are artificially low;</w:t>
      </w:r>
    </w:p>
    <w:p w14:paraId="314B2D71">
      <w:pPr>
        <w:pStyle w:val="43"/>
        <w:numPr>
          <w:ilvl w:val="0"/>
          <w:numId w:val="18"/>
        </w:numPr>
        <w:suppressAutoHyphens w:val="0"/>
        <w:textAlignment w:val="auto"/>
      </w:pPr>
      <w:r>
        <w:t>There is significant barter trade (e.g. goods exchanged for other goods);</w:t>
      </w:r>
    </w:p>
    <w:p w14:paraId="2C1B2317">
      <w:pPr>
        <w:pStyle w:val="43"/>
        <w:numPr>
          <w:ilvl w:val="0"/>
          <w:numId w:val="18"/>
        </w:numPr>
        <w:suppressAutoHyphens w:val="0"/>
        <w:textAlignment w:val="auto"/>
      </w:pPr>
      <w:r>
        <w:t xml:space="preserve">Prices reflect non-commercial factors; or </w:t>
      </w:r>
    </w:p>
    <w:p w14:paraId="20AA1B24">
      <w:pPr>
        <w:pStyle w:val="43"/>
        <w:numPr>
          <w:ilvl w:val="0"/>
          <w:numId w:val="18"/>
        </w:numPr>
        <w:suppressAutoHyphens w:val="0"/>
        <w:textAlignment w:val="auto"/>
      </w:pPr>
      <w:r>
        <w:t>Anything else</w:t>
      </w:r>
    </w:p>
    <w:tbl>
      <w:tblPr>
        <w:tblStyle w:val="23"/>
        <w:tblW w:w="9751" w:type="dxa"/>
        <w:tblInd w:w="0" w:type="dxa"/>
        <w:tblLayout w:type="autofit"/>
        <w:tblCellMar>
          <w:top w:w="0" w:type="dxa"/>
          <w:left w:w="10" w:type="dxa"/>
          <w:bottom w:w="0" w:type="dxa"/>
          <w:right w:w="10" w:type="dxa"/>
        </w:tblCellMar>
      </w:tblPr>
      <w:tblGrid>
        <w:gridCol w:w="9751"/>
      </w:tblGrid>
      <w:tr w14:paraId="05AB2BBF">
        <w:trPr>
          <w:trHeight w:val="12556"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3B6194F">
            <w:pPr>
              <w:pStyle w:val="43"/>
              <w:spacing w:line="22" w:lineRule="atLeast"/>
              <w:ind w:left="0"/>
              <w:rPr>
                <w:lang w:val="en-US" w:eastAsia="zh-CN"/>
              </w:rPr>
            </w:pPr>
            <w:r>
              <w:rPr>
                <w:rFonts w:hint="eastAsia"/>
                <w:lang w:val="en-US" w:eastAsia="zh-CN"/>
              </w:rPr>
              <w:t>Fronteq Changzhou does not consider that there is a particular market situation in the PRC</w:t>
            </w:r>
          </w:p>
          <w:p w14:paraId="47FCBC4F">
            <w:pPr>
              <w:pStyle w:val="43"/>
              <w:spacing w:line="22" w:lineRule="atLeast"/>
              <w:ind w:left="0"/>
              <w:rPr>
                <w:lang w:val="en-US" w:eastAsia="zh-CN"/>
              </w:rPr>
            </w:pPr>
          </w:p>
          <w:p w14:paraId="09DE20EC">
            <w:pPr>
              <w:pStyle w:val="43"/>
              <w:spacing w:line="22" w:lineRule="atLeast"/>
              <w:ind w:left="0"/>
              <w:rPr>
                <w:rFonts w:hint="eastAsia"/>
                <w:lang w:val="en-US" w:eastAsia="zh-CN"/>
              </w:rPr>
            </w:pPr>
            <w:r>
              <w:rPr>
                <w:rFonts w:hint="eastAsia"/>
                <w:lang w:val="en-US" w:eastAsia="zh-CN"/>
              </w:rPr>
              <w:t>The three criteria for constituting a particular market situation as set out in The Trade Remedies (Dumping and Subsidisation) (EU Exit) Regulations 2019 are:</w:t>
            </w:r>
          </w:p>
          <w:p w14:paraId="25E9271E">
            <w:pPr>
              <w:pStyle w:val="43"/>
              <w:numPr>
                <w:ilvl w:val="0"/>
                <w:numId w:val="19"/>
              </w:numPr>
              <w:spacing w:line="22" w:lineRule="atLeast"/>
              <w:ind w:left="425" w:hanging="425"/>
              <w:rPr>
                <w:rFonts w:hint="eastAsia"/>
                <w:lang w:val="en-US" w:eastAsia="zh-CN"/>
              </w:rPr>
            </w:pPr>
            <w:r>
              <w:rPr>
                <w:rFonts w:hint="eastAsia"/>
                <w:lang w:val="en-US" w:eastAsia="zh-CN"/>
              </w:rPr>
              <w:t>prices are artificially low;</w:t>
            </w:r>
          </w:p>
          <w:p w14:paraId="29C5D0EA">
            <w:pPr>
              <w:pStyle w:val="43"/>
              <w:numPr>
                <w:ilvl w:val="0"/>
                <w:numId w:val="19"/>
              </w:numPr>
              <w:spacing w:line="22" w:lineRule="atLeast"/>
              <w:ind w:left="425" w:hanging="425"/>
              <w:rPr>
                <w:rFonts w:hint="eastAsia"/>
                <w:lang w:val="en-US" w:eastAsia="zh-CN"/>
              </w:rPr>
            </w:pPr>
            <w:r>
              <w:rPr>
                <w:rFonts w:hint="eastAsia"/>
                <w:lang w:val="en-US" w:eastAsia="zh-CN"/>
              </w:rPr>
              <w:t>there is significant barter trade;</w:t>
            </w:r>
          </w:p>
          <w:p w14:paraId="211CC722">
            <w:pPr>
              <w:pStyle w:val="43"/>
              <w:numPr>
                <w:ilvl w:val="0"/>
                <w:numId w:val="19"/>
              </w:numPr>
              <w:spacing w:line="22" w:lineRule="atLeast"/>
              <w:ind w:left="425" w:hanging="425"/>
              <w:rPr>
                <w:rFonts w:hint="eastAsia"/>
                <w:lang w:val="en-US" w:eastAsia="zh-CN"/>
              </w:rPr>
            </w:pPr>
            <w:r>
              <w:rPr>
                <w:rFonts w:hint="eastAsia"/>
                <w:lang w:val="en-US" w:eastAsia="zh-CN"/>
              </w:rPr>
              <w:t>prices reflect non-commercial factors.</w:t>
            </w:r>
          </w:p>
          <w:p w14:paraId="611CAD85">
            <w:pPr>
              <w:pStyle w:val="43"/>
              <w:spacing w:line="22" w:lineRule="atLeast"/>
              <w:ind w:left="0"/>
              <w:rPr>
                <w:rFonts w:hint="eastAsia"/>
                <w:lang w:val="en-US" w:eastAsia="zh-CN"/>
              </w:rPr>
            </w:pPr>
            <w:r>
              <w:rPr>
                <w:rFonts w:hint="eastAsia"/>
                <w:lang w:val="en-US" w:eastAsia="zh-CN"/>
              </w:rPr>
              <w:t xml:space="preserve"> </w:t>
            </w:r>
          </w:p>
          <w:p w14:paraId="1027E700">
            <w:pPr>
              <w:pStyle w:val="43"/>
              <w:spacing w:line="22" w:lineRule="atLeast"/>
              <w:ind w:left="0"/>
              <w:rPr>
                <w:rFonts w:hint="eastAsia"/>
                <w:lang w:val="en-US" w:eastAsia="zh-CN"/>
              </w:rPr>
            </w:pPr>
          </w:p>
          <w:p w14:paraId="2BA02D73">
            <w:pPr>
              <w:pStyle w:val="43"/>
              <w:spacing w:line="22" w:lineRule="atLeast"/>
              <w:ind w:left="0"/>
              <w:rPr>
                <w:rFonts w:hint="eastAsia"/>
                <w:lang w:val="en-US" w:eastAsia="zh-CN"/>
              </w:rPr>
            </w:pPr>
            <w:r>
              <w:rPr>
                <w:rFonts w:hint="eastAsia"/>
                <w:lang w:val="en-US" w:eastAsia="zh-CN"/>
              </w:rPr>
              <w:t xml:space="preserve">Fronteq Changzhou believes that none of these scenarios exists in the Chinese boom lift industry, or the upstream market based on that fact that: </w:t>
            </w:r>
          </w:p>
          <w:p w14:paraId="06DD4074">
            <w:pPr>
              <w:pStyle w:val="43"/>
              <w:numPr>
                <w:ilvl w:val="0"/>
                <w:numId w:val="20"/>
              </w:numPr>
              <w:spacing w:line="22" w:lineRule="atLeast"/>
              <w:ind w:left="425" w:hanging="425"/>
              <w:rPr>
                <w:rFonts w:hint="eastAsia"/>
                <w:lang w:val="en-US" w:eastAsia="zh-CN"/>
              </w:rPr>
            </w:pPr>
            <w:r>
              <w:rPr>
                <w:rFonts w:hint="eastAsia"/>
                <w:lang w:val="en-US" w:eastAsia="zh-CN"/>
              </w:rPr>
              <w:t>Pricing for all boom lifts is negotiated by sellers and customers in market conditions. There is no existence of “artificially low prices”.</w:t>
            </w:r>
          </w:p>
          <w:p w14:paraId="7B3D0561">
            <w:pPr>
              <w:pStyle w:val="43"/>
              <w:numPr>
                <w:ilvl w:val="0"/>
                <w:numId w:val="20"/>
              </w:numPr>
              <w:spacing w:line="22" w:lineRule="atLeast"/>
              <w:ind w:left="425" w:hanging="425"/>
              <w:rPr>
                <w:rFonts w:hint="eastAsia"/>
                <w:lang w:val="en-US" w:eastAsia="zh-CN"/>
              </w:rPr>
            </w:pPr>
            <w:r>
              <w:rPr>
                <w:rFonts w:hint="eastAsia"/>
                <w:lang w:val="en-US" w:eastAsia="zh-CN"/>
              </w:rPr>
              <w:t>There is also no barter trade.</w:t>
            </w:r>
          </w:p>
          <w:p w14:paraId="709DA377">
            <w:pPr>
              <w:pStyle w:val="43"/>
              <w:numPr>
                <w:ilvl w:val="0"/>
                <w:numId w:val="20"/>
              </w:numPr>
              <w:spacing w:line="22" w:lineRule="atLeast"/>
              <w:ind w:left="425" w:hanging="425"/>
              <w:rPr>
                <w:lang w:val="en-US" w:eastAsia="zh-CN"/>
              </w:rPr>
            </w:pPr>
            <w:r>
              <w:rPr>
                <w:rFonts w:hint="eastAsia"/>
                <w:lang w:val="en-US" w:eastAsia="zh-CN"/>
              </w:rPr>
              <w:t>There is also no existence of “non-commercial factors”. The Chinese government is not involved in pricing processes.</w:t>
            </w:r>
          </w:p>
          <w:p w14:paraId="09EC9EF1">
            <w:pPr>
              <w:pStyle w:val="43"/>
              <w:numPr>
                <w:ilvl w:val="-1"/>
                <w:numId w:val="0"/>
              </w:numPr>
              <w:spacing w:line="22" w:lineRule="atLeast"/>
              <w:ind w:left="0" w:firstLine="0"/>
              <w:rPr>
                <w:rFonts w:hint="eastAsia"/>
                <w:lang w:val="en-US" w:eastAsia="zh-CN"/>
              </w:rPr>
            </w:pPr>
          </w:p>
          <w:p w14:paraId="310740C9">
            <w:pPr>
              <w:pStyle w:val="43"/>
              <w:numPr>
                <w:ilvl w:val="-1"/>
                <w:numId w:val="0"/>
              </w:numPr>
              <w:spacing w:line="22" w:lineRule="atLeast"/>
              <w:ind w:left="0" w:firstLine="0"/>
              <w:rPr>
                <w:rFonts w:hint="eastAsia"/>
                <w:lang w:val="en-US" w:eastAsia="zh-CN"/>
              </w:rPr>
            </w:pPr>
            <w:r>
              <w:rPr>
                <w:rFonts w:hint="eastAsia"/>
                <w:lang w:val="en-US" w:eastAsia="zh-CN"/>
              </w:rPr>
              <w:t>Within the application form, the petitioner raised the following aspects to support its allegations on the existence of particular market situation on Chinese boom lifts domestic market:</w:t>
            </w:r>
          </w:p>
          <w:p w14:paraId="5D6D8696">
            <w:pPr>
              <w:pStyle w:val="43"/>
              <w:numPr>
                <w:ilvl w:val="0"/>
                <w:numId w:val="21"/>
              </w:numPr>
              <w:spacing w:line="22" w:lineRule="atLeast"/>
              <w:ind w:left="425" w:hanging="425"/>
              <w:rPr>
                <w:rFonts w:hint="eastAsia"/>
                <w:lang w:val="en-US" w:eastAsia="zh-CN"/>
              </w:rPr>
            </w:pPr>
            <w:r>
              <w:rPr>
                <w:rFonts w:hint="eastAsia"/>
                <w:lang w:val="en-US" w:eastAsia="zh-CN"/>
              </w:rPr>
              <w:t>State presence and intervention lead to the distortion;</w:t>
            </w:r>
          </w:p>
          <w:p w14:paraId="2DBF27C0">
            <w:pPr>
              <w:pStyle w:val="43"/>
              <w:numPr>
                <w:ilvl w:val="0"/>
                <w:numId w:val="21"/>
              </w:numPr>
              <w:spacing w:line="22" w:lineRule="atLeast"/>
              <w:ind w:left="425" w:hanging="425"/>
              <w:rPr>
                <w:rFonts w:hint="eastAsia"/>
                <w:lang w:val="en-US" w:eastAsia="zh-CN"/>
              </w:rPr>
            </w:pPr>
            <w:r>
              <w:rPr>
                <w:rFonts w:hint="eastAsia"/>
                <w:lang w:val="en-US" w:eastAsia="zh-CN"/>
              </w:rPr>
              <w:t>Legal and business environment have preference;</w:t>
            </w:r>
          </w:p>
          <w:p w14:paraId="61322BAC">
            <w:pPr>
              <w:pStyle w:val="43"/>
              <w:numPr>
                <w:ilvl w:val="0"/>
                <w:numId w:val="21"/>
              </w:numPr>
              <w:spacing w:line="22" w:lineRule="atLeast"/>
              <w:ind w:left="425" w:hanging="425"/>
              <w:rPr>
                <w:lang w:val="en-US" w:eastAsia="zh-CN"/>
              </w:rPr>
            </w:pPr>
            <w:r>
              <w:rPr>
                <w:rFonts w:hint="eastAsia"/>
                <w:lang w:val="en-US" w:eastAsia="zh-CN"/>
              </w:rPr>
              <w:t>Distortion on the boom lift market and related market and cost.</w:t>
            </w:r>
          </w:p>
          <w:p w14:paraId="215FF6B7">
            <w:pPr>
              <w:pStyle w:val="43"/>
              <w:numPr>
                <w:ilvl w:val="-1"/>
                <w:numId w:val="0"/>
              </w:numPr>
              <w:spacing w:line="22" w:lineRule="atLeast"/>
              <w:ind w:left="0" w:firstLine="0"/>
              <w:rPr>
                <w:rFonts w:hint="eastAsia"/>
                <w:lang w:val="en-US" w:eastAsia="zh-CN"/>
              </w:rPr>
            </w:pPr>
          </w:p>
          <w:p w14:paraId="09F4822F">
            <w:pPr>
              <w:pStyle w:val="43"/>
              <w:numPr>
                <w:ilvl w:val="-1"/>
                <w:numId w:val="0"/>
              </w:numPr>
              <w:spacing w:line="22" w:lineRule="atLeast"/>
              <w:ind w:left="0" w:firstLine="0"/>
              <w:rPr>
                <w:rFonts w:hint="default"/>
                <w:lang w:val="en-US" w:eastAsia="zh-CN"/>
              </w:rPr>
            </w:pPr>
            <w:r>
              <w:rPr>
                <w:rFonts w:hint="eastAsia"/>
                <w:lang w:val="en-US" w:eastAsia="zh-CN"/>
              </w:rPr>
              <w:t>Fronteq Changzhou maintains that the alleged market distortions are unsubstantiated, and none of the documents nor the information cited by the petitioner can conclusively demonstrate the existence of the claimed state interventions in China’s boom lift industry. Below are the counterargument based on the information as far as Fronteq Changzhou knows:</w:t>
            </w:r>
          </w:p>
          <w:p w14:paraId="5B8D4354">
            <w:pPr>
              <w:pStyle w:val="43"/>
              <w:numPr>
                <w:ilvl w:val="-1"/>
                <w:numId w:val="0"/>
              </w:numPr>
              <w:spacing w:line="22" w:lineRule="atLeast"/>
              <w:ind w:left="0" w:firstLine="0"/>
              <w:rPr>
                <w:rFonts w:hint="eastAsia"/>
                <w:lang w:val="en-US" w:eastAsia="zh-CN"/>
              </w:rPr>
            </w:pPr>
          </w:p>
          <w:p w14:paraId="1508A868">
            <w:pPr>
              <w:pStyle w:val="43"/>
              <w:numPr>
                <w:ilvl w:val="0"/>
                <w:numId w:val="22"/>
              </w:numPr>
              <w:spacing w:line="22" w:lineRule="atLeast"/>
              <w:ind w:left="425" w:hanging="425"/>
              <w:rPr>
                <w:lang w:val="en-US" w:eastAsia="zh-CN"/>
              </w:rPr>
            </w:pPr>
            <w:r>
              <w:rPr>
                <w:rFonts w:hint="eastAsia"/>
                <w:lang w:val="en-US" w:eastAsia="zh-CN"/>
              </w:rPr>
              <w:t>China's boom lift sector is majorly driven by dynamic private enterprises, characterized by intense competition and rapid technological iteration. Government intervention could rather potentially disrupt the normal development of both local companies and the industry as a whole.</w:t>
            </w:r>
          </w:p>
          <w:p w14:paraId="4690B86A">
            <w:pPr>
              <w:pStyle w:val="43"/>
              <w:numPr>
                <w:ilvl w:val="0"/>
                <w:numId w:val="22"/>
              </w:numPr>
              <w:spacing w:line="22" w:lineRule="atLeast"/>
              <w:ind w:left="425" w:hanging="425"/>
              <w:rPr>
                <w:lang w:val="en-US" w:eastAsia="zh-CN"/>
              </w:rPr>
            </w:pPr>
            <w:r>
              <w:rPr>
                <w:rFonts w:hint="eastAsia"/>
                <w:lang w:val="en-US" w:eastAsia="zh-CN"/>
              </w:rPr>
              <w:t>China has consistently adhered to the principles of equality and openness in its market. All laws, regulations, and policy measures are designed to create a fair, just, and non-discriminatory business environment for all enterprises. Moreover, the examples cited pertain to the telecommunications and aluminum industries and do not directly relate to the boom lift sector.</w:t>
            </w:r>
          </w:p>
          <w:p w14:paraId="1C9C7AB7">
            <w:pPr>
              <w:pStyle w:val="43"/>
              <w:numPr>
                <w:ilvl w:val="0"/>
                <w:numId w:val="22"/>
              </w:numPr>
              <w:spacing w:line="22" w:lineRule="atLeast"/>
              <w:ind w:left="425" w:hanging="425"/>
              <w:rPr>
                <w:rFonts w:hint="eastAsia"/>
                <w:lang w:val="en-US" w:eastAsia="zh-CN"/>
              </w:rPr>
            </w:pPr>
            <w:r>
              <w:rPr>
                <w:rFonts w:hint="eastAsia"/>
                <w:lang w:val="en-US" w:eastAsia="zh-CN"/>
              </w:rPr>
              <w:t>Furthermore, the policy support provided by the Chinese government encourages industrial upgrading and technological innovation. These policies are universally accessible to all enterprises, fully consistent with the WTO's principle of non-discrimination, and designed to enhance the industry's overall competitiveness—not to distort production costs. Chinese enterprises strictly adhere to accounting standards, the Labor Law, and international labor standards, also ensuring that no production cost distortions exist.</w:t>
            </w:r>
          </w:p>
          <w:p w14:paraId="7ED252DA">
            <w:pPr>
              <w:pStyle w:val="43"/>
              <w:numPr>
                <w:ilvl w:val="-1"/>
                <w:numId w:val="0"/>
              </w:numPr>
              <w:spacing w:line="22" w:lineRule="atLeast"/>
              <w:ind w:left="0" w:firstLine="0"/>
              <w:rPr>
                <w:rFonts w:hint="eastAsia"/>
                <w:lang w:val="en-US" w:eastAsia="zh-CN"/>
              </w:rPr>
            </w:pPr>
          </w:p>
          <w:p w14:paraId="3FFCA728">
            <w:pPr>
              <w:pStyle w:val="43"/>
              <w:numPr>
                <w:ilvl w:val="-1"/>
                <w:numId w:val="0"/>
              </w:numPr>
              <w:spacing w:line="22" w:lineRule="atLeast"/>
              <w:ind w:left="0" w:firstLine="0"/>
              <w:rPr>
                <w:lang w:val="en-US" w:eastAsia="zh-CN"/>
              </w:rPr>
            </w:pPr>
            <w:r>
              <w:rPr>
                <w:rFonts w:hint="eastAsia"/>
                <w:lang w:val="en-US" w:eastAsia="zh-CN"/>
              </w:rPr>
              <w:t>Thus, the petitioner lacks a comprehensive understanding of the actual operational mechanisms of the Chinese boom lift market. Their allegations and the information they cite fail to accurately reflect the true conditions of China's market environment.</w:t>
            </w:r>
          </w:p>
        </w:tc>
      </w:tr>
    </w:tbl>
    <w:p w14:paraId="12B9F397">
      <w:pPr>
        <w:rPr>
          <w:rFonts w:eastAsia="Yu Gothic"/>
          <w:color w:val="000000"/>
          <w:szCs w:val="24"/>
        </w:rPr>
      </w:pPr>
    </w:p>
    <w:p w14:paraId="02C299FD">
      <w:pPr>
        <w:pStyle w:val="43"/>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7E9A1FE0">
      <w:pPr>
        <w:pStyle w:val="43"/>
        <w:numPr>
          <w:ilvl w:val="0"/>
          <w:numId w:val="23"/>
        </w:numPr>
        <w:rPr>
          <w:rFonts w:eastAsia="Yu Gothic"/>
          <w:color w:val="000000"/>
          <w:szCs w:val="24"/>
        </w:rPr>
      </w:pPr>
      <w:r>
        <w:rPr>
          <w:rFonts w:eastAsia="Yu Gothic"/>
          <w:color w:val="000000"/>
          <w:szCs w:val="24"/>
        </w:rPr>
        <w:t>Electronics;</w:t>
      </w:r>
    </w:p>
    <w:p w14:paraId="79C5D194">
      <w:pPr>
        <w:pStyle w:val="43"/>
        <w:numPr>
          <w:ilvl w:val="0"/>
          <w:numId w:val="23"/>
        </w:numPr>
        <w:rPr>
          <w:rFonts w:eastAsia="Yu Gothic"/>
          <w:color w:val="000000"/>
          <w:szCs w:val="24"/>
        </w:rPr>
      </w:pPr>
      <w:r>
        <w:rPr>
          <w:rFonts w:eastAsia="Yu Gothic"/>
          <w:color w:val="000000"/>
          <w:szCs w:val="24"/>
        </w:rPr>
        <w:t>Engine;</w:t>
      </w:r>
    </w:p>
    <w:p w14:paraId="35061F9D">
      <w:pPr>
        <w:pStyle w:val="43"/>
        <w:numPr>
          <w:ilvl w:val="0"/>
          <w:numId w:val="23"/>
        </w:numPr>
        <w:rPr>
          <w:rFonts w:eastAsia="Yu Gothic"/>
          <w:color w:val="000000"/>
          <w:szCs w:val="24"/>
        </w:rPr>
      </w:pPr>
      <w:r>
        <w:rPr>
          <w:rFonts w:eastAsia="Yu Gothic"/>
          <w:color w:val="000000"/>
          <w:szCs w:val="24"/>
        </w:rPr>
        <w:t>Plastics;</w:t>
      </w:r>
    </w:p>
    <w:p w14:paraId="46F7A5D2">
      <w:pPr>
        <w:pStyle w:val="43"/>
        <w:numPr>
          <w:ilvl w:val="0"/>
          <w:numId w:val="23"/>
        </w:numPr>
        <w:rPr>
          <w:rFonts w:eastAsia="Yu Gothic"/>
          <w:color w:val="000000"/>
          <w:szCs w:val="24"/>
        </w:rPr>
      </w:pPr>
      <w:r>
        <w:rPr>
          <w:rFonts w:eastAsia="Yu Gothic"/>
          <w:color w:val="000000"/>
          <w:szCs w:val="24"/>
        </w:rPr>
        <w:t>Hydraulics; and</w:t>
      </w:r>
    </w:p>
    <w:p w14:paraId="25A156B0">
      <w:pPr>
        <w:pStyle w:val="43"/>
        <w:numPr>
          <w:ilvl w:val="0"/>
          <w:numId w:val="23"/>
        </w:numPr>
        <w:rPr>
          <w:rFonts w:eastAsia="Yu Gothic"/>
          <w:color w:val="000000"/>
          <w:szCs w:val="24"/>
        </w:rPr>
      </w:pPr>
      <w:r>
        <w:rPr>
          <w:rFonts w:eastAsia="Yu Gothic"/>
          <w:color w:val="000000"/>
          <w:szCs w:val="24"/>
        </w:rPr>
        <w:t>Steel (where not included in a prior category).</w:t>
      </w:r>
    </w:p>
    <w:p w14:paraId="398758E8">
      <w:pPr>
        <w:rPr>
          <w:rFonts w:eastAsia="Yu Gothic"/>
          <w:color w:val="000000"/>
          <w:szCs w:val="24"/>
        </w:rPr>
      </w:pPr>
    </w:p>
    <w:p w14:paraId="186A9440">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4BC6182B">
      <w:pPr>
        <w:pStyle w:val="70"/>
        <w:shd w:val="clear" w:color="auto" w:fill="FFFFFF"/>
        <w:spacing w:before="0" w:after="0"/>
        <w:rPr>
          <w:rFonts w:ascii="Arial" w:hAnsi="Arial" w:cs="Arial"/>
          <w:color w:val="242424"/>
          <w:sz w:val="22"/>
          <w:szCs w:val="22"/>
        </w:rPr>
      </w:pPr>
    </w:p>
    <w:tbl>
      <w:tblPr>
        <w:tblStyle w:val="23"/>
        <w:tblW w:w="9751" w:type="dxa"/>
        <w:tblInd w:w="0" w:type="dxa"/>
        <w:tblLayout w:type="autofit"/>
        <w:tblCellMar>
          <w:top w:w="0" w:type="dxa"/>
          <w:left w:w="10" w:type="dxa"/>
          <w:bottom w:w="0" w:type="dxa"/>
          <w:right w:w="10" w:type="dxa"/>
        </w:tblCellMar>
      </w:tblPr>
      <w:tblGrid>
        <w:gridCol w:w="9751"/>
      </w:tblGrid>
      <w:tr w14:paraId="72A38D22">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999F6F3">
            <w:pPr>
              <w:pStyle w:val="43"/>
              <w:spacing w:line="22" w:lineRule="atLeast"/>
              <w:ind w:left="0"/>
            </w:pPr>
            <w:r>
              <w:rPr>
                <w:rFonts w:hint="eastAsia"/>
                <w:lang w:val="en-US" w:eastAsia="zh-CN"/>
              </w:rPr>
              <w:t>Fronteq Changzhou does not have other comments on the list of largest material cost to make a boom lift currently, but reserve the right to comment in the future.</w:t>
            </w:r>
          </w:p>
        </w:tc>
      </w:tr>
    </w:tbl>
    <w:p w14:paraId="076A4EC9">
      <w:pPr>
        <w:pStyle w:val="3"/>
      </w:pPr>
    </w:p>
    <w:p w14:paraId="145D2B32">
      <w:pPr>
        <w:pStyle w:val="3"/>
      </w:pPr>
      <w:r>
        <w:t>B6. Representative Third country</w:t>
      </w:r>
    </w:p>
    <w:p w14:paraId="554EDD27">
      <w:pPr>
        <w:spacing w:line="22" w:lineRule="atLeast"/>
        <w:rPr>
          <w:rFonts w:eastAsia="Yu Gothic"/>
          <w:color w:val="000000"/>
          <w:szCs w:val="24"/>
        </w:rPr>
      </w:pPr>
    </w:p>
    <w:p w14:paraId="4D86FFA7">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4F0A8561">
      <w:pPr>
        <w:spacing w:line="22" w:lineRule="atLeast"/>
        <w:rPr>
          <w:rFonts w:eastAsia="Yu Gothic"/>
          <w:color w:val="000000"/>
          <w:szCs w:val="24"/>
        </w:rPr>
      </w:pPr>
    </w:p>
    <w:p w14:paraId="61ABC0AA">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150B1F37">
      <w:pPr>
        <w:spacing w:line="22" w:lineRule="atLeast"/>
        <w:rPr>
          <w:rFonts w:eastAsia="Yu Gothic"/>
          <w:color w:val="000000"/>
          <w:szCs w:val="24"/>
        </w:rPr>
      </w:pPr>
    </w:p>
    <w:p w14:paraId="66B93235">
      <w:pPr>
        <w:pStyle w:val="43"/>
        <w:numPr>
          <w:ilvl w:val="0"/>
          <w:numId w:val="24"/>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69C8020E">
      <w:pPr>
        <w:spacing w:line="22" w:lineRule="atLeast"/>
        <w:rPr>
          <w:rFonts w:eastAsia="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5E4443C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805554D">
            <w:pPr>
              <w:spacing w:line="22" w:lineRule="atLeast"/>
              <w:rPr>
                <w:rFonts w:hint="eastAsia"/>
                <w:lang w:val="en-US" w:eastAsia="zh-CN"/>
              </w:rPr>
            </w:pPr>
            <w:r>
              <w:rPr>
                <w:rFonts w:hint="eastAsia"/>
                <w:lang w:val="en-US" w:eastAsia="zh-CN"/>
              </w:rPr>
              <w:t xml:space="preserve">Fronteq Changzhou does not have other comments on the suggested representative country currently. </w:t>
            </w:r>
          </w:p>
          <w:p w14:paraId="6FE334C6">
            <w:pPr>
              <w:spacing w:line="22" w:lineRule="atLeast"/>
              <w:rPr>
                <w:rFonts w:hint="eastAsia"/>
                <w:lang w:val="en-US" w:eastAsia="zh-CN"/>
              </w:rPr>
            </w:pPr>
          </w:p>
          <w:p w14:paraId="3903B505">
            <w:pPr>
              <w:spacing w:line="22" w:lineRule="atLeast"/>
              <w:rPr>
                <w:color w:val="000000"/>
              </w:rPr>
            </w:pPr>
            <w:r>
              <w:rPr>
                <w:rFonts w:hint="eastAsia"/>
                <w:lang w:val="en-US" w:eastAsia="zh-CN"/>
              </w:rPr>
              <w:t>However, Fronteq Changzhou considers it is proper to use the domestic sales prices rather than price from a representative third country to make proper comparison with export prices. Fronteq Changzhou also reserves the right to comment in the future.</w:t>
            </w:r>
          </w:p>
        </w:tc>
      </w:tr>
    </w:tbl>
    <w:p w14:paraId="7BE9F825">
      <w:pPr>
        <w:spacing w:line="22" w:lineRule="atLeast"/>
        <w:rPr>
          <w:rFonts w:eastAsia="Yu Gothic"/>
          <w:color w:val="000000"/>
          <w:szCs w:val="24"/>
        </w:rPr>
      </w:pPr>
    </w:p>
    <w:p w14:paraId="59E19A20">
      <w:pPr>
        <w:pStyle w:val="43"/>
        <w:numPr>
          <w:ilvl w:val="0"/>
          <w:numId w:val="24"/>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3EE2B30A">
      <w:pPr>
        <w:spacing w:line="22" w:lineRule="atLeast"/>
        <w:rPr>
          <w:rFonts w:eastAsia="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59918C1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FB5250">
            <w:pPr>
              <w:spacing w:line="22" w:lineRule="atLeast"/>
              <w:rPr>
                <w:color w:val="000000"/>
                <w:lang w:val="en-US" w:eastAsia="zh-CN"/>
              </w:rPr>
            </w:pPr>
            <w:r>
              <w:rPr>
                <w:rFonts w:hint="eastAsia"/>
                <w:color w:val="000000"/>
                <w:lang w:val="en-US" w:eastAsia="zh-CN"/>
              </w:rPr>
              <w:t>Not applicable currently.</w:t>
            </w:r>
          </w:p>
        </w:tc>
      </w:tr>
    </w:tbl>
    <w:p w14:paraId="3FB7738B">
      <w:pPr>
        <w:spacing w:line="22" w:lineRule="atLeast"/>
        <w:rPr>
          <w:rFonts w:eastAsia="Yu Gothic"/>
          <w:color w:val="000000"/>
        </w:rPr>
      </w:pPr>
    </w:p>
    <w:p w14:paraId="7BD86FA3">
      <w:pPr>
        <w:pStyle w:val="43"/>
        <w:numPr>
          <w:ilvl w:val="0"/>
          <w:numId w:val="24"/>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393FBFBE">
      <w:pPr>
        <w:spacing w:line="22" w:lineRule="atLeast"/>
        <w:rPr>
          <w:rFonts w:eastAsia="Arial"/>
        </w:rPr>
      </w:pPr>
    </w:p>
    <w:tbl>
      <w:tblPr>
        <w:tblStyle w:val="23"/>
        <w:tblW w:w="9751" w:type="dxa"/>
        <w:tblInd w:w="0" w:type="dxa"/>
        <w:tblLayout w:type="autofit"/>
        <w:tblCellMar>
          <w:top w:w="0" w:type="dxa"/>
          <w:left w:w="10" w:type="dxa"/>
          <w:bottom w:w="0" w:type="dxa"/>
          <w:right w:w="10" w:type="dxa"/>
        </w:tblCellMar>
      </w:tblPr>
      <w:tblGrid>
        <w:gridCol w:w="9751"/>
      </w:tblGrid>
      <w:tr w14:paraId="2052A69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ABBBDB">
            <w:pPr>
              <w:spacing w:line="22" w:lineRule="atLeast"/>
            </w:pPr>
            <w:r>
              <w:rPr>
                <w:rFonts w:hint="eastAsia"/>
                <w:color w:val="000000"/>
                <w:lang w:val="en-US" w:eastAsia="zh-CN"/>
              </w:rPr>
              <w:t>Not applicable currently.</w:t>
            </w:r>
          </w:p>
        </w:tc>
      </w:tr>
    </w:tbl>
    <w:p w14:paraId="1DCE97A6">
      <w:pPr>
        <w:spacing w:line="22" w:lineRule="atLeast"/>
        <w:rPr>
          <w:rFonts w:eastAsia="Yu Gothic"/>
        </w:rPr>
      </w:pPr>
    </w:p>
    <w:p w14:paraId="199C8124">
      <w:pPr>
        <w:pStyle w:val="3"/>
      </w:pPr>
      <w:bookmarkStart w:id="20" w:name="_Toc110434001"/>
      <w:bookmarkStart w:id="21" w:name="_Toc115266764"/>
      <w:r>
        <w:t>B</w:t>
      </w:r>
      <w:bookmarkEnd w:id="20"/>
      <w:bookmarkEnd w:id="21"/>
      <w:r>
        <w:t>7. Other comments</w:t>
      </w:r>
    </w:p>
    <w:p w14:paraId="241300A5">
      <w:pPr>
        <w:rPr>
          <w:lang w:eastAsia="zh-CN"/>
        </w:rPr>
      </w:pPr>
    </w:p>
    <w:p w14:paraId="080C871F">
      <w:pPr>
        <w:pStyle w:val="43"/>
        <w:numPr>
          <w:ilvl w:val="0"/>
          <w:numId w:val="25"/>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63A8672F">
      <w:pPr>
        <w:spacing w:line="22" w:lineRule="atLeast"/>
        <w:rPr>
          <w:rFonts w:eastAsia="Arial"/>
          <w:color w:val="000000"/>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2576C3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E8B5562">
            <w:pPr>
              <w:spacing w:line="22" w:lineRule="atLeast"/>
              <w:rPr>
                <w:color w:val="000000"/>
                <w:szCs w:val="24"/>
                <w:lang w:val="en-US"/>
              </w:rPr>
            </w:pPr>
            <w:r>
              <w:rPr>
                <w:rFonts w:hint="eastAsia"/>
                <w:color w:val="000000"/>
                <w:lang w:val="en-US" w:eastAsia="zh-CN"/>
              </w:rPr>
              <w:t>Not applicable</w:t>
            </w:r>
          </w:p>
        </w:tc>
      </w:tr>
    </w:tbl>
    <w:p w14:paraId="7EE03F9E">
      <w:pPr>
        <w:spacing w:line="22" w:lineRule="atLeast"/>
        <w:rPr>
          <w:rFonts w:eastAsia="Yu Gothic"/>
          <w:color w:val="000000"/>
          <w:szCs w:val="24"/>
        </w:rPr>
      </w:pPr>
    </w:p>
    <w:p w14:paraId="7BF579F8">
      <w:pPr>
        <w:pStyle w:val="43"/>
        <w:numPr>
          <w:ilvl w:val="0"/>
          <w:numId w:val="25"/>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13551CC0">
      <w:pPr>
        <w:spacing w:line="22" w:lineRule="atLeast"/>
        <w:rPr>
          <w:rFonts w:eastAsia="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0C220B2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3CBCC1">
            <w:pPr>
              <w:spacing w:line="22" w:lineRule="atLeast"/>
              <w:rPr>
                <w:szCs w:val="24"/>
              </w:rPr>
            </w:pPr>
            <w:r>
              <w:rPr>
                <w:rFonts w:hint="eastAsia"/>
                <w:color w:val="000000"/>
                <w:lang w:val="en-US" w:eastAsia="zh-CN"/>
              </w:rPr>
              <w:t>Not applicable</w:t>
            </w:r>
          </w:p>
        </w:tc>
      </w:tr>
      <w:bookmarkEnd w:id="0"/>
      <w:bookmarkEnd w:id="3"/>
    </w:tbl>
    <w:p w14:paraId="134CA68F">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7"/>
          <w:rFonts w:eastAsia="Yu Gothic Light"/>
          <w:szCs w:val="24"/>
        </w:rPr>
        <w:t>TRA’s public guidance</w:t>
      </w:r>
      <w:r>
        <w:rPr>
          <w:rStyle w:val="27"/>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ksdb"/>
    <w:panose1 w:val="00000000000000000000"/>
    <w:charset w:val="00"/>
    <w:family w:val="swiss"/>
    <w:pitch w:val="default"/>
    <w:sig w:usb0="00000000" w:usb1="00000000" w:usb2="00000000" w:usb3="00000000" w:csb0="0000019F" w:csb1="00000000"/>
  </w:font>
  <w:font w:name="ksdb">
    <w:panose1 w:val="02000500000000000000"/>
    <w:charset w:val="00"/>
    <w:family w:val="auto"/>
    <w:pitch w:val="default"/>
    <w:sig w:usb0="00000001"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ksdb"/>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Arial-ItalicMT">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8D7C">
    <w:pPr>
      <w:pStyle w:val="14"/>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BCD2FD0">
      <w:pPr>
        <w:pStyle w:val="18"/>
      </w:pPr>
      <w:r>
        <w:rPr>
          <w:rStyle w:val="29"/>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7"/>
        </w:rPr>
        <w:t>https://www.gov.uk/government/publications/the-uk-trade-remedies-investigations-process/the-tras-investigation-process</w:t>
      </w:r>
      <w:r>
        <w:rPr>
          <w:rStyle w:val="27"/>
        </w:rPr>
        <w:fldChar w:fldCharType="end"/>
      </w:r>
      <w:r>
        <w:t xml:space="preserve"> </w:t>
      </w:r>
    </w:p>
    <w:p w14:paraId="39B02D28"/>
    <w:p w14:paraId="36C13544"/>
    <w:p w14:paraId="2D255476"/>
  </w:footnote>
  <w:footnote w:id="1">
    <w:p w14:paraId="0C25F5C8">
      <w:pPr>
        <w:pStyle w:val="18"/>
      </w:pPr>
      <w:r>
        <w:rPr>
          <w:rStyle w:val="29"/>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7"/>
        </w:rPr>
        <w:t>Determining dumping and anti-dumping duties - GOV.UK</w:t>
      </w:r>
      <w:r>
        <w:rPr>
          <w:rStyle w:val="27"/>
        </w:rPr>
        <w:fldChar w:fldCharType="end"/>
      </w:r>
    </w:p>
    <w:p w14:paraId="2752B500"/>
    <w:p w14:paraId="2AF69572"/>
    <w:p w14:paraId="50D005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10065" w:type="dxa"/>
      <w:tblInd w:w="-147" w:type="dxa"/>
      <w:tblLayout w:type="autofit"/>
      <w:tblCellMar>
        <w:top w:w="0" w:type="dxa"/>
        <w:left w:w="10" w:type="dxa"/>
        <w:bottom w:w="0" w:type="dxa"/>
        <w:right w:w="10" w:type="dxa"/>
      </w:tblCellMar>
    </w:tblPr>
    <w:tblGrid>
      <w:gridCol w:w="3119"/>
      <w:gridCol w:w="3005"/>
      <w:gridCol w:w="3941"/>
    </w:tblGrid>
    <w:tr w14:paraId="0E562002">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B657880">
          <w:pPr>
            <w:spacing w:before="20" w:after="20"/>
          </w:pPr>
          <w:bookmarkStart w:id="22" w:name="_Hlk43194599"/>
          <w:r>
            <w:drawing>
              <wp:inline distT="0" distB="0" distL="0" distR="0">
                <wp:extent cx="1434465" cy="809625"/>
                <wp:effectExtent l="0" t="0" r="0" b="9148"/>
                <wp:docPr id="1126918215" name="Picture 2"/>
                <wp:cNvGraphicFramePr/>
                <a:graphic xmlns:a="http://schemas.openxmlformats.org/drawingml/2006/main">
                  <a:graphicData uri="http://schemas.openxmlformats.org/drawingml/2006/picture">
                    <pic:pic xmlns:pic="http://schemas.openxmlformats.org/drawingml/2006/picture">
                      <pic:nvPicPr>
                        <pic:cNvPr id="1126918215"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0ECC9FE5">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5B1EBC0D">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52130D7">
          <w:pPr>
            <w:pStyle w:val="50"/>
            <w:spacing w:after="60"/>
            <w:ind w:left="1424"/>
            <w:rPr>
              <w:rFonts w:ascii="Arial" w:hAnsi="Arial"/>
              <w:sz w:val="19"/>
              <w:szCs w:val="19"/>
            </w:rPr>
          </w:pPr>
          <w:bookmarkStart w:id="23" w:name="_Hlk43194575"/>
          <w:r>
            <w:rPr>
              <w:rFonts w:ascii="Arial" w:hAnsi="Arial"/>
              <w:sz w:val="19"/>
              <w:szCs w:val="19"/>
            </w:rPr>
            <w:t xml:space="preserve">Registration form and </w:t>
          </w:r>
        </w:p>
        <w:p w14:paraId="255B7416">
          <w:pPr>
            <w:pStyle w:val="50"/>
            <w:spacing w:after="60"/>
            <w:jc w:val="right"/>
            <w:rPr>
              <w:rFonts w:ascii="Arial" w:hAnsi="Arial"/>
              <w:sz w:val="19"/>
              <w:szCs w:val="19"/>
            </w:rPr>
          </w:pPr>
          <w:r>
            <w:rPr>
              <w:rFonts w:ascii="Arial" w:hAnsi="Arial"/>
              <w:sz w:val="19"/>
              <w:szCs w:val="19"/>
            </w:rPr>
            <w:t>Pre-sampling questionnaire</w:t>
          </w:r>
        </w:p>
        <w:p w14:paraId="40812A83">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3648B81C">
          <w:pPr>
            <w:tabs>
              <w:tab w:val="left" w:pos="2133"/>
            </w:tabs>
            <w:spacing w:line="22" w:lineRule="atLeast"/>
            <w:ind w:left="1566" w:firstLine="142"/>
          </w:pPr>
          <w:r>
            <w:rPr>
              <w:rFonts w:hint="eastAsia"/>
              <w:color w:val="FF0000"/>
              <w:sz w:val="18"/>
              <w:szCs w:val="24"/>
              <w:lang w:eastAsia="zh-CN"/>
            </w:rPr>
            <w:t>☑</w:t>
          </w:r>
          <w:r>
            <w:rPr>
              <w:color w:val="FF0000"/>
              <w:sz w:val="18"/>
              <w:szCs w:val="24"/>
            </w:rPr>
            <w:t xml:space="preserve"> Non-confidential</w:t>
          </w:r>
        </w:p>
        <w:bookmarkEnd w:id="23"/>
        <w:p w14:paraId="1ECBDFD1">
          <w:pPr>
            <w:pStyle w:val="50"/>
            <w:ind w:firstLine="148"/>
            <w:rPr>
              <w:rFonts w:ascii="Arial" w:hAnsi="Arial"/>
              <w:color w:val="FF0000"/>
              <w:sz w:val="18"/>
              <w:szCs w:val="24"/>
            </w:rPr>
          </w:pPr>
        </w:p>
      </w:tc>
    </w:tr>
    <w:bookmarkEnd w:id="22"/>
  </w:tbl>
  <w:p w14:paraId="1916A05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14AE3"/>
    <w:multiLevelType w:val="singleLevel"/>
    <w:tmpl w:val="E4F14AE3"/>
    <w:lvl w:ilvl="0" w:tentative="0">
      <w:start w:val="1"/>
      <w:numFmt w:val="lowerLetter"/>
      <w:lvlText w:val="%1."/>
      <w:lvlJc w:val="left"/>
      <w:pPr>
        <w:ind w:left="425" w:hanging="425"/>
      </w:pPr>
      <w:rPr>
        <w:rFonts w:hint="default"/>
      </w:rPr>
    </w:lvl>
  </w:abstractNum>
  <w:abstractNum w:abstractNumId="1">
    <w:nsid w:val="ED6BF646"/>
    <w:multiLevelType w:val="singleLevel"/>
    <w:tmpl w:val="ED6BF646"/>
    <w:lvl w:ilvl="0" w:tentative="0">
      <w:start w:val="1"/>
      <w:numFmt w:val="decimal"/>
      <w:lvlText w:val="%1)"/>
      <w:lvlJc w:val="left"/>
      <w:pPr>
        <w:ind w:left="425" w:hanging="425"/>
      </w:pPr>
      <w:rPr>
        <w:rFonts w:hint="default"/>
      </w:rPr>
    </w:lvl>
  </w:abstractNum>
  <w:abstractNum w:abstractNumId="2">
    <w:nsid w:val="01F41289"/>
    <w:multiLevelType w:val="multilevel"/>
    <w:tmpl w:val="01F4128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063290"/>
    <w:multiLevelType w:val="multilevel"/>
    <w:tmpl w:val="030632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E06895"/>
    <w:multiLevelType w:val="multilevel"/>
    <w:tmpl w:val="03E06895"/>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57D2B3A"/>
    <w:multiLevelType w:val="multilevel"/>
    <w:tmpl w:val="057D2B3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7D811B5"/>
    <w:multiLevelType w:val="multilevel"/>
    <w:tmpl w:val="07D811B5"/>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7">
    <w:nsid w:val="0AD95176"/>
    <w:multiLevelType w:val="multilevel"/>
    <w:tmpl w:val="0AD95176"/>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8">
    <w:nsid w:val="1B7C2A29"/>
    <w:multiLevelType w:val="multilevel"/>
    <w:tmpl w:val="1B7C2A2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E4043E0"/>
    <w:multiLevelType w:val="multilevel"/>
    <w:tmpl w:val="1E4043E0"/>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10">
    <w:nsid w:val="21AC0790"/>
    <w:multiLevelType w:val="multilevel"/>
    <w:tmpl w:val="21AC0790"/>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29D25EB"/>
    <w:multiLevelType w:val="multilevel"/>
    <w:tmpl w:val="229D25E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2">
    <w:nsid w:val="22CF259E"/>
    <w:multiLevelType w:val="multilevel"/>
    <w:tmpl w:val="22CF259E"/>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4B252EE"/>
    <w:multiLevelType w:val="multilevel"/>
    <w:tmpl w:val="34B252EE"/>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5DE4F1A"/>
    <w:multiLevelType w:val="multilevel"/>
    <w:tmpl w:val="35DE4F1A"/>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D230956"/>
    <w:multiLevelType w:val="singleLevel"/>
    <w:tmpl w:val="3D230956"/>
    <w:lvl w:ilvl="0" w:tentative="0">
      <w:start w:val="1"/>
      <w:numFmt w:val="lowerLetter"/>
      <w:lvlText w:val="%1."/>
      <w:lvlJc w:val="left"/>
      <w:pPr>
        <w:ind w:left="425" w:hanging="425"/>
      </w:pPr>
      <w:rPr>
        <w:rFonts w:hint="default"/>
      </w:rPr>
    </w:lvl>
  </w:abstractNum>
  <w:abstractNum w:abstractNumId="16">
    <w:nsid w:val="45B3276F"/>
    <w:multiLevelType w:val="multilevel"/>
    <w:tmpl w:val="45B3276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7">
    <w:nsid w:val="46E91425"/>
    <w:multiLevelType w:val="multilevel"/>
    <w:tmpl w:val="46E91425"/>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B525B78"/>
    <w:multiLevelType w:val="multilevel"/>
    <w:tmpl w:val="4B525B78"/>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9">
    <w:nsid w:val="4FAE0BDC"/>
    <w:multiLevelType w:val="multilevel"/>
    <w:tmpl w:val="4FAE0BDC"/>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0">
    <w:nsid w:val="522F1DE3"/>
    <w:multiLevelType w:val="multilevel"/>
    <w:tmpl w:val="522F1DE3"/>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AE48B70"/>
    <w:multiLevelType w:val="singleLevel"/>
    <w:tmpl w:val="5AE48B70"/>
    <w:lvl w:ilvl="0" w:tentative="0">
      <w:start w:val="1"/>
      <w:numFmt w:val="lowerLetter"/>
      <w:lvlText w:val="%1."/>
      <w:lvlJc w:val="left"/>
      <w:pPr>
        <w:ind w:left="425" w:hanging="425"/>
      </w:pPr>
      <w:rPr>
        <w:rFonts w:hint="default"/>
      </w:rPr>
    </w:lvl>
  </w:abstractNum>
  <w:abstractNum w:abstractNumId="22">
    <w:nsid w:val="7001373A"/>
    <w:multiLevelType w:val="multilevel"/>
    <w:tmpl w:val="7001373A"/>
    <w:lvl w:ilvl="0" w:tentative="0">
      <w:start w:val="1"/>
      <w:numFmt w:val="decimal"/>
      <w:pStyle w:val="69"/>
      <w:suff w:val="space"/>
      <w:lvlText w:val="%1"/>
      <w:lvlJc w:val="left"/>
      <w:rPr>
        <w:rFonts w:ascii="Arial" w:hAnsi="Arial"/>
        <w:b w:val="0"/>
        <w:i w:val="0"/>
        <w:strike w:val="0"/>
        <w:dstrike w:val="0"/>
        <w:sz w:val="22"/>
      </w:rPr>
    </w:lvl>
    <w:lvl w:ilvl="1" w:tentative="0">
      <w:start w:val="1"/>
      <w:numFmt w:val="lowerLetter"/>
      <w:suff w:val="space"/>
      <w:lvlText w:val="(%2)"/>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4."/>
      <w:lvlJc w:val="left"/>
      <w:pPr>
        <w:ind w:left="567" w:hanging="567"/>
      </w:pPr>
      <w:rPr>
        <w:rFonts w:ascii="Arial" w:hAnsi="Arial"/>
        <w:b w:val="0"/>
        <w:i w:val="0"/>
        <w:sz w:val="24"/>
        <w:u w:val="none"/>
      </w:rPr>
    </w:lvl>
    <w:lvl w:ilvl="4" w:tentative="0">
      <w:start w:val="1"/>
      <w:numFmt w:val="lowerLetter"/>
      <w:lvlText w:val="%5)"/>
      <w:lvlJc w:val="left"/>
      <w:pPr>
        <w:ind w:left="851" w:hanging="567"/>
      </w:pPr>
      <w:rPr>
        <w:b w:val="0"/>
        <w:i w:val="0"/>
        <w:sz w:val="22"/>
      </w:rPr>
    </w:lvl>
    <w:lvl w:ilvl="5" w:tentative="0">
      <w:start w:val="1"/>
      <w:numFmt w:val="lowerRoman"/>
      <w:lvlText w:val="%6."/>
      <w:lvlJc w:val="right"/>
    </w:lvl>
    <w:lvl w:ilvl="6" w:tentative="0">
      <w:start w:val="1"/>
      <w:numFmt w:val="decimal"/>
      <w:lvlText w:val="%7."/>
      <w:lvlJc w:val="left"/>
      <w:rPr>
        <w:b w:val="0"/>
        <w:bCs w:val="0"/>
        <w:i w:val="0"/>
        <w:iCs w:val="0"/>
        <w:color w:val="156082"/>
        <w:sz w:val="24"/>
        <w:szCs w:val="24"/>
      </w:rPr>
    </w:lvl>
    <w:lvl w:ilvl="7" w:tentative="0">
      <w:start w:val="1"/>
      <w:numFmt w:val="lowerLetter"/>
      <w:lvlText w:val="%8."/>
      <w:lvlJc w:val="left"/>
    </w:lvl>
    <w:lvl w:ilvl="8" w:tentative="0">
      <w:start w:val="1"/>
      <w:numFmt w:val="lowerRoman"/>
      <w:lvlText w:val="%9."/>
      <w:lvlJc w:val="right"/>
    </w:lvl>
  </w:abstractNum>
  <w:abstractNum w:abstractNumId="23">
    <w:nsid w:val="712B44E5"/>
    <w:multiLevelType w:val="multilevel"/>
    <w:tmpl w:val="712B44E5"/>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4">
    <w:nsid w:val="7D6F64CB"/>
    <w:multiLevelType w:val="multilevel"/>
    <w:tmpl w:val="7D6F64CB"/>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6"/>
  </w:num>
  <w:num w:numId="3">
    <w:abstractNumId w:val="23"/>
  </w:num>
  <w:num w:numId="4">
    <w:abstractNumId w:val="16"/>
  </w:num>
  <w:num w:numId="5">
    <w:abstractNumId w:val="19"/>
  </w:num>
  <w:num w:numId="6">
    <w:abstractNumId w:val="7"/>
  </w:num>
  <w:num w:numId="7">
    <w:abstractNumId w:val="14"/>
  </w:num>
  <w:num w:numId="8">
    <w:abstractNumId w:val="20"/>
  </w:num>
  <w:num w:numId="9">
    <w:abstractNumId w:val="12"/>
  </w:num>
  <w:num w:numId="10">
    <w:abstractNumId w:val="4"/>
  </w:num>
  <w:num w:numId="11">
    <w:abstractNumId w:val="17"/>
  </w:num>
  <w:num w:numId="12">
    <w:abstractNumId w:val="10"/>
  </w:num>
  <w:num w:numId="13">
    <w:abstractNumId w:val="2"/>
  </w:num>
  <w:num w:numId="14">
    <w:abstractNumId w:val="11"/>
  </w:num>
  <w:num w:numId="15">
    <w:abstractNumId w:val="3"/>
  </w:num>
  <w:num w:numId="16">
    <w:abstractNumId w:val="5"/>
  </w:num>
  <w:num w:numId="17">
    <w:abstractNumId w:val="13"/>
  </w:num>
  <w:num w:numId="18">
    <w:abstractNumId w:val="9"/>
  </w:num>
  <w:num w:numId="19">
    <w:abstractNumId w:val="21"/>
  </w:num>
  <w:num w:numId="20">
    <w:abstractNumId w:val="1"/>
  </w:num>
  <w:num w:numId="21">
    <w:abstractNumId w:val="15"/>
  </w:num>
  <w:num w:numId="22">
    <w:abstractNumId w:val="0"/>
  </w:num>
  <w:num w:numId="23">
    <w:abstractNumId w:val="18"/>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3D"/>
    <w:rsid w:val="00012B3D"/>
    <w:rsid w:val="000D538A"/>
    <w:rsid w:val="001E6456"/>
    <w:rsid w:val="00276E33"/>
    <w:rsid w:val="002D1022"/>
    <w:rsid w:val="005A58D0"/>
    <w:rsid w:val="005F56D7"/>
    <w:rsid w:val="00660325"/>
    <w:rsid w:val="006C1478"/>
    <w:rsid w:val="00AF5B31"/>
    <w:rsid w:val="00B27BCD"/>
    <w:rsid w:val="00B76A54"/>
    <w:rsid w:val="00C75CAC"/>
    <w:rsid w:val="00CE6833"/>
    <w:rsid w:val="00CF415E"/>
    <w:rsid w:val="00D05A4A"/>
    <w:rsid w:val="00D92CCD"/>
    <w:rsid w:val="00E12AD7"/>
    <w:rsid w:val="00EA6F02"/>
    <w:rsid w:val="00EE2938"/>
    <w:rsid w:val="00F7254C"/>
    <w:rsid w:val="012375FA"/>
    <w:rsid w:val="01255120"/>
    <w:rsid w:val="01826A17"/>
    <w:rsid w:val="01C5334F"/>
    <w:rsid w:val="02184C85"/>
    <w:rsid w:val="02E047F7"/>
    <w:rsid w:val="032F6329"/>
    <w:rsid w:val="03401D66"/>
    <w:rsid w:val="034D6BB0"/>
    <w:rsid w:val="039B791C"/>
    <w:rsid w:val="03A04544"/>
    <w:rsid w:val="03B31109"/>
    <w:rsid w:val="03C8167D"/>
    <w:rsid w:val="03DD7F34"/>
    <w:rsid w:val="03E5503B"/>
    <w:rsid w:val="04073203"/>
    <w:rsid w:val="045F4DED"/>
    <w:rsid w:val="04E50571"/>
    <w:rsid w:val="051A51B8"/>
    <w:rsid w:val="05304EB2"/>
    <w:rsid w:val="05F1758E"/>
    <w:rsid w:val="064C75F3"/>
    <w:rsid w:val="0687687D"/>
    <w:rsid w:val="0708176C"/>
    <w:rsid w:val="07811A6E"/>
    <w:rsid w:val="07DB29DD"/>
    <w:rsid w:val="07F9606D"/>
    <w:rsid w:val="08365E65"/>
    <w:rsid w:val="08395955"/>
    <w:rsid w:val="083E4D1A"/>
    <w:rsid w:val="085437B1"/>
    <w:rsid w:val="087B41C0"/>
    <w:rsid w:val="08850B9A"/>
    <w:rsid w:val="088A5722"/>
    <w:rsid w:val="08970D89"/>
    <w:rsid w:val="08BC2C98"/>
    <w:rsid w:val="090F16CA"/>
    <w:rsid w:val="092108C3"/>
    <w:rsid w:val="09776735"/>
    <w:rsid w:val="09A3577C"/>
    <w:rsid w:val="09C76076"/>
    <w:rsid w:val="0A173A74"/>
    <w:rsid w:val="0A750C0D"/>
    <w:rsid w:val="0A9D30DE"/>
    <w:rsid w:val="0AA277E2"/>
    <w:rsid w:val="0AAC6042"/>
    <w:rsid w:val="0AE93700"/>
    <w:rsid w:val="0AF142C5"/>
    <w:rsid w:val="0B332B30"/>
    <w:rsid w:val="0B457ECA"/>
    <w:rsid w:val="0C6169D0"/>
    <w:rsid w:val="0C640DEF"/>
    <w:rsid w:val="0C7358DA"/>
    <w:rsid w:val="0C7C4062"/>
    <w:rsid w:val="0C831895"/>
    <w:rsid w:val="0CDF2F6F"/>
    <w:rsid w:val="0D1256D2"/>
    <w:rsid w:val="0D505C1B"/>
    <w:rsid w:val="0D5648B3"/>
    <w:rsid w:val="0D86163D"/>
    <w:rsid w:val="0D9C49BC"/>
    <w:rsid w:val="0DAE649D"/>
    <w:rsid w:val="0DB42C8C"/>
    <w:rsid w:val="0DB937C0"/>
    <w:rsid w:val="0DBA7538"/>
    <w:rsid w:val="0DD26630"/>
    <w:rsid w:val="0DE3083D"/>
    <w:rsid w:val="0E027627"/>
    <w:rsid w:val="0E06277D"/>
    <w:rsid w:val="0E4137B5"/>
    <w:rsid w:val="0E511C4A"/>
    <w:rsid w:val="0E59472B"/>
    <w:rsid w:val="0F0C3DC3"/>
    <w:rsid w:val="0F206A4D"/>
    <w:rsid w:val="0F6C4862"/>
    <w:rsid w:val="0F9D4A1B"/>
    <w:rsid w:val="0FBA381F"/>
    <w:rsid w:val="100464B0"/>
    <w:rsid w:val="10A13D95"/>
    <w:rsid w:val="10D46BEA"/>
    <w:rsid w:val="10F92125"/>
    <w:rsid w:val="110E3BD2"/>
    <w:rsid w:val="112E2143"/>
    <w:rsid w:val="113D0264"/>
    <w:rsid w:val="115C304B"/>
    <w:rsid w:val="123F625E"/>
    <w:rsid w:val="12837EF9"/>
    <w:rsid w:val="12E110C3"/>
    <w:rsid w:val="130516C0"/>
    <w:rsid w:val="133930A8"/>
    <w:rsid w:val="137B1518"/>
    <w:rsid w:val="13872A2E"/>
    <w:rsid w:val="139908FB"/>
    <w:rsid w:val="139B5716"/>
    <w:rsid w:val="139C2C55"/>
    <w:rsid w:val="13A7230D"/>
    <w:rsid w:val="13B80076"/>
    <w:rsid w:val="13F07810"/>
    <w:rsid w:val="14921396"/>
    <w:rsid w:val="14EF1875"/>
    <w:rsid w:val="15015A4D"/>
    <w:rsid w:val="15175270"/>
    <w:rsid w:val="16004A0E"/>
    <w:rsid w:val="16B0772A"/>
    <w:rsid w:val="16DF3B6C"/>
    <w:rsid w:val="16F94C2D"/>
    <w:rsid w:val="17582776"/>
    <w:rsid w:val="17885FB1"/>
    <w:rsid w:val="178A3AD7"/>
    <w:rsid w:val="17FD074D"/>
    <w:rsid w:val="1804388A"/>
    <w:rsid w:val="184276C4"/>
    <w:rsid w:val="18700F1F"/>
    <w:rsid w:val="18956BD8"/>
    <w:rsid w:val="18A1557C"/>
    <w:rsid w:val="18A1732B"/>
    <w:rsid w:val="18BD7EDC"/>
    <w:rsid w:val="18DA6CE0"/>
    <w:rsid w:val="191C2E55"/>
    <w:rsid w:val="192A37C4"/>
    <w:rsid w:val="195919B3"/>
    <w:rsid w:val="19C2220A"/>
    <w:rsid w:val="19D44C1D"/>
    <w:rsid w:val="1A02204B"/>
    <w:rsid w:val="1A89451A"/>
    <w:rsid w:val="1A9C424D"/>
    <w:rsid w:val="1B3E5305"/>
    <w:rsid w:val="1B804492"/>
    <w:rsid w:val="1B822AF1"/>
    <w:rsid w:val="1B8F09E8"/>
    <w:rsid w:val="1BBC57D8"/>
    <w:rsid w:val="1BDB5453"/>
    <w:rsid w:val="1C7A6810"/>
    <w:rsid w:val="1C894C01"/>
    <w:rsid w:val="1CAC2742"/>
    <w:rsid w:val="1CC61A56"/>
    <w:rsid w:val="1CC655B2"/>
    <w:rsid w:val="1D44297A"/>
    <w:rsid w:val="1D9F5E03"/>
    <w:rsid w:val="1DD27F86"/>
    <w:rsid w:val="1DFC3255"/>
    <w:rsid w:val="1E032835"/>
    <w:rsid w:val="1E576CB3"/>
    <w:rsid w:val="1E7B447F"/>
    <w:rsid w:val="1EFE2330"/>
    <w:rsid w:val="1F0979D8"/>
    <w:rsid w:val="1F9A5E47"/>
    <w:rsid w:val="1FE046C7"/>
    <w:rsid w:val="2015151B"/>
    <w:rsid w:val="20B23F08"/>
    <w:rsid w:val="21134558"/>
    <w:rsid w:val="211D3DA7"/>
    <w:rsid w:val="21893052"/>
    <w:rsid w:val="21B61AB9"/>
    <w:rsid w:val="21E169EA"/>
    <w:rsid w:val="221729FA"/>
    <w:rsid w:val="221851CD"/>
    <w:rsid w:val="22EF60E4"/>
    <w:rsid w:val="232219DA"/>
    <w:rsid w:val="23411E36"/>
    <w:rsid w:val="23643F01"/>
    <w:rsid w:val="238C52B4"/>
    <w:rsid w:val="238D1B9F"/>
    <w:rsid w:val="23E10F23"/>
    <w:rsid w:val="23F073B8"/>
    <w:rsid w:val="240370EB"/>
    <w:rsid w:val="241646BB"/>
    <w:rsid w:val="241A61E3"/>
    <w:rsid w:val="24455956"/>
    <w:rsid w:val="246833F2"/>
    <w:rsid w:val="247D7210"/>
    <w:rsid w:val="24D12D46"/>
    <w:rsid w:val="24E0742D"/>
    <w:rsid w:val="251D5F8B"/>
    <w:rsid w:val="253F4153"/>
    <w:rsid w:val="2545141C"/>
    <w:rsid w:val="256164C7"/>
    <w:rsid w:val="25B87EC2"/>
    <w:rsid w:val="26004F05"/>
    <w:rsid w:val="261A696E"/>
    <w:rsid w:val="2633480E"/>
    <w:rsid w:val="26A25E60"/>
    <w:rsid w:val="26ED2BEC"/>
    <w:rsid w:val="26FD3AB6"/>
    <w:rsid w:val="272F7585"/>
    <w:rsid w:val="27A10455"/>
    <w:rsid w:val="27C23AD2"/>
    <w:rsid w:val="280E2503"/>
    <w:rsid w:val="28235FAE"/>
    <w:rsid w:val="28331C1B"/>
    <w:rsid w:val="288C0DA8"/>
    <w:rsid w:val="28F6721F"/>
    <w:rsid w:val="29177195"/>
    <w:rsid w:val="29187538"/>
    <w:rsid w:val="291A53C6"/>
    <w:rsid w:val="294A1318"/>
    <w:rsid w:val="29515E7C"/>
    <w:rsid w:val="29D319BC"/>
    <w:rsid w:val="2A160B03"/>
    <w:rsid w:val="2A1A622C"/>
    <w:rsid w:val="2A326424"/>
    <w:rsid w:val="2A4B6A87"/>
    <w:rsid w:val="2AA8279A"/>
    <w:rsid w:val="2ACC2C22"/>
    <w:rsid w:val="2AD761C6"/>
    <w:rsid w:val="2AF401F0"/>
    <w:rsid w:val="2BEE68D3"/>
    <w:rsid w:val="2C3047F6"/>
    <w:rsid w:val="2CA100AB"/>
    <w:rsid w:val="2D300825"/>
    <w:rsid w:val="2D6230D5"/>
    <w:rsid w:val="2E1D6FFC"/>
    <w:rsid w:val="2E252A9E"/>
    <w:rsid w:val="2E277E7A"/>
    <w:rsid w:val="2E3335ED"/>
    <w:rsid w:val="2E3E0E6B"/>
    <w:rsid w:val="2EA76603"/>
    <w:rsid w:val="2EB37960"/>
    <w:rsid w:val="2EBF6305"/>
    <w:rsid w:val="2EDA4EED"/>
    <w:rsid w:val="2EF42085"/>
    <w:rsid w:val="2F0D0E1E"/>
    <w:rsid w:val="2F8530AA"/>
    <w:rsid w:val="2F864569"/>
    <w:rsid w:val="2FBD0A96"/>
    <w:rsid w:val="2FEE3B30"/>
    <w:rsid w:val="2FF26266"/>
    <w:rsid w:val="30624284"/>
    <w:rsid w:val="3087288E"/>
    <w:rsid w:val="30880BE4"/>
    <w:rsid w:val="309317F7"/>
    <w:rsid w:val="318A49E7"/>
    <w:rsid w:val="31930EA4"/>
    <w:rsid w:val="31B44C66"/>
    <w:rsid w:val="323112C7"/>
    <w:rsid w:val="3233551E"/>
    <w:rsid w:val="323A4620"/>
    <w:rsid w:val="324F5BF1"/>
    <w:rsid w:val="32546526"/>
    <w:rsid w:val="3287538B"/>
    <w:rsid w:val="32927B3B"/>
    <w:rsid w:val="32CB171C"/>
    <w:rsid w:val="336D27D3"/>
    <w:rsid w:val="33A8380B"/>
    <w:rsid w:val="340824FC"/>
    <w:rsid w:val="34C603ED"/>
    <w:rsid w:val="34D83C7C"/>
    <w:rsid w:val="35380AC0"/>
    <w:rsid w:val="359F29EC"/>
    <w:rsid w:val="35A61FCC"/>
    <w:rsid w:val="35F40F8A"/>
    <w:rsid w:val="365432B8"/>
    <w:rsid w:val="366C53FC"/>
    <w:rsid w:val="36B85B13"/>
    <w:rsid w:val="372238D5"/>
    <w:rsid w:val="376B527C"/>
    <w:rsid w:val="379F0824"/>
    <w:rsid w:val="37C4673A"/>
    <w:rsid w:val="37E42326"/>
    <w:rsid w:val="38347025"/>
    <w:rsid w:val="38D67D4C"/>
    <w:rsid w:val="38E47094"/>
    <w:rsid w:val="392A6CFB"/>
    <w:rsid w:val="397C4354"/>
    <w:rsid w:val="398C3287"/>
    <w:rsid w:val="39C81811"/>
    <w:rsid w:val="39D2513E"/>
    <w:rsid w:val="39D54C2E"/>
    <w:rsid w:val="3A9457C2"/>
    <w:rsid w:val="3AAA7E69"/>
    <w:rsid w:val="3AE96BE3"/>
    <w:rsid w:val="3AED5FA8"/>
    <w:rsid w:val="3AFD1830"/>
    <w:rsid w:val="3B073D25"/>
    <w:rsid w:val="3B223EA3"/>
    <w:rsid w:val="3B3D6F2F"/>
    <w:rsid w:val="3B53755F"/>
    <w:rsid w:val="3BE905F2"/>
    <w:rsid w:val="3C1B168C"/>
    <w:rsid w:val="3C1F6635"/>
    <w:rsid w:val="3C642299"/>
    <w:rsid w:val="3CD1792F"/>
    <w:rsid w:val="3D6732A5"/>
    <w:rsid w:val="3D6853C9"/>
    <w:rsid w:val="3DE81694"/>
    <w:rsid w:val="3EBF1A09"/>
    <w:rsid w:val="3ED56E8F"/>
    <w:rsid w:val="3EDC080D"/>
    <w:rsid w:val="3F746C97"/>
    <w:rsid w:val="40381A73"/>
    <w:rsid w:val="403F15EE"/>
    <w:rsid w:val="406E1939"/>
    <w:rsid w:val="40DC2D46"/>
    <w:rsid w:val="40F11E96"/>
    <w:rsid w:val="40FC6F44"/>
    <w:rsid w:val="41166258"/>
    <w:rsid w:val="413722F8"/>
    <w:rsid w:val="41670862"/>
    <w:rsid w:val="41C64704"/>
    <w:rsid w:val="423431CE"/>
    <w:rsid w:val="42A50E2D"/>
    <w:rsid w:val="43482915"/>
    <w:rsid w:val="435368A8"/>
    <w:rsid w:val="436A63E7"/>
    <w:rsid w:val="4437760C"/>
    <w:rsid w:val="4472378B"/>
    <w:rsid w:val="4485526E"/>
    <w:rsid w:val="45086518"/>
    <w:rsid w:val="45800144"/>
    <w:rsid w:val="458F65D9"/>
    <w:rsid w:val="45F428E0"/>
    <w:rsid w:val="464B69A4"/>
    <w:rsid w:val="4676658C"/>
    <w:rsid w:val="46813445"/>
    <w:rsid w:val="469344A1"/>
    <w:rsid w:val="469519CD"/>
    <w:rsid w:val="46CD08F7"/>
    <w:rsid w:val="46D36072"/>
    <w:rsid w:val="46F626C3"/>
    <w:rsid w:val="47501E1A"/>
    <w:rsid w:val="475E44B5"/>
    <w:rsid w:val="479922B5"/>
    <w:rsid w:val="47A57BBB"/>
    <w:rsid w:val="47D66741"/>
    <w:rsid w:val="47E92933"/>
    <w:rsid w:val="4823065E"/>
    <w:rsid w:val="48260B79"/>
    <w:rsid w:val="48A51F76"/>
    <w:rsid w:val="48BA1BBF"/>
    <w:rsid w:val="49492F43"/>
    <w:rsid w:val="494C66B5"/>
    <w:rsid w:val="495C4E15"/>
    <w:rsid w:val="496D09DF"/>
    <w:rsid w:val="499A24C2"/>
    <w:rsid w:val="49E335D2"/>
    <w:rsid w:val="49E62540"/>
    <w:rsid w:val="4B15132F"/>
    <w:rsid w:val="4BBC3E0D"/>
    <w:rsid w:val="4BF31EA3"/>
    <w:rsid w:val="4C96024D"/>
    <w:rsid w:val="4CE51E03"/>
    <w:rsid w:val="4D587BF8"/>
    <w:rsid w:val="4DEE29FF"/>
    <w:rsid w:val="4DF90E4E"/>
    <w:rsid w:val="4E0F6509"/>
    <w:rsid w:val="4E1A4EAE"/>
    <w:rsid w:val="4E1F2B6B"/>
    <w:rsid w:val="4E4A7541"/>
    <w:rsid w:val="4E522405"/>
    <w:rsid w:val="4E6A1F12"/>
    <w:rsid w:val="4EA41B70"/>
    <w:rsid w:val="4EB25488"/>
    <w:rsid w:val="4EC46F6F"/>
    <w:rsid w:val="4EC72940"/>
    <w:rsid w:val="4F1C2E7C"/>
    <w:rsid w:val="4F460DE2"/>
    <w:rsid w:val="4F70158F"/>
    <w:rsid w:val="4F764366"/>
    <w:rsid w:val="4FAA3F86"/>
    <w:rsid w:val="4FCB2904"/>
    <w:rsid w:val="4FEC69AC"/>
    <w:rsid w:val="500D6A78"/>
    <w:rsid w:val="50720FD1"/>
    <w:rsid w:val="507E0B65"/>
    <w:rsid w:val="50B37E70"/>
    <w:rsid w:val="50B61CAB"/>
    <w:rsid w:val="50C96689"/>
    <w:rsid w:val="50E21CB3"/>
    <w:rsid w:val="512B5B90"/>
    <w:rsid w:val="512D6343"/>
    <w:rsid w:val="519D7A46"/>
    <w:rsid w:val="51D33CF1"/>
    <w:rsid w:val="520B6FE7"/>
    <w:rsid w:val="52680501"/>
    <w:rsid w:val="52A35472"/>
    <w:rsid w:val="52B50A93"/>
    <w:rsid w:val="5314011E"/>
    <w:rsid w:val="532E5683"/>
    <w:rsid w:val="535B3F9E"/>
    <w:rsid w:val="53B55546"/>
    <w:rsid w:val="53D1600F"/>
    <w:rsid w:val="544E58B1"/>
    <w:rsid w:val="546112D8"/>
    <w:rsid w:val="549519B8"/>
    <w:rsid w:val="54D77655"/>
    <w:rsid w:val="54F41FB5"/>
    <w:rsid w:val="54F46459"/>
    <w:rsid w:val="552F7491"/>
    <w:rsid w:val="55DF1E8B"/>
    <w:rsid w:val="55F4017B"/>
    <w:rsid w:val="56694C24"/>
    <w:rsid w:val="56701B0F"/>
    <w:rsid w:val="567301A6"/>
    <w:rsid w:val="567A7499"/>
    <w:rsid w:val="56B70E8E"/>
    <w:rsid w:val="56BA0FDC"/>
    <w:rsid w:val="56C609C1"/>
    <w:rsid w:val="571A5E0E"/>
    <w:rsid w:val="573E1858"/>
    <w:rsid w:val="575D5EEA"/>
    <w:rsid w:val="5761234D"/>
    <w:rsid w:val="57DF519E"/>
    <w:rsid w:val="57EE3633"/>
    <w:rsid w:val="582D52F7"/>
    <w:rsid w:val="58B55EFF"/>
    <w:rsid w:val="58C81A5A"/>
    <w:rsid w:val="58D76F73"/>
    <w:rsid w:val="58DA5965"/>
    <w:rsid w:val="58F47030"/>
    <w:rsid w:val="59096EBE"/>
    <w:rsid w:val="59305585"/>
    <w:rsid w:val="594A45CE"/>
    <w:rsid w:val="59B47F65"/>
    <w:rsid w:val="59BB5797"/>
    <w:rsid w:val="59F94E04"/>
    <w:rsid w:val="5A2A0227"/>
    <w:rsid w:val="5A483076"/>
    <w:rsid w:val="5ABF408D"/>
    <w:rsid w:val="5B1C487D"/>
    <w:rsid w:val="5B57329D"/>
    <w:rsid w:val="5B5E462C"/>
    <w:rsid w:val="5BDD7C46"/>
    <w:rsid w:val="5C1A0524"/>
    <w:rsid w:val="5C425CFC"/>
    <w:rsid w:val="5C5617A7"/>
    <w:rsid w:val="5C8158C2"/>
    <w:rsid w:val="5CB52971"/>
    <w:rsid w:val="5CC91F79"/>
    <w:rsid w:val="5CF85BA3"/>
    <w:rsid w:val="5D467A6D"/>
    <w:rsid w:val="5D521F6E"/>
    <w:rsid w:val="5D5B64B5"/>
    <w:rsid w:val="5D850596"/>
    <w:rsid w:val="5D8863FA"/>
    <w:rsid w:val="5D9E2709"/>
    <w:rsid w:val="5DE51034"/>
    <w:rsid w:val="5E287173"/>
    <w:rsid w:val="5EAC1B52"/>
    <w:rsid w:val="5EDC2437"/>
    <w:rsid w:val="5EF3152F"/>
    <w:rsid w:val="5EF77271"/>
    <w:rsid w:val="5EFC6636"/>
    <w:rsid w:val="5F74301C"/>
    <w:rsid w:val="5FD2383A"/>
    <w:rsid w:val="601C2F1D"/>
    <w:rsid w:val="60673F83"/>
    <w:rsid w:val="611B16B9"/>
    <w:rsid w:val="61C95505"/>
    <w:rsid w:val="6222786D"/>
    <w:rsid w:val="628250A4"/>
    <w:rsid w:val="629616EA"/>
    <w:rsid w:val="62BB05B6"/>
    <w:rsid w:val="63092E9C"/>
    <w:rsid w:val="63556314"/>
    <w:rsid w:val="639257BA"/>
    <w:rsid w:val="63AB062A"/>
    <w:rsid w:val="63D336DD"/>
    <w:rsid w:val="641C32D6"/>
    <w:rsid w:val="645111D2"/>
    <w:rsid w:val="64671D6D"/>
    <w:rsid w:val="6497295D"/>
    <w:rsid w:val="64977BF4"/>
    <w:rsid w:val="64CC6AAA"/>
    <w:rsid w:val="651D7B4A"/>
    <w:rsid w:val="65B110CD"/>
    <w:rsid w:val="65EA2B5E"/>
    <w:rsid w:val="66353A58"/>
    <w:rsid w:val="664B7EA3"/>
    <w:rsid w:val="665705F5"/>
    <w:rsid w:val="66F61BBC"/>
    <w:rsid w:val="6714238F"/>
    <w:rsid w:val="673B7F17"/>
    <w:rsid w:val="673C3F6A"/>
    <w:rsid w:val="674943E2"/>
    <w:rsid w:val="675E05B4"/>
    <w:rsid w:val="67BA52E0"/>
    <w:rsid w:val="68005E8B"/>
    <w:rsid w:val="68014CBD"/>
    <w:rsid w:val="685E2658"/>
    <w:rsid w:val="68B47F81"/>
    <w:rsid w:val="68BC1224"/>
    <w:rsid w:val="68EA5751"/>
    <w:rsid w:val="695963A7"/>
    <w:rsid w:val="695D5F23"/>
    <w:rsid w:val="695D70C6"/>
    <w:rsid w:val="69BE2739"/>
    <w:rsid w:val="69D34437"/>
    <w:rsid w:val="69E21E38"/>
    <w:rsid w:val="6A301889"/>
    <w:rsid w:val="6A4E0D05"/>
    <w:rsid w:val="6A9B5906"/>
    <w:rsid w:val="6ABE1108"/>
    <w:rsid w:val="6AC45A77"/>
    <w:rsid w:val="6AF40772"/>
    <w:rsid w:val="6B5C61BC"/>
    <w:rsid w:val="6B6F4633"/>
    <w:rsid w:val="6BA936A1"/>
    <w:rsid w:val="6C076BD8"/>
    <w:rsid w:val="6C266369"/>
    <w:rsid w:val="6CEB1A97"/>
    <w:rsid w:val="6D0B3EE8"/>
    <w:rsid w:val="6D5E0586"/>
    <w:rsid w:val="6DB620A5"/>
    <w:rsid w:val="6DE210EC"/>
    <w:rsid w:val="6E1B63AC"/>
    <w:rsid w:val="6E1D3E60"/>
    <w:rsid w:val="6E2017D3"/>
    <w:rsid w:val="6E6C450D"/>
    <w:rsid w:val="6ED8429D"/>
    <w:rsid w:val="6EDC1FE0"/>
    <w:rsid w:val="6F3630CD"/>
    <w:rsid w:val="6F524050"/>
    <w:rsid w:val="6F8E7727"/>
    <w:rsid w:val="6FF45107"/>
    <w:rsid w:val="700E0FA8"/>
    <w:rsid w:val="701B08E6"/>
    <w:rsid w:val="70A00DEB"/>
    <w:rsid w:val="721D6FF6"/>
    <w:rsid w:val="724336F2"/>
    <w:rsid w:val="726A7902"/>
    <w:rsid w:val="729A1F96"/>
    <w:rsid w:val="729D3834"/>
    <w:rsid w:val="72DF3E4C"/>
    <w:rsid w:val="72E7414E"/>
    <w:rsid w:val="72F71196"/>
    <w:rsid w:val="72FD6376"/>
    <w:rsid w:val="733E5017"/>
    <w:rsid w:val="73C372CA"/>
    <w:rsid w:val="740F250F"/>
    <w:rsid w:val="74B3733F"/>
    <w:rsid w:val="74CF1C9F"/>
    <w:rsid w:val="750E27C7"/>
    <w:rsid w:val="7530273D"/>
    <w:rsid w:val="75371D1E"/>
    <w:rsid w:val="755B20FA"/>
    <w:rsid w:val="75772CB9"/>
    <w:rsid w:val="76214447"/>
    <w:rsid w:val="7623171E"/>
    <w:rsid w:val="764E084F"/>
    <w:rsid w:val="765661D4"/>
    <w:rsid w:val="771827D8"/>
    <w:rsid w:val="7748459B"/>
    <w:rsid w:val="77713B72"/>
    <w:rsid w:val="778E7BEF"/>
    <w:rsid w:val="77980A6E"/>
    <w:rsid w:val="77B75398"/>
    <w:rsid w:val="77E90EE2"/>
    <w:rsid w:val="7859644F"/>
    <w:rsid w:val="79170D67"/>
    <w:rsid w:val="792A1003"/>
    <w:rsid w:val="794B538E"/>
    <w:rsid w:val="796D3E79"/>
    <w:rsid w:val="797352EE"/>
    <w:rsid w:val="79D35D8D"/>
    <w:rsid w:val="79FB18D8"/>
    <w:rsid w:val="7A2C2ABA"/>
    <w:rsid w:val="7A3B22B0"/>
    <w:rsid w:val="7A552C46"/>
    <w:rsid w:val="7AE85868"/>
    <w:rsid w:val="7B58479C"/>
    <w:rsid w:val="7BDA78A7"/>
    <w:rsid w:val="7BDB172C"/>
    <w:rsid w:val="7BFC5A6F"/>
    <w:rsid w:val="7C345209"/>
    <w:rsid w:val="7C4946DF"/>
    <w:rsid w:val="7C8B0BA1"/>
    <w:rsid w:val="7CAB2FF1"/>
    <w:rsid w:val="7CB3172E"/>
    <w:rsid w:val="7CCA0C4B"/>
    <w:rsid w:val="7CCB71F0"/>
    <w:rsid w:val="7CE1224F"/>
    <w:rsid w:val="7CF95B0B"/>
    <w:rsid w:val="7D2C5EE0"/>
    <w:rsid w:val="7D62665D"/>
    <w:rsid w:val="7D676F18"/>
    <w:rsid w:val="7D7267D0"/>
    <w:rsid w:val="7D8C69F8"/>
    <w:rsid w:val="7DC4436B"/>
    <w:rsid w:val="7E1150D6"/>
    <w:rsid w:val="7E2D0D2E"/>
    <w:rsid w:val="7E6672C6"/>
    <w:rsid w:val="7F0A7CD7"/>
    <w:rsid w:val="7F2F7F0A"/>
    <w:rsid w:val="7F4219EB"/>
    <w:rsid w:val="7F765B38"/>
    <w:rsid w:val="7F8D7991"/>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cs="Arial" w:eastAsiaTheme="minorEastAsia"/>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4">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72"/>
    <w:unhideWhenUsed/>
    <w:qFormat/>
    <w:uiPriority w:val="99"/>
  </w:style>
  <w:style w:type="paragraph" w:styleId="12">
    <w:name w:val="toc 3"/>
    <w:basedOn w:val="1"/>
    <w:next w:val="1"/>
    <w:autoRedefine/>
    <w:qFormat/>
    <w:uiPriority w:val="0"/>
    <w:pPr>
      <w:tabs>
        <w:tab w:val="right" w:leader="dot" w:pos="9016"/>
      </w:tabs>
      <w:spacing w:after="100"/>
      <w:ind w:left="480"/>
    </w:pPr>
    <w:rPr>
      <w:rFonts w:eastAsia="Yu Gothic Light" w:cs="Times New Roman"/>
      <w:b/>
    </w:rPr>
  </w:style>
  <w:style w:type="paragraph" w:styleId="13">
    <w:name w:val="Balloon Text"/>
    <w:basedOn w:val="1"/>
    <w:qFormat/>
    <w:uiPriority w:val="0"/>
    <w:rPr>
      <w:rFonts w:ascii="Segoe UI" w:hAnsi="Segoe UI" w:cs="Segoe UI"/>
      <w:sz w:val="18"/>
      <w:szCs w:val="18"/>
    </w:rPr>
  </w:style>
  <w:style w:type="paragraph" w:styleId="14">
    <w:name w:val="footer"/>
    <w:basedOn w:val="1"/>
    <w:qFormat/>
    <w:uiPriority w:val="0"/>
    <w:pPr>
      <w:tabs>
        <w:tab w:val="center" w:pos="4513"/>
        <w:tab w:val="right" w:pos="9026"/>
      </w:tabs>
    </w:pPr>
  </w:style>
  <w:style w:type="paragraph" w:styleId="15">
    <w:name w:val="header"/>
    <w:basedOn w:val="1"/>
    <w:qFormat/>
    <w:uiPriority w:val="0"/>
    <w:pPr>
      <w:tabs>
        <w:tab w:val="center" w:pos="4513"/>
        <w:tab w:val="right" w:pos="9026"/>
      </w:tabs>
    </w:pPr>
  </w:style>
  <w:style w:type="paragraph" w:styleId="16">
    <w:name w:val="toc 1"/>
    <w:basedOn w:val="1"/>
    <w:next w:val="1"/>
    <w:autoRedefine/>
    <w:qFormat/>
    <w:uiPriority w:val="0"/>
    <w:pPr>
      <w:tabs>
        <w:tab w:val="right" w:leader="dot" w:pos="9016"/>
      </w:tabs>
      <w:spacing w:after="100"/>
    </w:pPr>
  </w:style>
  <w:style w:type="paragraph" w:styleId="17">
    <w:name w:val="Subtitle"/>
    <w:basedOn w:val="1"/>
    <w:next w:val="1"/>
    <w:qFormat/>
    <w:uiPriority w:val="11"/>
    <w:rPr>
      <w:rFonts w:eastAsia="Yu Gothic Light" w:cs="Times New Roman"/>
      <w:color w:val="595959"/>
      <w:spacing w:val="15"/>
      <w:sz w:val="28"/>
      <w:szCs w:val="28"/>
    </w:rPr>
  </w:style>
  <w:style w:type="paragraph" w:styleId="18">
    <w:name w:val="footnote text"/>
    <w:basedOn w:val="1"/>
    <w:qFormat/>
    <w:uiPriority w:val="0"/>
    <w:rPr>
      <w:sz w:val="20"/>
      <w:szCs w:val="20"/>
    </w:rPr>
  </w:style>
  <w:style w:type="paragraph" w:styleId="19">
    <w:name w:val="toc 2"/>
    <w:basedOn w:val="1"/>
    <w:next w:val="1"/>
    <w:autoRedefine/>
    <w:qFormat/>
    <w:uiPriority w:val="0"/>
    <w:pPr>
      <w:tabs>
        <w:tab w:val="right" w:leader="dot" w:pos="9016"/>
      </w:tabs>
      <w:spacing w:after="100"/>
      <w:ind w:left="220"/>
    </w:pPr>
    <w:rPr>
      <w:b/>
      <w:bCs/>
    </w:rPr>
  </w:style>
  <w:style w:type="paragraph" w:styleId="20">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1">
    <w:name w:val="Title"/>
    <w:basedOn w:val="1"/>
    <w:next w:val="1"/>
    <w:qFormat/>
    <w:uiPriority w:val="10"/>
    <w:pPr>
      <w:spacing w:after="80"/>
    </w:pPr>
    <w:rPr>
      <w:rFonts w:ascii="Aptos Display" w:hAnsi="Aptos Display" w:eastAsia="Yu Gothic Light" w:cs="Times New Roman"/>
      <w:spacing w:val="-10"/>
      <w:kern w:val="3"/>
      <w:sz w:val="56"/>
      <w:szCs w:val="56"/>
    </w:rPr>
  </w:style>
  <w:style w:type="paragraph" w:styleId="22">
    <w:name w:val="annotation subject"/>
    <w:basedOn w:val="11"/>
    <w:next w:val="11"/>
    <w:link w:val="73"/>
    <w:semiHidden/>
    <w:unhideWhenUsed/>
    <w:qFormat/>
    <w:uiPriority w:val="99"/>
    <w:rPr>
      <w:b/>
      <w:bCs/>
      <w:sz w:val="20"/>
      <w:szCs w:val="20"/>
    </w:rPr>
  </w:style>
  <w:style w:type="character" w:styleId="25">
    <w:name w:val="Strong"/>
    <w:basedOn w:val="24"/>
    <w:qFormat/>
    <w:uiPriority w:val="22"/>
    <w:rPr>
      <w:b/>
    </w:rPr>
  </w:style>
  <w:style w:type="character" w:styleId="26">
    <w:name w:val="FollowedHyperlink"/>
    <w:basedOn w:val="24"/>
    <w:qFormat/>
    <w:uiPriority w:val="0"/>
    <w:rPr>
      <w:color w:val="7F6F6F"/>
      <w:u w:val="single"/>
    </w:rPr>
  </w:style>
  <w:style w:type="character" w:styleId="27">
    <w:name w:val="Hyperlink"/>
    <w:basedOn w:val="24"/>
    <w:qFormat/>
    <w:uiPriority w:val="0"/>
    <w:rPr>
      <w:color w:val="8E58B6"/>
      <w:u w:val="single"/>
    </w:rPr>
  </w:style>
  <w:style w:type="character" w:styleId="28">
    <w:name w:val="annotation reference"/>
    <w:basedOn w:val="24"/>
    <w:semiHidden/>
    <w:unhideWhenUsed/>
    <w:qFormat/>
    <w:uiPriority w:val="99"/>
    <w:rPr>
      <w:sz w:val="16"/>
      <w:szCs w:val="16"/>
    </w:rPr>
  </w:style>
  <w:style w:type="character" w:styleId="29">
    <w:name w:val="footnote reference"/>
    <w:basedOn w:val="24"/>
    <w:qFormat/>
    <w:uiPriority w:val="0"/>
    <w:rPr>
      <w:position w:val="0"/>
      <w:vertAlign w:val="superscript"/>
    </w:rPr>
  </w:style>
  <w:style w:type="character" w:customStyle="1" w:styleId="30">
    <w:name w:val="Heading 1 Char"/>
    <w:basedOn w:val="24"/>
    <w:qFormat/>
    <w:uiPriority w:val="0"/>
    <w:rPr>
      <w:rFonts w:ascii="Aptos Display" w:hAnsi="Aptos Display" w:eastAsia="Yu Gothic Light" w:cs="Times New Roman"/>
      <w:color w:val="7C9163"/>
      <w:sz w:val="40"/>
      <w:szCs w:val="40"/>
    </w:rPr>
  </w:style>
  <w:style w:type="character" w:customStyle="1" w:styleId="31">
    <w:name w:val="Heading 2 Char"/>
    <w:basedOn w:val="24"/>
    <w:qFormat/>
    <w:uiPriority w:val="0"/>
    <w:rPr>
      <w:rFonts w:ascii="Aptos Display" w:hAnsi="Aptos Display" w:eastAsia="Yu Gothic Light" w:cs="Times New Roman"/>
      <w:color w:val="7C9163"/>
      <w:sz w:val="32"/>
      <w:szCs w:val="32"/>
    </w:rPr>
  </w:style>
  <w:style w:type="character" w:customStyle="1" w:styleId="32">
    <w:name w:val="Heading 3 Char"/>
    <w:basedOn w:val="24"/>
    <w:qFormat/>
    <w:uiPriority w:val="0"/>
    <w:rPr>
      <w:rFonts w:eastAsia="Yu Gothic Light" w:cs="Times New Roman"/>
      <w:color w:val="7C9163"/>
      <w:sz w:val="28"/>
      <w:szCs w:val="28"/>
    </w:rPr>
  </w:style>
  <w:style w:type="character" w:customStyle="1" w:styleId="33">
    <w:name w:val="Heading 4 Char"/>
    <w:basedOn w:val="24"/>
    <w:qFormat/>
    <w:uiPriority w:val="0"/>
    <w:rPr>
      <w:rFonts w:eastAsia="Yu Gothic Light" w:cs="Times New Roman"/>
      <w:i/>
      <w:iCs/>
      <w:color w:val="7C9163"/>
    </w:rPr>
  </w:style>
  <w:style w:type="character" w:customStyle="1" w:styleId="34">
    <w:name w:val="Heading 5 Char"/>
    <w:basedOn w:val="24"/>
    <w:qFormat/>
    <w:uiPriority w:val="0"/>
    <w:rPr>
      <w:rFonts w:eastAsia="Yu Gothic Light" w:cs="Times New Roman"/>
      <w:color w:val="7C9163"/>
    </w:rPr>
  </w:style>
  <w:style w:type="character" w:customStyle="1" w:styleId="35">
    <w:name w:val="Heading 6 Char"/>
    <w:basedOn w:val="24"/>
    <w:qFormat/>
    <w:uiPriority w:val="0"/>
    <w:rPr>
      <w:rFonts w:ascii="Arial" w:hAnsi="Arial" w:eastAsia="Yu Gothic Light" w:cs="Times New Roman"/>
      <w:i/>
      <w:iCs/>
      <w:color w:val="595959"/>
      <w:kern w:val="0"/>
      <w:sz w:val="24"/>
    </w:rPr>
  </w:style>
  <w:style w:type="character" w:customStyle="1" w:styleId="36">
    <w:name w:val="Heading 7 Char"/>
    <w:basedOn w:val="24"/>
    <w:qFormat/>
    <w:uiPriority w:val="0"/>
    <w:rPr>
      <w:rFonts w:ascii="Arial" w:hAnsi="Arial" w:eastAsia="Yu Gothic Light" w:cs="Times New Roman"/>
      <w:color w:val="595959"/>
      <w:kern w:val="0"/>
      <w:sz w:val="24"/>
    </w:rPr>
  </w:style>
  <w:style w:type="character" w:customStyle="1" w:styleId="37">
    <w:name w:val="Heading 8 Char"/>
    <w:basedOn w:val="24"/>
    <w:qFormat/>
    <w:uiPriority w:val="0"/>
    <w:rPr>
      <w:rFonts w:ascii="Arial" w:hAnsi="Arial" w:eastAsia="Yu Gothic Light" w:cs="Times New Roman"/>
      <w:i/>
      <w:iCs/>
      <w:color w:val="272727"/>
      <w:kern w:val="0"/>
      <w:sz w:val="24"/>
    </w:rPr>
  </w:style>
  <w:style w:type="character" w:customStyle="1" w:styleId="38">
    <w:name w:val="Heading 9 Char"/>
    <w:basedOn w:val="24"/>
    <w:qFormat/>
    <w:uiPriority w:val="0"/>
    <w:rPr>
      <w:rFonts w:ascii="Arial" w:hAnsi="Arial" w:eastAsia="Yu Gothic Light" w:cs="Times New Roman"/>
      <w:color w:val="272727"/>
      <w:kern w:val="0"/>
      <w:sz w:val="24"/>
    </w:rPr>
  </w:style>
  <w:style w:type="character" w:customStyle="1" w:styleId="39">
    <w:name w:val="Title Char"/>
    <w:basedOn w:val="24"/>
    <w:qFormat/>
    <w:uiPriority w:val="0"/>
    <w:rPr>
      <w:rFonts w:ascii="Aptos Display" w:hAnsi="Aptos Display" w:eastAsia="Yu Gothic Light" w:cs="Times New Roman"/>
      <w:spacing w:val="-10"/>
      <w:kern w:val="3"/>
      <w:sz w:val="56"/>
      <w:szCs w:val="56"/>
    </w:rPr>
  </w:style>
  <w:style w:type="character" w:customStyle="1" w:styleId="40">
    <w:name w:val="Subtitle Char"/>
    <w:basedOn w:val="24"/>
    <w:qFormat/>
    <w:uiPriority w:val="0"/>
    <w:rPr>
      <w:rFonts w:eastAsia="Yu Gothic Light" w:cs="Times New Roman"/>
      <w:color w:val="595959"/>
      <w:spacing w:val="15"/>
      <w:sz w:val="28"/>
      <w:szCs w:val="28"/>
    </w:rPr>
  </w:style>
  <w:style w:type="paragraph" w:styleId="41">
    <w:name w:val="Quote"/>
    <w:basedOn w:val="1"/>
    <w:next w:val="1"/>
    <w:qFormat/>
    <w:uiPriority w:val="0"/>
    <w:pPr>
      <w:spacing w:before="160"/>
      <w:jc w:val="center"/>
    </w:pPr>
    <w:rPr>
      <w:i/>
      <w:iCs/>
      <w:color w:val="404040"/>
    </w:rPr>
  </w:style>
  <w:style w:type="character" w:customStyle="1" w:styleId="42">
    <w:name w:val="Quote Char"/>
    <w:basedOn w:val="24"/>
    <w:qFormat/>
    <w:uiPriority w:val="0"/>
    <w:rPr>
      <w:i/>
      <w:iCs/>
      <w:color w:val="404040"/>
    </w:rPr>
  </w:style>
  <w:style w:type="paragraph" w:styleId="43">
    <w:name w:val="List Paragraph"/>
    <w:basedOn w:val="1"/>
    <w:qFormat/>
    <w:uiPriority w:val="0"/>
    <w:pPr>
      <w:ind w:left="720"/>
    </w:pPr>
  </w:style>
  <w:style w:type="character" w:customStyle="1" w:styleId="44">
    <w:name w:val="Intense Emphasis1"/>
    <w:basedOn w:val="24"/>
    <w:qFormat/>
    <w:uiPriority w:val="0"/>
    <w:rPr>
      <w:i/>
      <w:iCs/>
      <w:color w:val="7C9163"/>
    </w:rPr>
  </w:style>
  <w:style w:type="paragraph" w:styleId="45">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6">
    <w:name w:val="Intense Quote Char"/>
    <w:basedOn w:val="24"/>
    <w:qFormat/>
    <w:uiPriority w:val="0"/>
    <w:rPr>
      <w:i/>
      <w:iCs/>
      <w:color w:val="7C9163"/>
    </w:rPr>
  </w:style>
  <w:style w:type="character" w:customStyle="1" w:styleId="47">
    <w:name w:val="Intense Reference1"/>
    <w:basedOn w:val="24"/>
    <w:qFormat/>
    <w:uiPriority w:val="0"/>
    <w:rPr>
      <w:b/>
      <w:bCs/>
      <w:smallCaps/>
      <w:color w:val="7C9163"/>
      <w:spacing w:val="5"/>
    </w:rPr>
  </w:style>
  <w:style w:type="character" w:customStyle="1" w:styleId="48">
    <w:name w:val="Header Char"/>
    <w:basedOn w:val="24"/>
    <w:qFormat/>
    <w:uiPriority w:val="0"/>
    <w:rPr>
      <w:rFonts w:ascii="Arial" w:hAnsi="Arial"/>
      <w:kern w:val="0"/>
      <w:sz w:val="24"/>
    </w:rPr>
  </w:style>
  <w:style w:type="character" w:customStyle="1" w:styleId="49">
    <w:name w:val="Footer Char"/>
    <w:basedOn w:val="24"/>
    <w:qFormat/>
    <w:uiPriority w:val="0"/>
    <w:rPr>
      <w:rFonts w:ascii="Arial" w:hAnsi="Arial"/>
      <w:kern w:val="0"/>
      <w:sz w:val="24"/>
    </w:rPr>
  </w:style>
  <w:style w:type="paragraph" w:styleId="50">
    <w:name w:val="No Spacing"/>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1">
    <w:name w:val="Comment Reference1"/>
    <w:basedOn w:val="24"/>
    <w:qFormat/>
    <w:uiPriority w:val="0"/>
    <w:rPr>
      <w:sz w:val="16"/>
      <w:szCs w:val="16"/>
    </w:rPr>
  </w:style>
  <w:style w:type="paragraph" w:customStyle="1" w:styleId="52">
    <w:name w:val="Comment Text1"/>
    <w:basedOn w:val="1"/>
    <w:qFormat/>
    <w:uiPriority w:val="0"/>
    <w:rPr>
      <w:rFonts w:eastAsia="Yu Gothic"/>
      <w:sz w:val="20"/>
      <w:szCs w:val="20"/>
    </w:rPr>
  </w:style>
  <w:style w:type="character" w:customStyle="1" w:styleId="53">
    <w:name w:val="Comment Text Char"/>
    <w:basedOn w:val="24"/>
    <w:qFormat/>
    <w:uiPriority w:val="0"/>
    <w:rPr>
      <w:rFonts w:ascii="Arial" w:hAnsi="Arial" w:eastAsia="Yu Gothic"/>
      <w:kern w:val="0"/>
      <w:sz w:val="20"/>
      <w:szCs w:val="20"/>
    </w:rPr>
  </w:style>
  <w:style w:type="character" w:customStyle="1" w:styleId="54">
    <w:name w:val="Balloon Text Char"/>
    <w:basedOn w:val="24"/>
    <w:qFormat/>
    <w:uiPriority w:val="0"/>
    <w:rPr>
      <w:rFonts w:ascii="Segoe UI" w:hAnsi="Segoe UI" w:cs="Segoe UI"/>
      <w:kern w:val="0"/>
      <w:sz w:val="18"/>
      <w:szCs w:val="18"/>
    </w:rPr>
  </w:style>
  <w:style w:type="paragraph" w:customStyle="1" w:styleId="55">
    <w:name w:val="Comment Subject1"/>
    <w:basedOn w:val="52"/>
    <w:next w:val="52"/>
    <w:qFormat/>
    <w:uiPriority w:val="0"/>
    <w:pPr>
      <w:spacing w:after="160"/>
    </w:pPr>
    <w:rPr>
      <w:rFonts w:eastAsia="Aptos"/>
      <w:b/>
      <w:bCs/>
    </w:rPr>
  </w:style>
  <w:style w:type="character" w:customStyle="1" w:styleId="56">
    <w:name w:val="Comment Subject Char"/>
    <w:basedOn w:val="53"/>
    <w:qFormat/>
    <w:uiPriority w:val="0"/>
    <w:rPr>
      <w:rFonts w:ascii="Arial" w:hAnsi="Arial" w:eastAsia="Yu Gothic"/>
      <w:b/>
      <w:bCs/>
      <w:kern w:val="0"/>
      <w:sz w:val="20"/>
      <w:szCs w:val="20"/>
    </w:rPr>
  </w:style>
  <w:style w:type="paragraph" w:customStyle="1" w:styleId="57">
    <w:name w:val="Default"/>
    <w:qFormat/>
    <w:uiPriority w:val="0"/>
    <w:pPr>
      <w:suppressAutoHyphens/>
      <w:autoSpaceDE w:val="0"/>
      <w:autoSpaceDN w:val="0"/>
      <w:textAlignment w:val="baseline"/>
    </w:pPr>
    <w:rPr>
      <w:rFonts w:ascii="Times New Roman" w:hAnsi="Times New Roman" w:cs="Times New Roman" w:eastAsiaTheme="minorEastAsia"/>
      <w:color w:val="000000"/>
      <w:sz w:val="24"/>
      <w:szCs w:val="24"/>
      <w:lang w:val="en-GB" w:eastAsia="en-US" w:bidi="ar-SA"/>
    </w:rPr>
  </w:style>
  <w:style w:type="paragraph" w:customStyle="1" w:styleId="58">
    <w:name w:val="Revision1"/>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9">
    <w:name w:val="Mention1"/>
    <w:basedOn w:val="24"/>
    <w:qFormat/>
    <w:uiPriority w:val="0"/>
    <w:rPr>
      <w:color w:val="2B579A"/>
      <w:shd w:val="clear" w:color="auto" w:fill="E6E6E6"/>
    </w:rPr>
  </w:style>
  <w:style w:type="paragraph" w:customStyle="1" w:styleId="60">
    <w:name w:val="TOC Heading1"/>
    <w:basedOn w:val="2"/>
    <w:next w:val="1"/>
    <w:qFormat/>
    <w:uiPriority w:val="0"/>
    <w:pPr>
      <w:spacing w:before="240" w:after="0"/>
    </w:pPr>
    <w:rPr>
      <w:rFonts w:ascii="Arial" w:hAnsi="Arial"/>
      <w:b/>
      <w:color w:val="auto"/>
      <w:sz w:val="36"/>
      <w:szCs w:val="32"/>
      <w:lang w:val="en-US"/>
    </w:rPr>
  </w:style>
  <w:style w:type="character" w:styleId="61">
    <w:name w:val="Placeholder Text"/>
    <w:basedOn w:val="24"/>
    <w:qFormat/>
    <w:uiPriority w:val="0"/>
    <w:rPr>
      <w:color w:val="808080"/>
    </w:rPr>
  </w:style>
  <w:style w:type="character" w:customStyle="1" w:styleId="62">
    <w:name w:val="Unresolved Mention1"/>
    <w:basedOn w:val="24"/>
    <w:qFormat/>
    <w:uiPriority w:val="0"/>
    <w:rPr>
      <w:color w:val="605E5C"/>
      <w:shd w:val="clear" w:color="auto" w:fill="E1DFDD"/>
    </w:rPr>
  </w:style>
  <w:style w:type="paragraph" w:customStyle="1" w:styleId="63">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4">
    <w:name w:val="normaltextrun"/>
    <w:basedOn w:val="24"/>
    <w:qFormat/>
    <w:uiPriority w:val="0"/>
  </w:style>
  <w:style w:type="character" w:customStyle="1" w:styleId="65">
    <w:name w:val="eop"/>
    <w:basedOn w:val="24"/>
    <w:qFormat/>
    <w:uiPriority w:val="0"/>
  </w:style>
  <w:style w:type="character" w:customStyle="1" w:styleId="66">
    <w:name w:val="contextualspellingandgrammarerror"/>
    <w:basedOn w:val="24"/>
    <w:qFormat/>
    <w:uiPriority w:val="0"/>
  </w:style>
  <w:style w:type="character" w:customStyle="1" w:styleId="67">
    <w:name w:val="advancedproofingissue"/>
    <w:basedOn w:val="24"/>
    <w:qFormat/>
    <w:uiPriority w:val="0"/>
  </w:style>
  <w:style w:type="character" w:customStyle="1" w:styleId="68">
    <w:name w:val="Footnote Text Char"/>
    <w:basedOn w:val="24"/>
    <w:qFormat/>
    <w:uiPriority w:val="0"/>
    <w:rPr>
      <w:rFonts w:ascii="Arial" w:hAnsi="Arial"/>
      <w:kern w:val="0"/>
      <w:sz w:val="20"/>
      <w:szCs w:val="20"/>
    </w:rPr>
  </w:style>
  <w:style w:type="paragraph" w:customStyle="1" w:styleId="69">
    <w:name w:val="FFW Level 1"/>
    <w:basedOn w:val="43"/>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jc w:val="both"/>
      <w:textAlignment w:val="auto"/>
    </w:pPr>
    <w:rPr>
      <w:rFonts w:eastAsia="MS Gothic"/>
      <w:color w:val="156082"/>
      <w:szCs w:val="24"/>
      <w:lang w:eastAsia="zh-CN"/>
    </w:rPr>
  </w:style>
  <w:style w:type="paragraph" w:customStyle="1" w:styleId="70">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 w:type="paragraph" w:customStyle="1" w:styleId="71">
    <w:name w:val="Revision"/>
    <w:hidden/>
    <w:unhideWhenUsed/>
    <w:qFormat/>
    <w:uiPriority w:val="99"/>
    <w:rPr>
      <w:rFonts w:ascii="Arial" w:hAnsi="Arial" w:cs="Arial" w:eastAsiaTheme="minorEastAsia"/>
      <w:sz w:val="24"/>
      <w:szCs w:val="22"/>
      <w:lang w:val="en-GB" w:eastAsia="en-US" w:bidi="ar-SA"/>
    </w:rPr>
  </w:style>
  <w:style w:type="character" w:customStyle="1" w:styleId="72">
    <w:name w:val="Comment Text Char1"/>
    <w:basedOn w:val="24"/>
    <w:link w:val="11"/>
    <w:qFormat/>
    <w:uiPriority w:val="99"/>
    <w:rPr>
      <w:rFonts w:ascii="Arial" w:hAnsi="Arial" w:cs="Arial" w:eastAsiaTheme="minorEastAsia"/>
      <w:sz w:val="24"/>
      <w:szCs w:val="22"/>
      <w:lang w:val="en-GB" w:eastAsia="en-US"/>
    </w:rPr>
  </w:style>
  <w:style w:type="character" w:customStyle="1" w:styleId="73">
    <w:name w:val="Comment Subject Char1"/>
    <w:basedOn w:val="72"/>
    <w:link w:val="22"/>
    <w:semiHidden/>
    <w:qFormat/>
    <w:uiPriority w:val="99"/>
    <w:rPr>
      <w:rFonts w:ascii="Arial" w:hAnsi="Arial" w:cs="Arial" w:eastAsiaTheme="minorEastAsia"/>
      <w:b/>
      <w:bCs/>
      <w:sz w:val="24"/>
      <w:szCs w:val="22"/>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customXml" Target="../customXml/item1.xml"/><Relationship Id="rId9" Type="http://schemas.openxmlformats.org/officeDocument/2006/relationships/numbering" Target="numbering.xml"/><Relationship Id="rId4"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5BF4E69-B481-43A6-8E4A-72A8541460C2}">
  <ds:schemaRefs/>
</ds:datastoreItem>
</file>

<file path=customXml/itemProps2.xml><?xml version="1.0" encoding="utf-8"?>
<ds:datastoreItem xmlns:ds="http://schemas.openxmlformats.org/officeDocument/2006/customXml" ds:itemID="{4B8967EE-582A-4D7E-8954-40590E9B15EC}"/>
</file>

<file path=customXml/itemProps3.xml><?xml version="1.0" encoding="utf-8"?>
<ds:datastoreItem xmlns:ds="http://schemas.openxmlformats.org/officeDocument/2006/customXml" ds:itemID="{AC147B45-FF26-4174-A267-3EE33D00A0FB}"/>
</file>

<file path=customXml/itemProps4.xml><?xml version="1.0" encoding="utf-8"?>
<ds:datastoreItem xmlns:ds="http://schemas.openxmlformats.org/officeDocument/2006/customXml" ds:itemID="{2E0B948A-F8EE-4D11-9E1F-E1A3A04357DF}"/>
</file>

<file path=docProps/app.xml><?xml version="1.0" encoding="utf-8"?>
<Properties xmlns="http://schemas.openxmlformats.org/officeDocument/2006/extended-properties" xmlns:vt="http://schemas.openxmlformats.org/officeDocument/2006/docPropsVTypes">
  <Template>Normal</Template>
  <Pages>26</Pages>
  <Words>1447</Words>
  <Characters>8089</Characters>
  <Lines>212</Lines>
  <Paragraphs>59</Paragraphs>
  <TotalTime>1</TotalTime>
  <ScaleCrop>false</ScaleCrop>
  <LinksUpToDate>false</LinksUpToDate>
  <CharactersWithSpaces>9462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2026-01-13T07:18:00Z</dcterms:created>
  <dcterms:modified xsi:type="dcterms:W3CDTF">2026-02-02T02:24:27Z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eyJoZGlkIjoiNWRiN2EzOTIwNTFkMWRjYjlhM2M2MjEwMTAzOTAyMTAiLCJ1c2VySWQiOiIzNzA1NjEzMjIifQ==</vt:lpwstr>
  </property>
  <property fmtid="{D5CDD505-2E9C-101B-9397-08002B2CF9AE}" pid="3" name="KSOProductBuildVer">
    <vt:lpwstr>2052-12.1.0.24657</vt:lpwstr>
  </property>
  <property fmtid="{D5CDD505-2E9C-101B-9397-08002B2CF9AE}" pid="4" name="ICV">
    <vt:lpwstr>6A548251F55B44A5B330F0A28446CC5A_13</vt:lpwstr>
  </property>
  <property fmtid="{D5CDD505-2E9C-101B-9397-08002B2CF9AE}" pid="5" name="ContentTypeId">
    <vt:lpwstr>0x010100C9280E48E807ED4AA4BA7BE40CA69573</vt:lpwstr>
  </property>
</Properties>
</file>