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39F5" w14:textId="77777777" w:rsidR="0073060E" w:rsidRDefault="0073060E"/>
    <w:p w14:paraId="02D939F6" w14:textId="77777777" w:rsidR="0073060E" w:rsidRDefault="003E5622">
      <w:pPr>
        <w:spacing w:after="160" w:line="22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Registration Form</w:t>
      </w:r>
    </w:p>
    <w:p w14:paraId="02D939F7" w14:textId="647F0DDA" w:rsidR="0073060E" w:rsidRPr="001C1EA6" w:rsidRDefault="00CB01EB">
      <w:pPr>
        <w:spacing w:after="160" w:line="22" w:lineRule="atLeast"/>
        <w:jc w:val="center"/>
      </w:pPr>
      <w:bookmarkStart w:id="0" w:name="_Hlk105431538"/>
      <w:r>
        <w:rPr>
          <w:b/>
          <w:bCs/>
          <w:sz w:val="36"/>
          <w:szCs w:val="36"/>
        </w:rPr>
        <w:t>Tariff Rate Quota</w:t>
      </w:r>
      <w:r w:rsidR="006D287E">
        <w:rPr>
          <w:b/>
          <w:bCs/>
          <w:sz w:val="36"/>
          <w:szCs w:val="36"/>
        </w:rPr>
        <w:t xml:space="preserve"> </w:t>
      </w:r>
      <w:r w:rsidR="00B46987">
        <w:rPr>
          <w:b/>
          <w:bCs/>
          <w:sz w:val="36"/>
          <w:szCs w:val="36"/>
        </w:rPr>
        <w:t xml:space="preserve">(TRQ) </w:t>
      </w:r>
      <w:r w:rsidR="005263BA">
        <w:rPr>
          <w:b/>
          <w:bCs/>
          <w:sz w:val="36"/>
          <w:szCs w:val="36"/>
        </w:rPr>
        <w:t>Review</w:t>
      </w:r>
      <w:r w:rsidR="001C1EA6">
        <w:rPr>
          <w:b/>
          <w:bCs/>
          <w:sz w:val="36"/>
          <w:szCs w:val="36"/>
        </w:rPr>
        <w:t xml:space="preserve"> – Deve</w:t>
      </w:r>
      <w:r w:rsidR="001C1EA6" w:rsidRPr="001C1EA6">
        <w:rPr>
          <w:b/>
          <w:bCs/>
          <w:sz w:val="36"/>
          <w:szCs w:val="36"/>
        </w:rPr>
        <w:t>loping Country Exception</w:t>
      </w:r>
    </w:p>
    <w:p w14:paraId="02D939F8" w14:textId="48A9B4AC" w:rsidR="0073060E" w:rsidRDefault="003E5622">
      <w:pPr>
        <w:tabs>
          <w:tab w:val="left" w:pos="2130"/>
        </w:tabs>
        <w:spacing w:line="22" w:lineRule="atLeast"/>
        <w:jc w:val="center"/>
      </w:pPr>
      <w:r w:rsidRPr="00813E09">
        <w:rPr>
          <w:b/>
          <w:sz w:val="36"/>
          <w:szCs w:val="36"/>
        </w:rPr>
        <w:t>Case</w:t>
      </w:r>
      <w:r w:rsidRPr="00813E09">
        <w:rPr>
          <w:b/>
          <w:bCs/>
          <w:sz w:val="36"/>
          <w:szCs w:val="36"/>
        </w:rPr>
        <w:t xml:space="preserve"> No.</w:t>
      </w:r>
      <w:r w:rsidRPr="00813E09">
        <w:rPr>
          <w:b/>
          <w:sz w:val="36"/>
          <w:szCs w:val="36"/>
        </w:rPr>
        <w:t xml:space="preserve"> </w:t>
      </w:r>
      <w:r w:rsidR="00B36244" w:rsidRPr="00B84EF9">
        <w:rPr>
          <w:b/>
          <w:sz w:val="36"/>
          <w:szCs w:val="36"/>
        </w:rPr>
        <w:t>TQ00</w:t>
      </w:r>
      <w:r w:rsidR="00EE2CC0">
        <w:rPr>
          <w:b/>
          <w:sz w:val="36"/>
          <w:szCs w:val="36"/>
        </w:rPr>
        <w:t>85</w:t>
      </w:r>
    </w:p>
    <w:bookmarkEnd w:id="0"/>
    <w:p w14:paraId="02D939F9" w14:textId="77777777" w:rsidR="0073060E" w:rsidRDefault="0073060E">
      <w:pPr>
        <w:tabs>
          <w:tab w:val="left" w:pos="2130"/>
        </w:tabs>
        <w:spacing w:line="22" w:lineRule="atLeast"/>
        <w:jc w:val="center"/>
        <w:rPr>
          <w:b/>
          <w:color w:val="FF0000"/>
          <w:sz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456"/>
        <w:gridCol w:w="5076"/>
      </w:tblGrid>
      <w:tr w:rsidR="0073060E" w14:paraId="02D939FC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A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  <w:color w:val="000000"/>
              </w:rPr>
              <w:t>Period of Investigation: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B" w14:textId="60B25509" w:rsidR="0073060E" w:rsidRDefault="005D120D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1 </w:t>
            </w:r>
            <w:r w:rsidR="00817D7A">
              <w:rPr>
                <w:rFonts w:eastAsia="Arial"/>
                <w:color w:val="000000"/>
              </w:rPr>
              <w:t>January 2025</w:t>
            </w:r>
            <w:r>
              <w:rPr>
                <w:rFonts w:eastAsia="Arial"/>
                <w:color w:val="000000"/>
              </w:rPr>
              <w:t xml:space="preserve"> to 3</w:t>
            </w:r>
            <w:r w:rsidR="00817D7A">
              <w:rPr>
                <w:rFonts w:eastAsia="Arial"/>
                <w:color w:val="000000"/>
              </w:rPr>
              <w:t>1</w:t>
            </w:r>
            <w:r>
              <w:rPr>
                <w:rFonts w:eastAsia="Arial"/>
                <w:color w:val="000000"/>
              </w:rPr>
              <w:t xml:space="preserve"> </w:t>
            </w:r>
            <w:r w:rsidR="00817D7A">
              <w:rPr>
                <w:rFonts w:eastAsia="Arial"/>
                <w:color w:val="000000"/>
              </w:rPr>
              <w:t xml:space="preserve">December </w:t>
            </w:r>
            <w:r>
              <w:rPr>
                <w:rFonts w:eastAsia="Arial"/>
                <w:color w:val="000000"/>
              </w:rPr>
              <w:t>2025</w:t>
            </w:r>
          </w:p>
        </w:tc>
      </w:tr>
      <w:tr w:rsidR="0073060E" w14:paraId="02D939FF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D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E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2" w14:textId="77777777" w:rsidTr="00EE2CC0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0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  <w:color w:val="000000"/>
              </w:rPr>
              <w:t>Deadline for response: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1" w14:textId="515EFE33" w:rsidR="0073060E" w:rsidRPr="00EE2CC0" w:rsidRDefault="00EE2CC0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 w:rsidRPr="00EE2CC0">
              <w:rPr>
                <w:rFonts w:eastAsia="Arial"/>
                <w:color w:val="000000"/>
              </w:rPr>
              <w:t>6 March 2026</w:t>
            </w:r>
          </w:p>
        </w:tc>
      </w:tr>
      <w:tr w:rsidR="0073060E" w14:paraId="02D93A05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3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4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8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6" w14:textId="77777777" w:rsidR="0073060E" w:rsidRDefault="003E562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bCs/>
                <w:color w:val="000000"/>
              </w:rPr>
              <w:t>Case Team Contact: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7" w14:textId="51237797" w:rsidR="0073060E" w:rsidRDefault="00B36244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 w:rsidRPr="00B36244">
              <w:rPr>
                <w:rFonts w:eastAsia="Arial"/>
                <w:color w:val="000000"/>
              </w:rPr>
              <w:t>TQ00</w:t>
            </w:r>
            <w:r w:rsidR="00EE2CC0">
              <w:rPr>
                <w:rFonts w:eastAsia="Arial"/>
                <w:color w:val="000000"/>
              </w:rPr>
              <w:t>85</w:t>
            </w:r>
            <w:r w:rsidR="001C1EA6">
              <w:rPr>
                <w:rFonts w:eastAsia="Arial"/>
                <w:color w:val="000000"/>
              </w:rPr>
              <w:t>@</w:t>
            </w:r>
            <w:r w:rsidR="003E5622">
              <w:rPr>
                <w:rFonts w:eastAsia="Arial"/>
                <w:color w:val="000000"/>
              </w:rPr>
              <w:t>traderemedies.gov.uk</w:t>
            </w:r>
          </w:p>
        </w:tc>
      </w:tr>
      <w:tr w:rsidR="0073060E" w14:paraId="02D93A0B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9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A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F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C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</w:rPr>
              <w:t>Completed on behalf of: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D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Style w:val="PlaceholderText"/>
              </w:rPr>
              <w:t>Click or tap here to enter text.</w:t>
            </w:r>
          </w:p>
          <w:p w14:paraId="02D93A0E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FF0000"/>
              </w:rPr>
            </w:pPr>
          </w:p>
        </w:tc>
      </w:tr>
      <w:tr w:rsidR="0073060E" w14:paraId="02D93A12" w14:textId="77777777" w:rsidTr="6BB9852A">
        <w:tc>
          <w:tcPr>
            <w:tcW w:w="3966" w:type="dxa"/>
            <w:tcBorders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0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FF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1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FF0000"/>
              </w:rPr>
            </w:pPr>
          </w:p>
        </w:tc>
      </w:tr>
      <w:tr w:rsidR="0073060E" w14:paraId="02D93A1F" w14:textId="77777777" w:rsidTr="6BB9852A">
        <w:trPr>
          <w:trHeight w:val="2460"/>
        </w:trPr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3" w14:textId="77777777" w:rsidR="0073060E" w:rsidRDefault="003E562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Party type (select): 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4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Arial"/>
              </w:rPr>
              <w:t xml:space="preserve">   </w:t>
            </w:r>
          </w:p>
          <w:p w14:paraId="02D93A15" w14:textId="77777777" w:rsidR="0073060E" w:rsidRDefault="0073060E">
            <w:pPr>
              <w:rPr>
                <w:rFonts w:eastAsia="Arial"/>
              </w:rPr>
            </w:pPr>
          </w:p>
          <w:p w14:paraId="02D93A19" w14:textId="7B122B8B" w:rsidR="0073060E" w:rsidRDefault="00FD3419" w:rsidP="00436709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  <w:r w:rsidRPr="00FD3419">
              <w:rPr>
                <w:rFonts w:eastAsia="Arial"/>
                <w:color w:val="FF0000"/>
              </w:rPr>
              <w:t>X</w:t>
            </w:r>
          </w:p>
        </w:tc>
        <w:tc>
          <w:tcPr>
            <w:tcW w:w="507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93A1A" w14:textId="28CA5969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t xml:space="preserve">UK producer </w:t>
            </w:r>
          </w:p>
          <w:p w14:paraId="02D93A1B" w14:textId="77777777" w:rsidR="0073060E" w:rsidRDefault="0073060E">
            <w:pPr>
              <w:tabs>
                <w:tab w:val="left" w:pos="2130"/>
              </w:tabs>
              <w:spacing w:line="22" w:lineRule="atLeast"/>
            </w:pPr>
          </w:p>
          <w:p w14:paraId="02D93A1E" w14:textId="77777777" w:rsidR="0073060E" w:rsidRDefault="003E5622">
            <w:pPr>
              <w:tabs>
                <w:tab w:val="left" w:pos="1058"/>
              </w:tabs>
            </w:pPr>
            <w:r>
              <w:t>Other</w:t>
            </w:r>
          </w:p>
        </w:tc>
      </w:tr>
    </w:tbl>
    <w:p w14:paraId="02D93A20" w14:textId="77777777" w:rsidR="0073060E" w:rsidRDefault="0073060E">
      <w:pPr>
        <w:rPr>
          <w:lang w:val="en-US"/>
        </w:rPr>
      </w:pPr>
    </w:p>
    <w:p w14:paraId="02D93A21" w14:textId="77777777" w:rsidR="0073060E" w:rsidRDefault="0073060E">
      <w:pPr>
        <w:rPr>
          <w:lang w:val="en-US"/>
        </w:rPr>
      </w:pPr>
    </w:p>
    <w:p w14:paraId="02D93A22" w14:textId="77777777" w:rsidR="0073060E" w:rsidRDefault="0073060E">
      <w:pPr>
        <w:rPr>
          <w:lang w:val="en-US"/>
        </w:rPr>
      </w:pPr>
    </w:p>
    <w:p w14:paraId="02D93A23" w14:textId="77777777" w:rsidR="0073060E" w:rsidRDefault="0073060E">
      <w:pPr>
        <w:rPr>
          <w:lang w:val="en-US"/>
        </w:rPr>
      </w:pPr>
    </w:p>
    <w:p w14:paraId="02D93A24" w14:textId="77777777" w:rsidR="0073060E" w:rsidRDefault="0073060E">
      <w:pPr>
        <w:rPr>
          <w:lang w:val="en-US"/>
        </w:rPr>
      </w:pPr>
    </w:p>
    <w:p w14:paraId="02D93A25" w14:textId="77777777" w:rsidR="0073060E" w:rsidRDefault="0073060E">
      <w:pPr>
        <w:rPr>
          <w:lang w:val="en-US"/>
        </w:rPr>
      </w:pPr>
    </w:p>
    <w:p w14:paraId="02D93A26" w14:textId="77777777" w:rsidR="0073060E" w:rsidRDefault="0073060E">
      <w:pPr>
        <w:rPr>
          <w:lang w:val="en-US"/>
        </w:rPr>
      </w:pPr>
    </w:p>
    <w:p w14:paraId="02D93A27" w14:textId="77777777" w:rsidR="0073060E" w:rsidRDefault="003E5622">
      <w:pPr>
        <w:pStyle w:val="NormalWeb"/>
        <w:spacing w:line="22" w:lineRule="atLeast"/>
        <w:contextualSpacing/>
      </w:pPr>
      <w:r>
        <w:rPr>
          <w:rFonts w:ascii="Arial" w:eastAsia="Arial" w:hAnsi="Arial" w:cs="Arial"/>
          <w:color w:val="000000"/>
        </w:rPr>
        <w:t xml:space="preserve">When you have completed this form, indicate the </w:t>
      </w:r>
      <w:r>
        <w:rPr>
          <w:rFonts w:ascii="Arial" w:eastAsia="Arial" w:hAnsi="Arial" w:cs="Arial"/>
          <w:b/>
          <w:bCs/>
          <w:color w:val="000000"/>
        </w:rPr>
        <w:t>confidentiality</w:t>
      </w:r>
      <w:r>
        <w:rPr>
          <w:rFonts w:ascii="Arial" w:eastAsia="Arial" w:hAnsi="Arial" w:cs="Arial"/>
          <w:color w:val="000000"/>
        </w:rPr>
        <w:t xml:space="preserve"> status of this document by placing an X in the relevant box below</w:t>
      </w:r>
      <w:r>
        <w:rPr>
          <w:rFonts w:ascii="Arial" w:eastAsia="Arial" w:hAnsi="Arial" w:cs="Arial"/>
        </w:rPr>
        <w:t xml:space="preserve"> and in the header. </w:t>
      </w:r>
      <w:r>
        <w:rPr>
          <w:rStyle w:val="normaltextrun"/>
          <w:rFonts w:ascii="Arial" w:hAnsi="Arial" w:cs="Arial"/>
          <w:u w:val="single"/>
        </w:rPr>
        <w:t xml:space="preserve">We strongly recommend this questionnaire to be completed on the </w:t>
      </w:r>
      <w:r>
        <w:rPr>
          <w:rStyle w:val="findhit"/>
          <w:rFonts w:ascii="Arial" w:hAnsi="Arial" w:cs="Arial"/>
          <w:u w:val="single"/>
        </w:rPr>
        <w:t>computer</w:t>
      </w:r>
      <w:r>
        <w:rPr>
          <w:rStyle w:val="normaltextrun"/>
          <w:rFonts w:ascii="Arial" w:hAnsi="Arial" w:cs="Arial"/>
          <w:u w:val="single"/>
        </w:rPr>
        <w:t>, so this step is easy to complete:</w:t>
      </w:r>
    </w:p>
    <w:p w14:paraId="02D93A28" w14:textId="77777777" w:rsidR="0073060E" w:rsidRDefault="003E5622">
      <w:pPr>
        <w:spacing w:line="22" w:lineRule="atLeast"/>
        <w:contextualSpacing/>
      </w:pPr>
      <w:r>
        <w:rPr>
          <w:rFonts w:ascii="MS Gothic" w:eastAsia="MS Gothic" w:hAnsi="MS Gothic" w:cs="Segoe UI Symbol"/>
          <w:b/>
          <w:bCs/>
          <w:color w:val="000000"/>
        </w:rPr>
        <w:t>☐</w:t>
      </w:r>
      <w:r>
        <w:rPr>
          <w:rFonts w:eastAsia="Arial"/>
          <w:color w:val="000000"/>
        </w:rPr>
        <w:t>Confidential</w:t>
      </w:r>
    </w:p>
    <w:p w14:paraId="02D93A29" w14:textId="6A4182B1" w:rsidR="0073060E" w:rsidRDefault="003E5622">
      <w:pPr>
        <w:spacing w:line="22" w:lineRule="atLeast"/>
        <w:contextualSpacing/>
      </w:pPr>
      <w:r>
        <w:rPr>
          <w:rFonts w:ascii="MS Gothic" w:eastAsia="MS Gothic" w:hAnsi="MS Gothic" w:cs="Segoe UI Symbol"/>
          <w:b/>
          <w:bCs/>
          <w:color w:val="000000"/>
        </w:rPr>
        <w:t>☐</w:t>
      </w:r>
      <w:r>
        <w:rPr>
          <w:rFonts w:eastAsia="Arial"/>
          <w:color w:val="000000"/>
        </w:rPr>
        <w:t xml:space="preserve">Non-Confidential – </w:t>
      </w:r>
      <w:r w:rsidR="005577CC">
        <w:rPr>
          <w:rFonts w:eastAsia="Arial"/>
          <w:color w:val="000000"/>
        </w:rPr>
        <w:t xml:space="preserve">will </w:t>
      </w:r>
      <w:r>
        <w:rPr>
          <w:rFonts w:eastAsia="Arial"/>
          <w:color w:val="000000"/>
        </w:rPr>
        <w:t>be made publicly available</w:t>
      </w:r>
    </w:p>
    <w:p w14:paraId="02D93A2A" w14:textId="77777777" w:rsidR="0073060E" w:rsidRDefault="0073060E">
      <w:pPr>
        <w:spacing w:line="22" w:lineRule="atLeast"/>
        <w:contextualSpacing/>
        <w:rPr>
          <w:rFonts w:eastAsia="Arial"/>
          <w:color w:val="000000"/>
        </w:rPr>
      </w:pPr>
    </w:p>
    <w:p w14:paraId="02D93A2B" w14:textId="26C04003" w:rsidR="0073060E" w:rsidRDefault="003E5622">
      <w:pPr>
        <w:spacing w:line="22" w:lineRule="atLeast"/>
        <w:contextualSpacing/>
      </w:pPr>
      <w:r>
        <w:rPr>
          <w:rFonts w:eastAsia="Arial"/>
          <w:color w:val="000000"/>
        </w:rPr>
        <w:t>Parties providing confidential information should also provide a non-confidential summary of that information or a statement of reasons why it cannot be summarised</w:t>
      </w:r>
      <w:r>
        <w:rPr>
          <w:rFonts w:eastAsia="Arial"/>
          <w:b/>
          <w:bCs/>
          <w:color w:val="000000"/>
        </w:rPr>
        <w:t xml:space="preserve">. </w:t>
      </w:r>
      <w:r>
        <w:rPr>
          <w:rFonts w:eastAsia="Arial"/>
          <w:color w:val="000000"/>
        </w:rPr>
        <w:t>Both copies must be returned to the TRA using the Trade Remedies Service (</w:t>
      </w:r>
      <w:hyperlink r:id="rId8" w:history="1">
        <w:r>
          <w:rPr>
            <w:rStyle w:val="Hyperlink"/>
            <w:rFonts w:eastAsia="Arial"/>
          </w:rPr>
          <w:t>www.trade-remedies.service.gov.uk</w:t>
        </w:r>
      </w:hyperlink>
      <w:r>
        <w:rPr>
          <w:rFonts w:eastAsia="Arial"/>
          <w:color w:val="000000"/>
        </w:rPr>
        <w:t xml:space="preserve">) by </w:t>
      </w:r>
      <w:r w:rsidR="00EE2CC0">
        <w:rPr>
          <w:rFonts w:eastAsia="Arial"/>
          <w:color w:val="000000"/>
        </w:rPr>
        <w:t>6 March 2026</w:t>
      </w:r>
      <w:r w:rsidRPr="0061078F">
        <w:rPr>
          <w:rFonts w:eastAsia="Arial"/>
          <w:color w:val="000000"/>
        </w:rPr>
        <w:t>.</w:t>
      </w:r>
      <w:r>
        <w:rPr>
          <w:rFonts w:eastAsia="Arial"/>
          <w:color w:val="000000"/>
        </w:rPr>
        <w:t xml:space="preserve"> </w:t>
      </w:r>
    </w:p>
    <w:p w14:paraId="02D93A2C" w14:textId="77777777" w:rsidR="0073060E" w:rsidRDefault="003E5622">
      <w:pPr>
        <w:pStyle w:val="TOCHeading"/>
        <w:pageBreakBefore/>
        <w:spacing w:line="22" w:lineRule="atLeast"/>
        <w:jc w:val="center"/>
        <w:outlineLvl w:val="9"/>
      </w:pPr>
      <w:r>
        <w:rPr>
          <w:rFonts w:cs="Arial"/>
          <w:sz w:val="32"/>
        </w:rPr>
        <w:lastRenderedPageBreak/>
        <w:t>Table of Contents</w:t>
      </w:r>
    </w:p>
    <w:p w14:paraId="02D93A2D" w14:textId="77777777" w:rsidR="0073060E" w:rsidRDefault="0073060E"/>
    <w:p w14:paraId="02D93A2E" w14:textId="77777777" w:rsidR="0073060E" w:rsidRDefault="0073060E">
      <w:pPr>
        <w:rPr>
          <w:b/>
        </w:rPr>
      </w:pPr>
    </w:p>
    <w:p w14:paraId="56150069" w14:textId="7CDEC3E6" w:rsidR="00D40160" w:rsidRDefault="003E5622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213667374" w:history="1">
        <w:r w:rsidR="00D40160" w:rsidRPr="002921F5">
          <w:rPr>
            <w:rStyle w:val="Hyperlink"/>
            <w:noProof/>
          </w:rPr>
          <w:t>TRQ review</w:t>
        </w:r>
        <w:r w:rsidR="00D40160">
          <w:rPr>
            <w:noProof/>
          </w:rPr>
          <w:tab/>
        </w:r>
        <w:r w:rsidR="00D40160">
          <w:rPr>
            <w:noProof/>
          </w:rPr>
          <w:fldChar w:fldCharType="begin"/>
        </w:r>
        <w:r w:rsidR="00D40160">
          <w:rPr>
            <w:noProof/>
          </w:rPr>
          <w:instrText xml:space="preserve"> PAGEREF _Toc213667374 \h </w:instrText>
        </w:r>
        <w:r w:rsidR="00D40160">
          <w:rPr>
            <w:noProof/>
          </w:rPr>
        </w:r>
        <w:r w:rsidR="00D40160">
          <w:rPr>
            <w:noProof/>
          </w:rPr>
          <w:fldChar w:fldCharType="separate"/>
        </w:r>
        <w:r w:rsidR="00D40160">
          <w:rPr>
            <w:noProof/>
          </w:rPr>
          <w:t>3</w:t>
        </w:r>
        <w:r w:rsidR="00D40160">
          <w:rPr>
            <w:noProof/>
          </w:rPr>
          <w:fldChar w:fldCharType="end"/>
        </w:r>
      </w:hyperlink>
    </w:p>
    <w:p w14:paraId="7EBDB05B" w14:textId="3C085AD7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5" w:history="1">
        <w:r w:rsidRPr="002921F5">
          <w:rPr>
            <w:rStyle w:val="Hyperlink"/>
            <w:noProof/>
          </w:rPr>
          <w:t>Instructions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E2388B2" w14:textId="0070DF0A" w:rsidR="00D40160" w:rsidRDefault="00D40160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6" w:history="1">
        <w:r w:rsidRPr="002921F5">
          <w:rPr>
            <w:rStyle w:val="Hyperlink"/>
            <w:noProof/>
            <w:lang w:eastAsia="en-GB"/>
          </w:rPr>
          <w:t>I – Who should complete this form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43FF566" w14:textId="52F17715" w:rsidR="00D40160" w:rsidRDefault="00D40160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7" w:history="1">
        <w:r w:rsidRPr="002921F5">
          <w:rPr>
            <w:rStyle w:val="Hyperlink"/>
            <w:noProof/>
            <w:lang w:eastAsia="zh-CN"/>
          </w:rPr>
          <w:t>II – Note about confidentiality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64B610A3" w14:textId="5F1C10F0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8" w:history="1">
        <w:r w:rsidRPr="002921F5">
          <w:rPr>
            <w:rStyle w:val="Hyperlink"/>
            <w:noProof/>
            <w:lang w:eastAsia="zh-CN"/>
          </w:rPr>
          <w:t xml:space="preserve">Section A – </w:t>
        </w:r>
        <w:r w:rsidRPr="002921F5">
          <w:rPr>
            <w:rStyle w:val="Hyperlink"/>
            <w:bCs/>
            <w:noProof/>
          </w:rPr>
          <w:t>Your organisation’s interest in the review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37A91B1A" w14:textId="52429AB0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9" w:history="1">
        <w:r w:rsidRPr="002921F5">
          <w:rPr>
            <w:rStyle w:val="Hyperlink"/>
            <w:noProof/>
            <w:lang w:eastAsia="zh-CN"/>
          </w:rPr>
          <w:t>Section B – Comments on the application, on the expansion of the matters to be considered (referred to in the Notice of Initiation) and/or proposed intended final determination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2D93A36" w14:textId="6D817EC6" w:rsidR="0073060E" w:rsidRDefault="003E5622">
      <w:pPr>
        <w:spacing w:line="22" w:lineRule="atLeast"/>
      </w:pPr>
      <w:r>
        <w:fldChar w:fldCharType="end"/>
      </w:r>
    </w:p>
    <w:p w14:paraId="02D93A37" w14:textId="77777777" w:rsidR="0073060E" w:rsidRDefault="0073060E">
      <w:pPr>
        <w:pageBreakBefore/>
        <w:spacing w:after="160" w:line="22" w:lineRule="atLeast"/>
        <w:rPr>
          <w:b/>
          <w:sz w:val="32"/>
          <w:szCs w:val="32"/>
          <w:lang w:eastAsia="zh-CN"/>
        </w:rPr>
      </w:pPr>
    </w:p>
    <w:p w14:paraId="02D93A38" w14:textId="2E3A036A" w:rsidR="0073060E" w:rsidRDefault="00707A0D">
      <w:pPr>
        <w:pStyle w:val="Heading2"/>
      </w:pPr>
      <w:bookmarkStart w:id="1" w:name="_The_scope_of"/>
      <w:bookmarkStart w:id="2" w:name="_Toc213667374"/>
      <w:bookmarkStart w:id="3" w:name="_Hlk105431857"/>
      <w:bookmarkStart w:id="4" w:name="_Toc10708167"/>
      <w:bookmarkEnd w:id="1"/>
      <w:r>
        <w:rPr>
          <w:rStyle w:val="normaltextrun"/>
        </w:rPr>
        <w:t>TRQ</w:t>
      </w:r>
      <w:r w:rsidR="003E5622">
        <w:rPr>
          <w:rStyle w:val="normaltextrun"/>
        </w:rPr>
        <w:t xml:space="preserve"> </w:t>
      </w:r>
      <w:r w:rsidR="005263BA">
        <w:rPr>
          <w:rStyle w:val="normaltextrun"/>
        </w:rPr>
        <w:t>review</w:t>
      </w:r>
      <w:bookmarkEnd w:id="2"/>
    </w:p>
    <w:p w14:paraId="02D93A39" w14:textId="77777777" w:rsidR="0073060E" w:rsidRDefault="003E5622">
      <w:pPr>
        <w:pStyle w:val="paragraph"/>
        <w:spacing w:before="0" w:after="0"/>
        <w:textAlignment w:val="baseline"/>
      </w:pPr>
      <w:r>
        <w:rPr>
          <w:rStyle w:val="eop"/>
          <w:rFonts w:ascii="Arial" w:hAnsi="Arial" w:cs="Arial"/>
          <w:b/>
          <w:bCs/>
          <w:sz w:val="32"/>
          <w:szCs w:val="32"/>
        </w:rPr>
        <w:t xml:space="preserve"> </w:t>
      </w:r>
    </w:p>
    <w:p w14:paraId="1FF25F6C" w14:textId="321F587D" w:rsidR="00B97D49" w:rsidRDefault="00454656" w:rsidP="00B97D49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In conducting th</w:t>
      </w:r>
      <w:r w:rsidR="0062695A">
        <w:rPr>
          <w:rStyle w:val="normaltextrun"/>
          <w:rFonts w:ascii="Arial" w:hAnsi="Arial" w:cs="Arial"/>
          <w:color w:val="000000"/>
          <w:shd w:val="clear" w:color="auto" w:fill="FFFFFF"/>
        </w:rPr>
        <w:t>is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TRQ </w:t>
      </w:r>
      <w:r w:rsidR="005263BA">
        <w:rPr>
          <w:rStyle w:val="normaltextrun"/>
          <w:rFonts w:ascii="Arial" w:hAnsi="Arial" w:cs="Arial"/>
          <w:color w:val="000000"/>
          <w:shd w:val="clear" w:color="auto" w:fill="FFFFFF"/>
        </w:rPr>
        <w:t>review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the TRA </w:t>
      </w:r>
      <w:r w:rsidR="003E5622">
        <w:rPr>
          <w:rStyle w:val="normaltextrun"/>
          <w:rFonts w:ascii="Arial" w:hAnsi="Arial" w:cs="Arial"/>
          <w:color w:val="000000"/>
          <w:shd w:val="clear" w:color="auto" w:fill="FFFFFF"/>
        </w:rPr>
        <w:t>will consider</w:t>
      </w:r>
      <w:r w:rsidR="00E6701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whether</w:t>
      </w:r>
      <w:r w:rsidR="0064240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there has been a change in circumstances since</w:t>
      </w:r>
      <w:r w:rsidR="00C17F8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application of the relevant tariff rate quota</w:t>
      </w:r>
      <w:r w:rsidR="00B97D4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(see below). As part of the review, the TRA may consider:</w:t>
      </w:r>
    </w:p>
    <w:p w14:paraId="7F2D46AA" w14:textId="77777777" w:rsidR="00B97D49" w:rsidRDefault="00B97D49" w:rsidP="00B97D49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010B20B" w14:textId="68565525" w:rsidR="00B97D49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Whether the amount or allocation of the </w:t>
      </w:r>
      <w:r w:rsidR="00B46987">
        <w:rPr>
          <w:rStyle w:val="normaltextrun"/>
          <w:rFonts w:ascii="Arial" w:hAnsi="Arial" w:cs="Arial"/>
          <w:color w:val="000000"/>
          <w:shd w:val="clear" w:color="auto" w:fill="FFFFFF"/>
        </w:rPr>
        <w:t>TRQ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is appropriate for domestic market conditions;</w:t>
      </w:r>
    </w:p>
    <w:p w14:paraId="5752E7BA" w14:textId="1F1C0818" w:rsidR="00454656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The desirability of maintaining, as far as possible, traditional trade flows;</w:t>
      </w:r>
    </w:p>
    <w:p w14:paraId="757F4DD0" w14:textId="21E36031" w:rsidR="00454656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Any other factors that it considers relevant.</w:t>
      </w:r>
    </w:p>
    <w:p w14:paraId="3A9DCE12" w14:textId="77777777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b/>
          <w:bCs/>
          <w:sz w:val="28"/>
          <w:szCs w:val="32"/>
        </w:rPr>
      </w:pPr>
      <w:bookmarkStart w:id="5" w:name="_Hlk105433717"/>
    </w:p>
    <w:p w14:paraId="73D71F53" w14:textId="5AB9304B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sz w:val="28"/>
          <w:szCs w:val="32"/>
        </w:rPr>
      </w:pPr>
      <w:r>
        <w:rPr>
          <w:rStyle w:val="normaltextrun"/>
          <w:rFonts w:ascii="Arial" w:hAnsi="Arial" w:cs="Arial"/>
          <w:b/>
          <w:bCs/>
          <w:sz w:val="28"/>
          <w:szCs w:val="32"/>
        </w:rPr>
        <w:t>Change in circumstances</w:t>
      </w:r>
    </w:p>
    <w:p w14:paraId="4C86AC57" w14:textId="77777777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sz w:val="28"/>
          <w:szCs w:val="32"/>
        </w:rPr>
      </w:pPr>
    </w:p>
    <w:p w14:paraId="24D5CE19" w14:textId="2066CECE" w:rsidR="00250245" w:rsidRDefault="002A5CE2" w:rsidP="002A5CE2">
      <w:pPr>
        <w:suppressAutoHyphens w:val="0"/>
        <w:autoSpaceDN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</w:t>
      </w:r>
      <w:r w:rsidRPr="002A5CE2">
        <w:rPr>
          <w:rFonts w:eastAsia="Times New Roman"/>
          <w:lang w:eastAsia="en-GB"/>
        </w:rPr>
        <w:t xml:space="preserve">he TRA </w:t>
      </w:r>
      <w:r w:rsidR="00494B10">
        <w:rPr>
          <w:rFonts w:eastAsia="Times New Roman"/>
          <w:lang w:eastAsia="en-GB"/>
        </w:rPr>
        <w:t>will</w:t>
      </w:r>
      <w:r w:rsidRPr="002A5CE2">
        <w:rPr>
          <w:rFonts w:eastAsia="Times New Roman"/>
          <w:lang w:eastAsia="en-GB"/>
        </w:rPr>
        <w:t xml:space="preserve"> review</w:t>
      </w:r>
      <w:r w:rsidR="00494B10">
        <w:rPr>
          <w:rFonts w:eastAsia="Times New Roman"/>
          <w:lang w:eastAsia="en-GB"/>
        </w:rPr>
        <w:t xml:space="preserve"> </w:t>
      </w:r>
      <w:r w:rsidRPr="002A5CE2">
        <w:rPr>
          <w:rFonts w:eastAsia="Times New Roman"/>
          <w:lang w:eastAsia="en-GB"/>
        </w:rPr>
        <w:t xml:space="preserve">trade data </w:t>
      </w:r>
      <w:r w:rsidR="00C24599">
        <w:rPr>
          <w:rFonts w:eastAsia="Times New Roman"/>
          <w:lang w:eastAsia="en-GB"/>
        </w:rPr>
        <w:t xml:space="preserve">on </w:t>
      </w:r>
      <w:r w:rsidR="006A38AA">
        <w:rPr>
          <w:rFonts w:eastAsia="Times New Roman"/>
          <w:lang w:eastAsia="en-GB"/>
        </w:rPr>
        <w:t>c</w:t>
      </w:r>
      <w:r w:rsidR="00C24599">
        <w:rPr>
          <w:rFonts w:eastAsia="Times New Roman"/>
          <w:lang w:eastAsia="en-GB"/>
        </w:rPr>
        <w:t xml:space="preserve">ategory </w:t>
      </w:r>
      <w:r w:rsidR="00250245">
        <w:rPr>
          <w:rFonts w:eastAsia="Times New Roman"/>
          <w:lang w:eastAsia="en-GB"/>
        </w:rPr>
        <w:t>4</w:t>
      </w:r>
      <w:r w:rsidR="00C24599">
        <w:rPr>
          <w:rFonts w:eastAsia="Times New Roman"/>
          <w:lang w:eastAsia="en-GB"/>
        </w:rPr>
        <w:t xml:space="preserve"> to determine if </w:t>
      </w:r>
      <w:r w:rsidRPr="002A5CE2">
        <w:rPr>
          <w:rFonts w:eastAsia="Times New Roman"/>
          <w:lang w:eastAsia="en-GB"/>
        </w:rPr>
        <w:t>there ha</w:t>
      </w:r>
      <w:r w:rsidR="004473F0">
        <w:rPr>
          <w:rFonts w:eastAsia="Times New Roman"/>
          <w:lang w:eastAsia="en-GB"/>
        </w:rPr>
        <w:t>s</w:t>
      </w:r>
      <w:r w:rsidRPr="002A5CE2">
        <w:rPr>
          <w:rFonts w:eastAsia="Times New Roman"/>
          <w:lang w:eastAsia="en-GB"/>
        </w:rPr>
        <w:t xml:space="preserve"> been a change of circumstances which corresponds with the provisions in regulation 35B(9)(f) </w:t>
      </w:r>
      <w:r w:rsidR="00CA723E">
        <w:rPr>
          <w:rFonts w:eastAsia="Times New Roman"/>
          <w:lang w:eastAsia="en-GB"/>
        </w:rPr>
        <w:t xml:space="preserve">of </w:t>
      </w:r>
      <w:r w:rsidR="009828BF">
        <w:rPr>
          <w:rStyle w:val="normaltextrun"/>
          <w:color w:val="000000"/>
          <w:shd w:val="clear" w:color="auto" w:fill="FFFFFF"/>
        </w:rPr>
        <w:t>The Trade Remedies (Increase in Imports Causing Serious Injury to UK Producers) (EU Exit) Regulations 2019 (the Regulations)</w:t>
      </w:r>
      <w:r w:rsidR="00487E2A">
        <w:rPr>
          <w:rFonts w:eastAsia="Times New Roman"/>
          <w:lang w:eastAsia="en-GB"/>
        </w:rPr>
        <w:t xml:space="preserve">. </w:t>
      </w:r>
    </w:p>
    <w:p w14:paraId="5CB9710B" w14:textId="77777777" w:rsidR="00250245" w:rsidRDefault="00250245" w:rsidP="002A5CE2">
      <w:pPr>
        <w:suppressAutoHyphens w:val="0"/>
        <w:autoSpaceDN/>
        <w:textAlignment w:val="baseline"/>
        <w:rPr>
          <w:rFonts w:eastAsia="Times New Roman"/>
          <w:lang w:eastAsia="en-GB"/>
        </w:rPr>
      </w:pPr>
    </w:p>
    <w:p w14:paraId="225F6F9F" w14:textId="3950682E" w:rsidR="002A5CE2" w:rsidRPr="002A5CE2" w:rsidRDefault="00F066B1" w:rsidP="002A5CE2">
      <w:pPr>
        <w:suppressAutoHyphens w:val="0"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lang w:eastAsia="en-GB"/>
        </w:rPr>
        <w:t xml:space="preserve">The TRA has seen </w:t>
      </w:r>
      <w:r w:rsidR="001E1744">
        <w:rPr>
          <w:rFonts w:eastAsia="Times New Roman"/>
          <w:lang w:eastAsia="en-GB"/>
        </w:rPr>
        <w:t xml:space="preserve">data </w:t>
      </w:r>
      <w:r>
        <w:rPr>
          <w:rFonts w:eastAsia="Times New Roman"/>
          <w:lang w:eastAsia="en-GB"/>
        </w:rPr>
        <w:t xml:space="preserve">which </w:t>
      </w:r>
      <w:r w:rsidR="001E1744">
        <w:rPr>
          <w:rFonts w:eastAsia="Times New Roman"/>
          <w:lang w:eastAsia="en-GB"/>
        </w:rPr>
        <w:t>indicate</w:t>
      </w:r>
      <w:r>
        <w:rPr>
          <w:rFonts w:eastAsia="Times New Roman"/>
          <w:lang w:eastAsia="en-GB"/>
        </w:rPr>
        <w:t>s</w:t>
      </w:r>
      <w:r w:rsidR="001E1744">
        <w:rPr>
          <w:rFonts w:eastAsia="Times New Roman"/>
          <w:lang w:eastAsia="en-GB"/>
        </w:rPr>
        <w:t xml:space="preserve"> that the </w:t>
      </w:r>
      <w:r w:rsidR="002A5CE2" w:rsidRPr="002A5CE2">
        <w:rPr>
          <w:rFonts w:eastAsia="Times New Roman"/>
          <w:lang w:eastAsia="en-GB"/>
        </w:rPr>
        <w:t xml:space="preserve">import levels from </w:t>
      </w:r>
      <w:r w:rsidR="00D66A29">
        <w:rPr>
          <w:rFonts w:eastAsia="Times New Roman"/>
          <w:lang w:eastAsia="en-GB"/>
        </w:rPr>
        <w:t xml:space="preserve">a </w:t>
      </w:r>
      <w:r w:rsidR="002A5CE2" w:rsidRPr="002A5CE2">
        <w:rPr>
          <w:rFonts w:eastAsia="Times New Roman"/>
          <w:lang w:eastAsia="en-GB"/>
        </w:rPr>
        <w:t>certain developing countr</w:t>
      </w:r>
      <w:r w:rsidR="00D66A29">
        <w:rPr>
          <w:rFonts w:eastAsia="Times New Roman"/>
          <w:lang w:eastAsia="en-GB"/>
        </w:rPr>
        <w:t>y</w:t>
      </w:r>
      <w:r w:rsidR="002A5CE2" w:rsidRPr="002A5CE2">
        <w:rPr>
          <w:rFonts w:eastAsia="Times New Roman"/>
          <w:lang w:eastAsia="en-GB"/>
        </w:rPr>
        <w:t xml:space="preserve"> </w:t>
      </w:r>
      <w:r w:rsidR="0061078F" w:rsidRPr="002A5CE2">
        <w:rPr>
          <w:rFonts w:eastAsia="Times New Roman"/>
          <w:lang w:eastAsia="en-GB"/>
        </w:rPr>
        <w:t>ha</w:t>
      </w:r>
      <w:r w:rsidR="0061078F">
        <w:rPr>
          <w:rFonts w:eastAsia="Times New Roman"/>
          <w:lang w:eastAsia="en-GB"/>
        </w:rPr>
        <w:t>ve</w:t>
      </w:r>
      <w:r w:rsidR="002A5CE2" w:rsidRPr="002A5CE2">
        <w:rPr>
          <w:rFonts w:eastAsia="Times New Roman"/>
          <w:lang w:eastAsia="en-GB"/>
        </w:rPr>
        <w:t xml:space="preserve"> changed since the application of the measure. </w:t>
      </w:r>
      <w:r w:rsidR="000B4893">
        <w:rPr>
          <w:rFonts w:eastAsia="Times New Roman"/>
          <w:lang w:eastAsia="en-GB"/>
        </w:rPr>
        <w:t xml:space="preserve">The TRA is now reviewing this data to determine whether the </w:t>
      </w:r>
      <w:r w:rsidR="00817BE5">
        <w:rPr>
          <w:rFonts w:eastAsia="Times New Roman"/>
          <w:lang w:eastAsia="en-GB"/>
        </w:rPr>
        <w:t xml:space="preserve">list of </w:t>
      </w:r>
      <w:r w:rsidR="000B4893">
        <w:rPr>
          <w:rFonts w:eastAsia="Times New Roman"/>
          <w:lang w:eastAsia="en-GB"/>
        </w:rPr>
        <w:t xml:space="preserve">developing countries </w:t>
      </w:r>
      <w:r w:rsidR="004E7889">
        <w:rPr>
          <w:rFonts w:eastAsia="Times New Roman"/>
          <w:lang w:eastAsia="en-GB"/>
        </w:rPr>
        <w:t xml:space="preserve">not </w:t>
      </w:r>
      <w:r w:rsidR="00817BE5">
        <w:rPr>
          <w:rFonts w:eastAsia="Times New Roman"/>
          <w:lang w:eastAsia="en-GB"/>
        </w:rPr>
        <w:t>currently excepted from the application of the tariff rate quotas should be amended.</w:t>
      </w:r>
    </w:p>
    <w:p w14:paraId="220A2D10" w14:textId="66941A28" w:rsidR="002A5CE2" w:rsidRPr="00250245" w:rsidRDefault="002A5CE2" w:rsidP="00250245">
      <w:pPr>
        <w:suppressAutoHyphens w:val="0"/>
        <w:autoSpaceDN/>
        <w:textAlignment w:val="baseline"/>
        <w:rPr>
          <w:rStyle w:val="normaltextrun"/>
          <w:rFonts w:ascii="Segoe UI" w:eastAsia="Times New Roman" w:hAnsi="Segoe UI" w:cs="Segoe UI"/>
          <w:sz w:val="18"/>
          <w:szCs w:val="18"/>
          <w:lang w:eastAsia="en-GB"/>
        </w:rPr>
      </w:pPr>
      <w:r w:rsidRPr="002A5CE2">
        <w:rPr>
          <w:rFonts w:eastAsia="Times New Roman"/>
          <w:lang w:eastAsia="en-GB"/>
        </w:rPr>
        <w:t> </w:t>
      </w:r>
    </w:p>
    <w:p w14:paraId="02D93A40" w14:textId="7B6F95BA" w:rsidR="0073060E" w:rsidRDefault="002A5CE2">
      <w:pPr>
        <w:pStyle w:val="paragraph"/>
        <w:spacing w:before="0" w:after="0" w:line="22" w:lineRule="atLeast"/>
        <w:textAlignment w:val="baseline"/>
      </w:pPr>
      <w:r>
        <w:rPr>
          <w:rStyle w:val="normaltextrun"/>
          <w:rFonts w:ascii="Arial" w:hAnsi="Arial" w:cs="Arial"/>
          <w:b/>
          <w:bCs/>
          <w:sz w:val="28"/>
          <w:szCs w:val="32"/>
        </w:rPr>
        <w:t>S</w:t>
      </w:r>
      <w:r w:rsidR="0088778B">
        <w:rPr>
          <w:rStyle w:val="normaltextrun"/>
          <w:rFonts w:ascii="Arial" w:hAnsi="Arial" w:cs="Arial"/>
          <w:b/>
          <w:bCs/>
          <w:sz w:val="28"/>
          <w:szCs w:val="32"/>
        </w:rPr>
        <w:t>cope of the review</w:t>
      </w:r>
    </w:p>
    <w:p w14:paraId="02D93A41" w14:textId="77777777" w:rsidR="0073060E" w:rsidRDefault="0073060E">
      <w:pPr>
        <w:pStyle w:val="paragraph"/>
        <w:spacing w:before="0" w:after="0"/>
        <w:textAlignment w:val="baseline"/>
      </w:pPr>
    </w:p>
    <w:bookmarkEnd w:id="5"/>
    <w:p w14:paraId="6A9ADD0A" w14:textId="3821FA93" w:rsidR="00250245" w:rsidRDefault="006847BD" w:rsidP="006847BD">
      <w:pPr>
        <w:pStyle w:val="paragraph"/>
        <w:spacing w:before="0" w:after="0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Th</w:t>
      </w:r>
      <w:r w:rsidR="0088778B">
        <w:rPr>
          <w:rFonts w:ascii="Arial" w:hAnsi="Arial" w:cs="Arial"/>
          <w:color w:val="000000"/>
          <w:shd w:val="clear" w:color="auto" w:fill="FFFFFF"/>
        </w:rPr>
        <w:t xml:space="preserve">is TRQ </w:t>
      </w:r>
      <w:r>
        <w:rPr>
          <w:rFonts w:ascii="Arial" w:hAnsi="Arial" w:cs="Arial"/>
          <w:color w:val="000000"/>
          <w:shd w:val="clear" w:color="auto" w:fill="FFFFFF"/>
        </w:rPr>
        <w:t xml:space="preserve">review will consider </w:t>
      </w:r>
      <w:r w:rsidR="004E7889">
        <w:rPr>
          <w:rFonts w:ascii="Arial" w:hAnsi="Arial" w:cs="Arial"/>
          <w:color w:val="000000"/>
          <w:shd w:val="clear" w:color="auto" w:fill="FFFFFF"/>
        </w:rPr>
        <w:t>the developing country exception</w:t>
      </w:r>
      <w:r w:rsidR="00F45A33">
        <w:rPr>
          <w:rFonts w:ascii="Arial" w:hAnsi="Arial" w:cs="Arial"/>
          <w:color w:val="000000"/>
          <w:shd w:val="clear" w:color="auto" w:fill="FFFFFF"/>
        </w:rPr>
        <w:t>s</w:t>
      </w:r>
      <w:r w:rsidR="004E7889">
        <w:rPr>
          <w:rFonts w:ascii="Arial" w:hAnsi="Arial" w:cs="Arial"/>
          <w:color w:val="000000"/>
          <w:shd w:val="clear" w:color="auto" w:fill="FFFFFF"/>
        </w:rPr>
        <w:t xml:space="preserve"> as it applies across </w:t>
      </w:r>
      <w:r w:rsidR="00210169">
        <w:rPr>
          <w:rFonts w:ascii="Arial" w:hAnsi="Arial" w:cs="Arial"/>
          <w:color w:val="000000"/>
          <w:shd w:val="clear" w:color="auto" w:fill="FFFFFF"/>
        </w:rPr>
        <w:t>c</w:t>
      </w:r>
      <w:r w:rsidR="00CD1F2A">
        <w:rPr>
          <w:rFonts w:ascii="Arial" w:hAnsi="Arial" w:cs="Arial"/>
          <w:color w:val="000000"/>
          <w:shd w:val="clear" w:color="auto" w:fill="FFFFFF"/>
        </w:rPr>
        <w:t>ategory 4 steel products – metallic coated sheet</w:t>
      </w:r>
      <w:r w:rsidR="008D6C3C">
        <w:rPr>
          <w:rFonts w:ascii="Arial" w:hAnsi="Arial" w:cs="Arial"/>
          <w:color w:val="000000"/>
          <w:shd w:val="clear" w:color="auto" w:fill="FFFFFF"/>
        </w:rPr>
        <w:t>.</w:t>
      </w:r>
      <w:r w:rsidR="001920DB">
        <w:rPr>
          <w:rFonts w:ascii="Arial" w:hAnsi="Arial" w:cs="Arial"/>
          <w:color w:val="000000"/>
          <w:shd w:val="clear" w:color="auto" w:fill="FFFFFF"/>
        </w:rPr>
        <w:t xml:space="preserve"> These goods are classified under the following </w:t>
      </w:r>
      <w:r w:rsidR="001C66A5">
        <w:rPr>
          <w:rFonts w:ascii="Arial" w:hAnsi="Arial" w:cs="Arial"/>
          <w:color w:val="000000"/>
          <w:shd w:val="clear" w:color="auto" w:fill="FFFFFF"/>
        </w:rPr>
        <w:t>commodity codes:</w:t>
      </w:r>
    </w:p>
    <w:p w14:paraId="3FE4F26A" w14:textId="77777777" w:rsidR="003F4CA8" w:rsidRDefault="003F4CA8" w:rsidP="006847BD">
      <w:pPr>
        <w:pStyle w:val="paragraph"/>
        <w:spacing w:before="0" w:after="0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5630668B" w14:textId="77777777" w:rsidR="004B182B" w:rsidRDefault="003F4CA8" w:rsidP="003F4CA8">
      <w:pPr>
        <w:ind w:left="720"/>
        <w:rPr>
          <w:color w:val="000000" w:themeColor="text1"/>
        </w:rPr>
      </w:pPr>
      <w:r>
        <w:rPr>
          <w:color w:val="000000" w:themeColor="text1"/>
        </w:rPr>
        <w:t>7210 2000</w:t>
      </w:r>
      <w:r>
        <w:rPr>
          <w:color w:val="000000" w:themeColor="text1"/>
        </w:rPr>
        <w:br/>
        <w:t>7210 4100</w:t>
      </w:r>
      <w:r>
        <w:rPr>
          <w:color w:val="000000" w:themeColor="text1"/>
        </w:rPr>
        <w:br/>
        <w:t>7210 4900</w:t>
      </w:r>
      <w:r>
        <w:rPr>
          <w:color w:val="000000" w:themeColor="text1"/>
        </w:rPr>
        <w:br/>
        <w:t>7210 6100</w:t>
      </w:r>
      <w:r>
        <w:rPr>
          <w:color w:val="000000" w:themeColor="text1"/>
        </w:rPr>
        <w:br/>
        <w:t>7210 6900 20</w:t>
      </w:r>
      <w:r>
        <w:rPr>
          <w:color w:val="000000" w:themeColor="text1"/>
        </w:rPr>
        <w:br/>
        <w:t>7210 6900 80</w:t>
      </w:r>
      <w:r>
        <w:rPr>
          <w:color w:val="000000" w:themeColor="text1"/>
        </w:rPr>
        <w:br/>
        <w:t>7210 9080</w:t>
      </w:r>
      <w:r>
        <w:rPr>
          <w:color w:val="000000" w:themeColor="text1"/>
        </w:rPr>
        <w:br/>
        <w:t>7212 2000</w:t>
      </w:r>
      <w:r>
        <w:rPr>
          <w:color w:val="000000" w:themeColor="text1"/>
        </w:rPr>
        <w:br/>
        <w:t>7212 3000</w:t>
      </w:r>
      <w:r>
        <w:rPr>
          <w:color w:val="000000" w:themeColor="text1"/>
        </w:rPr>
        <w:br/>
        <w:t>7212 5020</w:t>
      </w:r>
      <w:r>
        <w:rPr>
          <w:color w:val="000000" w:themeColor="text1"/>
        </w:rPr>
        <w:br/>
        <w:t>7212 5030</w:t>
      </w:r>
      <w:r>
        <w:rPr>
          <w:color w:val="000000" w:themeColor="text1"/>
        </w:rPr>
        <w:br/>
        <w:t>7212 5040</w:t>
      </w:r>
      <w:r>
        <w:rPr>
          <w:color w:val="000000" w:themeColor="text1"/>
        </w:rPr>
        <w:br/>
        <w:t>7212 5061</w:t>
      </w:r>
      <w:r>
        <w:rPr>
          <w:color w:val="000000" w:themeColor="text1"/>
        </w:rPr>
        <w:br/>
        <w:t>7212 5069</w:t>
      </w:r>
    </w:p>
    <w:p w14:paraId="0C6551B1" w14:textId="4284C173" w:rsidR="006847BD" w:rsidRPr="003F4CA8" w:rsidRDefault="004B182B" w:rsidP="003F4CA8">
      <w:pPr>
        <w:ind w:left="720"/>
        <w:rPr>
          <w:color w:val="000000" w:themeColor="text1"/>
        </w:rPr>
      </w:pPr>
      <w:r>
        <w:rPr>
          <w:color w:val="000000" w:themeColor="text1"/>
        </w:rPr>
        <w:lastRenderedPageBreak/>
        <w:t>7212 5090</w:t>
      </w:r>
      <w:r w:rsidR="003F4CA8">
        <w:rPr>
          <w:color w:val="000000" w:themeColor="text1"/>
        </w:rPr>
        <w:br/>
        <w:t>7225 9100</w:t>
      </w:r>
      <w:r w:rsidR="003F4CA8">
        <w:rPr>
          <w:color w:val="000000" w:themeColor="text1"/>
        </w:rPr>
        <w:br/>
        <w:t>7225 9200</w:t>
      </w:r>
      <w:r w:rsidR="003F4CA8">
        <w:rPr>
          <w:color w:val="000000" w:themeColor="text1"/>
        </w:rPr>
        <w:br/>
        <w:t>7225 9900</w:t>
      </w:r>
      <w:r w:rsidR="003F4CA8">
        <w:rPr>
          <w:color w:val="000000" w:themeColor="text1"/>
        </w:rPr>
        <w:br/>
        <w:t>7226 9910</w:t>
      </w:r>
      <w:r w:rsidR="003F4CA8">
        <w:rPr>
          <w:color w:val="000000" w:themeColor="text1"/>
        </w:rPr>
        <w:br/>
        <w:t>7226 9930</w:t>
      </w:r>
      <w:r w:rsidR="003F4CA8">
        <w:rPr>
          <w:color w:val="000000" w:themeColor="text1"/>
        </w:rPr>
        <w:br/>
        <w:t>7226 9970</w:t>
      </w:r>
    </w:p>
    <w:p w14:paraId="352ADB45" w14:textId="77777777" w:rsidR="0027256E" w:rsidRDefault="0027256E">
      <w:pPr>
        <w:spacing w:line="22" w:lineRule="atLeast"/>
      </w:pPr>
      <w:bookmarkStart w:id="6" w:name="_Hlk105433755"/>
      <w:bookmarkEnd w:id="3"/>
    </w:p>
    <w:p w14:paraId="02D93A5D" w14:textId="61361BE8" w:rsidR="0073060E" w:rsidRDefault="003E5622">
      <w:pPr>
        <w:spacing w:line="22" w:lineRule="atLeast"/>
      </w:pPr>
      <w:r>
        <w:t xml:space="preserve">For more information about this case, you may refer to the Notice of </w:t>
      </w:r>
      <w:r w:rsidR="000F3335">
        <w:t xml:space="preserve">Initiation </w:t>
      </w:r>
      <w:r>
        <w:t xml:space="preserve">published at: </w:t>
      </w:r>
      <w:hyperlink r:id="rId9" w:history="1">
        <w:r>
          <w:rPr>
            <w:rStyle w:val="Hyperlink"/>
            <w:bCs/>
          </w:rPr>
          <w:t>www.trade-remedies.service.gov.uk/public/cases</w:t>
        </w:r>
      </w:hyperlink>
      <w:r>
        <w:t>.</w:t>
      </w:r>
    </w:p>
    <w:p w14:paraId="40BBE667" w14:textId="77777777" w:rsidR="00A960B0" w:rsidRPr="00A960B0" w:rsidRDefault="00A960B0" w:rsidP="00A960B0">
      <w:bookmarkStart w:id="7" w:name="_Instructions"/>
      <w:bookmarkEnd w:id="4"/>
      <w:bookmarkEnd w:id="6"/>
      <w:bookmarkEnd w:id="7"/>
    </w:p>
    <w:p w14:paraId="02D93A62" w14:textId="105DD84D" w:rsidR="0073060E" w:rsidRDefault="003E5622">
      <w:pPr>
        <w:pStyle w:val="Heading2"/>
      </w:pPr>
      <w:bookmarkStart w:id="8" w:name="_Toc213667375"/>
      <w:r>
        <w:t>Instructions</w:t>
      </w:r>
      <w:bookmarkEnd w:id="8"/>
    </w:p>
    <w:p w14:paraId="02D93A63" w14:textId="77777777" w:rsidR="0073060E" w:rsidRDefault="0073060E">
      <w:pPr>
        <w:spacing w:line="22" w:lineRule="atLeast"/>
        <w:rPr>
          <w:szCs w:val="22"/>
        </w:rPr>
      </w:pPr>
    </w:p>
    <w:p w14:paraId="02D93A64" w14:textId="77777777" w:rsidR="0073060E" w:rsidRDefault="003E5622">
      <w:pPr>
        <w:pStyle w:val="Heading3"/>
        <w:rPr>
          <w:lang w:eastAsia="en-GB"/>
        </w:rPr>
      </w:pPr>
      <w:bookmarkStart w:id="9" w:name="_Toc213667376"/>
      <w:r>
        <w:rPr>
          <w:lang w:eastAsia="en-GB"/>
        </w:rPr>
        <w:t>I – Who should complete this form</w:t>
      </w:r>
      <w:bookmarkEnd w:id="9"/>
      <w:r>
        <w:rPr>
          <w:lang w:eastAsia="en-GB"/>
        </w:rPr>
        <w:t xml:space="preserve"> </w:t>
      </w:r>
    </w:p>
    <w:p w14:paraId="02D93A65" w14:textId="77777777" w:rsidR="0073060E" w:rsidRDefault="0073060E">
      <w:pPr>
        <w:rPr>
          <w:lang w:eastAsia="en-GB"/>
        </w:rPr>
      </w:pPr>
    </w:p>
    <w:p w14:paraId="02D93A66" w14:textId="37FAD91F" w:rsidR="0073060E" w:rsidRDefault="003E5622">
      <w:pPr>
        <w:pStyle w:val="NoSpacing"/>
      </w:pPr>
      <w:r>
        <w:rPr>
          <w:rFonts w:ascii="Arial" w:hAnsi="Arial"/>
          <w:sz w:val="24"/>
          <w:szCs w:val="24"/>
          <w:lang w:eastAsia="en-GB"/>
        </w:rPr>
        <w:t xml:space="preserve">You should complete this form if you </w:t>
      </w:r>
      <w:r>
        <w:rPr>
          <w:rFonts w:ascii="Arial" w:eastAsia="Arial" w:hAnsi="Arial"/>
          <w:sz w:val="24"/>
          <w:szCs w:val="24"/>
        </w:rPr>
        <w:t xml:space="preserve">wish to </w:t>
      </w:r>
      <w:r w:rsidR="000C6937">
        <w:rPr>
          <w:rFonts w:ascii="Arial" w:eastAsia="Arial" w:hAnsi="Arial"/>
          <w:sz w:val="24"/>
          <w:szCs w:val="24"/>
        </w:rPr>
        <w:t xml:space="preserve">register your interest </w:t>
      </w:r>
      <w:r w:rsidR="001C2DEF">
        <w:rPr>
          <w:rFonts w:ascii="Arial" w:eastAsia="Arial" w:hAnsi="Arial"/>
          <w:sz w:val="24"/>
          <w:szCs w:val="24"/>
        </w:rPr>
        <w:t>in the TRQ review</w:t>
      </w:r>
      <w:r w:rsidR="000C12B2">
        <w:rPr>
          <w:rFonts w:ascii="Arial" w:eastAsia="Arial" w:hAnsi="Arial"/>
          <w:sz w:val="24"/>
          <w:szCs w:val="24"/>
        </w:rPr>
        <w:t xml:space="preserve"> and comment on the </w:t>
      </w:r>
      <w:r w:rsidR="00F34627">
        <w:rPr>
          <w:rFonts w:ascii="Arial" w:eastAsia="Arial" w:hAnsi="Arial"/>
          <w:sz w:val="24"/>
          <w:szCs w:val="24"/>
        </w:rPr>
        <w:t xml:space="preserve">application </w:t>
      </w:r>
      <w:r w:rsidR="003C55DA">
        <w:rPr>
          <w:rFonts w:ascii="Arial" w:eastAsia="Arial" w:hAnsi="Arial"/>
          <w:sz w:val="24"/>
          <w:szCs w:val="24"/>
        </w:rPr>
        <w:t xml:space="preserve">made </w:t>
      </w:r>
      <w:r w:rsidR="00F34627">
        <w:rPr>
          <w:rFonts w:ascii="Arial" w:eastAsia="Arial" w:hAnsi="Arial"/>
          <w:sz w:val="24"/>
          <w:szCs w:val="24"/>
        </w:rPr>
        <w:t xml:space="preserve">by the UK industry </w:t>
      </w:r>
      <w:r w:rsidR="003C55DA">
        <w:rPr>
          <w:rFonts w:ascii="Arial" w:eastAsia="Arial" w:hAnsi="Arial"/>
          <w:sz w:val="24"/>
          <w:szCs w:val="24"/>
        </w:rPr>
        <w:t xml:space="preserve">on the </w:t>
      </w:r>
      <w:r w:rsidR="000C12B2">
        <w:rPr>
          <w:rFonts w:ascii="Arial" w:eastAsia="Arial" w:hAnsi="Arial"/>
          <w:sz w:val="24"/>
          <w:szCs w:val="24"/>
        </w:rPr>
        <w:t xml:space="preserve">proposed change to the TRQ on </w:t>
      </w:r>
      <w:r w:rsidR="00003E11">
        <w:rPr>
          <w:rFonts w:ascii="Arial" w:eastAsia="Arial" w:hAnsi="Arial"/>
          <w:sz w:val="24"/>
          <w:szCs w:val="24"/>
        </w:rPr>
        <w:t>c</w:t>
      </w:r>
      <w:r w:rsidR="00CD1F2A">
        <w:rPr>
          <w:rFonts w:ascii="Arial" w:eastAsia="Arial" w:hAnsi="Arial"/>
          <w:sz w:val="24"/>
          <w:szCs w:val="24"/>
        </w:rPr>
        <w:t>ategory 4</w:t>
      </w:r>
      <w:r w:rsidR="000C12B2">
        <w:rPr>
          <w:rFonts w:ascii="Arial" w:eastAsia="Arial" w:hAnsi="Arial"/>
          <w:sz w:val="24"/>
          <w:szCs w:val="24"/>
        </w:rPr>
        <w:t xml:space="preserve"> steel products</w:t>
      </w:r>
      <w:r>
        <w:rPr>
          <w:rFonts w:ascii="Arial" w:hAnsi="Arial"/>
          <w:sz w:val="24"/>
          <w:szCs w:val="24"/>
          <w:lang w:eastAsia="en-GB"/>
        </w:rPr>
        <w:t>.</w:t>
      </w:r>
      <w:r w:rsidR="00233E68">
        <w:rPr>
          <w:rFonts w:ascii="Arial" w:hAnsi="Arial"/>
          <w:sz w:val="24"/>
          <w:szCs w:val="24"/>
          <w:lang w:eastAsia="en-GB"/>
        </w:rPr>
        <w:t xml:space="preserve"> </w:t>
      </w:r>
      <w:r w:rsidR="00F60357">
        <w:rPr>
          <w:rFonts w:ascii="Arial" w:hAnsi="Arial"/>
          <w:sz w:val="24"/>
          <w:szCs w:val="24"/>
          <w:lang w:eastAsia="en-GB"/>
        </w:rPr>
        <w:t>The application is available on the public file.</w:t>
      </w:r>
    </w:p>
    <w:p w14:paraId="02D93A68" w14:textId="77777777" w:rsidR="0073060E" w:rsidRDefault="0073060E">
      <w:pPr>
        <w:rPr>
          <w:sz w:val="22"/>
          <w:szCs w:val="22"/>
        </w:rPr>
      </w:pPr>
      <w:bookmarkStart w:id="10" w:name="_Hlk6411388"/>
    </w:p>
    <w:p w14:paraId="02D93A69" w14:textId="77777777" w:rsidR="0073060E" w:rsidRDefault="003E5622">
      <w:pPr>
        <w:pStyle w:val="Heading3"/>
        <w:rPr>
          <w:lang w:eastAsia="zh-CN"/>
        </w:rPr>
      </w:pPr>
      <w:bookmarkStart w:id="11" w:name="_Toc10642844"/>
      <w:bookmarkStart w:id="12" w:name="_Toc10708170"/>
      <w:bookmarkStart w:id="13" w:name="_Toc213667377"/>
      <w:r>
        <w:rPr>
          <w:lang w:eastAsia="zh-CN"/>
        </w:rPr>
        <w:t>II – Note about confidentiality</w:t>
      </w:r>
      <w:bookmarkEnd w:id="11"/>
      <w:bookmarkEnd w:id="12"/>
      <w:bookmarkEnd w:id="13"/>
    </w:p>
    <w:p w14:paraId="02D93A6A" w14:textId="43718FF9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Anyone requesting that information be treated as confidential </w:t>
      </w:r>
      <w:r w:rsidR="00932130">
        <w:rPr>
          <w:rFonts w:ascii="Arial" w:hAnsi="Arial" w:cs="Arial"/>
          <w:color w:val="000000"/>
        </w:rPr>
        <w:t xml:space="preserve">must demonstrate to the TRA good cause as to why the TRA must treat such information as </w:t>
      </w:r>
      <w:r w:rsidR="002E5EBF">
        <w:rPr>
          <w:rFonts w:ascii="Arial" w:hAnsi="Arial" w:cs="Arial"/>
          <w:color w:val="000000"/>
        </w:rPr>
        <w:t>confidential and</w:t>
      </w:r>
      <w:r w:rsidR="009321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non-confidential summary of that information or a statement of reasons why it cannot be summarised. </w:t>
      </w:r>
    </w:p>
    <w:p w14:paraId="02D93A6B" w14:textId="77777777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ensure that each page of information you provide is clearly marked either “Confidential” or “Non-Confidential” in the header.</w:t>
      </w:r>
    </w:p>
    <w:p w14:paraId="02D93A6C" w14:textId="77777777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10"/>
    </w:p>
    <w:p w14:paraId="02D93A6D" w14:textId="6B090969" w:rsidR="0073060E" w:rsidRDefault="003E5622">
      <w:pPr>
        <w:pStyle w:val="NormalWeb"/>
      </w:pPr>
      <w:r>
        <w:rPr>
          <w:rFonts w:ascii="Arial" w:hAnsi="Arial" w:cs="Arial"/>
          <w:color w:val="000000"/>
        </w:rPr>
        <w:t xml:space="preserve">All information provided to the Trade Remedies Authority (TRA) in confidence will be treated accordingly, only used for this </w:t>
      </w:r>
      <w:r w:rsidR="00BC2846">
        <w:rPr>
          <w:rFonts w:ascii="Arial" w:hAnsi="Arial" w:cs="Arial"/>
          <w:color w:val="000000"/>
        </w:rPr>
        <w:t>review</w:t>
      </w:r>
      <w:r>
        <w:rPr>
          <w:rFonts w:ascii="Arial" w:hAnsi="Arial" w:cs="Arial"/>
          <w:color w:val="000000"/>
        </w:rPr>
        <w:t>, and will be stored in protected systems.</w:t>
      </w:r>
    </w:p>
    <w:p w14:paraId="02D93A6E" w14:textId="77777777" w:rsidR="0073060E" w:rsidRDefault="003E5622">
      <w:pPr>
        <w:pStyle w:val="NormalWeb"/>
        <w:spacing w:before="0" w:after="0" w:line="22" w:lineRule="atLeast"/>
      </w:pPr>
      <w:r>
        <w:rPr>
          <w:rFonts w:ascii="Arial" w:hAnsi="Arial" w:cs="Arial"/>
          <w:color w:val="000000"/>
        </w:rPr>
        <w:t>The non-confidential version of your submission may be placed on the public file, which is available on</w:t>
      </w:r>
      <w:r>
        <w:rPr>
          <w:rFonts w:ascii="Arial" w:hAnsi="Arial" w:cs="Arial"/>
          <w:b/>
          <w:color w:val="FF0000"/>
        </w:rPr>
        <w:t xml:space="preserve"> </w:t>
      </w:r>
      <w:hyperlink r:id="rId10" w:history="1">
        <w:r>
          <w:rPr>
            <w:rStyle w:val="Hyperlink"/>
            <w:rFonts w:ascii="Arial" w:hAnsi="Arial" w:cs="Arial"/>
          </w:rPr>
          <w:t>www.trade-remedies.service.gov.uk/public/cases</w:t>
        </w:r>
      </w:hyperlink>
      <w:r>
        <w:rPr>
          <w:rStyle w:val="Hyperlink"/>
          <w:rFonts w:ascii="Arial" w:hAnsi="Arial" w:cs="Arial"/>
          <w:bCs/>
        </w:rPr>
        <w:t>.</w:t>
      </w:r>
    </w:p>
    <w:p w14:paraId="02D93A6F" w14:textId="77777777" w:rsidR="0073060E" w:rsidRDefault="0073060E">
      <w:pPr>
        <w:pStyle w:val="NormalWeb"/>
        <w:rPr>
          <w:rFonts w:ascii="Arial" w:hAnsi="Arial" w:cs="Arial"/>
          <w:color w:val="000000"/>
        </w:rPr>
      </w:pPr>
    </w:p>
    <w:p w14:paraId="02D93A70" w14:textId="77777777" w:rsidR="0073060E" w:rsidRDefault="0073060E">
      <w:pPr>
        <w:rPr>
          <w:lang w:eastAsia="zh-CN"/>
        </w:rPr>
      </w:pPr>
    </w:p>
    <w:p w14:paraId="02D93A71" w14:textId="77777777" w:rsidR="0073060E" w:rsidRDefault="0073060E">
      <w:pPr>
        <w:pageBreakBefore/>
        <w:spacing w:after="160" w:line="251" w:lineRule="auto"/>
        <w:rPr>
          <w:lang w:eastAsia="zh-CN"/>
        </w:rPr>
      </w:pPr>
    </w:p>
    <w:p w14:paraId="02D93A72" w14:textId="23503877" w:rsidR="0073060E" w:rsidRDefault="003E5622">
      <w:pPr>
        <w:pStyle w:val="Heading2"/>
      </w:pPr>
      <w:bookmarkStart w:id="14" w:name="_Toc213667378"/>
      <w:r>
        <w:rPr>
          <w:lang w:eastAsia="zh-CN"/>
        </w:rPr>
        <w:t xml:space="preserve">Section A – </w:t>
      </w:r>
      <w:r>
        <w:rPr>
          <w:rFonts w:cs="Arial"/>
          <w:bCs/>
        </w:rPr>
        <w:t xml:space="preserve">Your organisation’s interest in the </w:t>
      </w:r>
      <w:r w:rsidR="005263BA">
        <w:rPr>
          <w:rFonts w:cs="Arial"/>
          <w:bCs/>
        </w:rPr>
        <w:t>review</w:t>
      </w:r>
      <w:bookmarkEnd w:id="14"/>
    </w:p>
    <w:p w14:paraId="02D93A73" w14:textId="77777777" w:rsidR="0073060E" w:rsidRDefault="0073060E"/>
    <w:p w14:paraId="02D93A74" w14:textId="7A662621" w:rsidR="0073060E" w:rsidRDefault="003E5622">
      <w:pPr>
        <w:spacing w:line="22" w:lineRule="atLeast"/>
        <w:rPr>
          <w:rFonts w:eastAsia="Arial"/>
        </w:rPr>
      </w:pPr>
      <w:r>
        <w:rPr>
          <w:rFonts w:eastAsia="Arial"/>
        </w:rPr>
        <w:t xml:space="preserve">To register your organisation’s interest in this </w:t>
      </w:r>
      <w:r w:rsidR="001C2DEF">
        <w:rPr>
          <w:rFonts w:eastAsia="Arial"/>
        </w:rPr>
        <w:t>TRQ</w:t>
      </w:r>
      <w:r>
        <w:rPr>
          <w:rFonts w:eastAsia="Arial"/>
        </w:rPr>
        <w:t xml:space="preserve"> </w:t>
      </w:r>
      <w:r w:rsidR="005263BA">
        <w:rPr>
          <w:rFonts w:eastAsia="Arial"/>
        </w:rPr>
        <w:t>review</w:t>
      </w:r>
      <w:r>
        <w:rPr>
          <w:rFonts w:eastAsia="Arial"/>
        </w:rPr>
        <w:t>, please complete the text boxes below.</w:t>
      </w:r>
    </w:p>
    <w:p w14:paraId="02D93A75" w14:textId="77777777" w:rsidR="0073060E" w:rsidRDefault="0073060E">
      <w:pPr>
        <w:spacing w:line="22" w:lineRule="atLeast"/>
        <w:rPr>
          <w:color w:val="000000"/>
        </w:rPr>
      </w:pPr>
    </w:p>
    <w:p w14:paraId="02D93A77" w14:textId="32F29474" w:rsidR="0073060E" w:rsidRDefault="003E5622">
      <w:pPr>
        <w:spacing w:line="22" w:lineRule="atLeast"/>
      </w:pPr>
      <w:r>
        <w:t xml:space="preserve">A1. Please describe your interest in this </w:t>
      </w:r>
      <w:r w:rsidR="001C2DEF">
        <w:t>TRQ</w:t>
      </w:r>
      <w:r w:rsidR="000C21DB">
        <w:t xml:space="preserve"> </w:t>
      </w:r>
      <w:r w:rsidR="005263BA">
        <w:t>review</w:t>
      </w:r>
      <w:r>
        <w:t>:</w:t>
      </w:r>
    </w:p>
    <w:p w14:paraId="02D93A78" w14:textId="77777777" w:rsidR="0073060E" w:rsidRDefault="003E5622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939F6" wp14:editId="02D939F7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1439549"/>
                <wp:effectExtent l="0" t="0" r="10159" b="27301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1439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93A05" w14:textId="7CE1665B" w:rsidR="0073060E" w:rsidRDefault="00684E33">
                            <w:r>
                              <w:rPr>
                                <w:rStyle w:val="PlaceholderText"/>
                              </w:rPr>
                              <w:t xml:space="preserve">UK Steel is the trade association that represents steel producers in the UK.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D93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" strokeweight=".26467mm">
                <v:textbox>
                  <w:txbxContent>
                    <w:p w14:paraId="02D93A05" w14:textId="7CE1665B" w:rsidR="0073060E" w:rsidRDefault="00684E33">
                      <w:r>
                        <w:rPr>
                          <w:rStyle w:val="PlaceholderText"/>
                        </w:rPr>
                        <w:t xml:space="preserve">UK Steel is the trade association that represents steel producers in the UK.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D93A79" w14:textId="77777777" w:rsidR="0073060E" w:rsidRDefault="0073060E">
      <w:pPr>
        <w:pStyle w:val="Heading2"/>
        <w:rPr>
          <w:lang w:eastAsia="zh-CN"/>
        </w:rPr>
      </w:pPr>
    </w:p>
    <w:p w14:paraId="02D93AA4" w14:textId="77777777" w:rsidR="0073060E" w:rsidRDefault="0073060E">
      <w:pPr>
        <w:rPr>
          <w:color w:val="000000"/>
          <w:shd w:val="clear" w:color="auto" w:fill="FFFFFF"/>
        </w:rPr>
      </w:pPr>
      <w:bookmarkStart w:id="15" w:name="_Hlk105432157"/>
    </w:p>
    <w:p w14:paraId="02D93AA5" w14:textId="2707E83F" w:rsidR="0073060E" w:rsidRDefault="003E5622">
      <w:pPr>
        <w:pStyle w:val="Heading2"/>
        <w:rPr>
          <w:lang w:eastAsia="zh-CN"/>
        </w:rPr>
      </w:pPr>
      <w:bookmarkStart w:id="16" w:name="_Toc213667379"/>
      <w:r>
        <w:rPr>
          <w:lang w:eastAsia="zh-CN"/>
        </w:rPr>
        <w:t xml:space="preserve">Section </w:t>
      </w:r>
      <w:r w:rsidR="008C5476">
        <w:rPr>
          <w:lang w:eastAsia="zh-CN"/>
        </w:rPr>
        <w:t>B</w:t>
      </w:r>
      <w:r>
        <w:rPr>
          <w:lang w:eastAsia="zh-CN"/>
        </w:rPr>
        <w:t xml:space="preserve"> – </w:t>
      </w:r>
      <w:r w:rsidR="00706E5D">
        <w:rPr>
          <w:lang w:eastAsia="zh-CN"/>
        </w:rPr>
        <w:t xml:space="preserve">Comments on the </w:t>
      </w:r>
      <w:r w:rsidR="008F0FC1">
        <w:rPr>
          <w:lang w:eastAsia="zh-CN"/>
        </w:rPr>
        <w:t>application</w:t>
      </w:r>
      <w:r w:rsidR="00DD4F06">
        <w:rPr>
          <w:lang w:eastAsia="zh-CN"/>
        </w:rPr>
        <w:t xml:space="preserve">, </w:t>
      </w:r>
      <w:r w:rsidR="00524825">
        <w:rPr>
          <w:lang w:eastAsia="zh-CN"/>
        </w:rPr>
        <w:t>on the</w:t>
      </w:r>
      <w:r w:rsidR="00C1298B">
        <w:rPr>
          <w:lang w:eastAsia="zh-CN"/>
        </w:rPr>
        <w:t xml:space="preserve"> </w:t>
      </w:r>
      <w:r w:rsidR="00DD4F06">
        <w:rPr>
          <w:lang w:eastAsia="zh-CN"/>
        </w:rPr>
        <w:t>expan</w:t>
      </w:r>
      <w:r w:rsidR="00524825">
        <w:rPr>
          <w:lang w:eastAsia="zh-CN"/>
        </w:rPr>
        <w:t>sion of</w:t>
      </w:r>
      <w:r w:rsidR="00495815">
        <w:rPr>
          <w:lang w:eastAsia="zh-CN"/>
        </w:rPr>
        <w:t xml:space="preserve"> the matters </w:t>
      </w:r>
      <w:r w:rsidR="00524825">
        <w:rPr>
          <w:lang w:eastAsia="zh-CN"/>
        </w:rPr>
        <w:t xml:space="preserve">to be considered </w:t>
      </w:r>
      <w:r w:rsidR="00F70BBC">
        <w:rPr>
          <w:lang w:eastAsia="zh-CN"/>
        </w:rPr>
        <w:t>(</w:t>
      </w:r>
      <w:r w:rsidR="008E1155">
        <w:rPr>
          <w:lang w:eastAsia="zh-CN"/>
        </w:rPr>
        <w:t>referred to in the Notice of Initiation)</w:t>
      </w:r>
      <w:r w:rsidR="008F0FC1">
        <w:rPr>
          <w:lang w:eastAsia="zh-CN"/>
        </w:rPr>
        <w:t xml:space="preserve"> and</w:t>
      </w:r>
      <w:r w:rsidR="00F70BBC">
        <w:rPr>
          <w:lang w:eastAsia="zh-CN"/>
        </w:rPr>
        <w:t>/or</w:t>
      </w:r>
      <w:r w:rsidR="008F0FC1">
        <w:rPr>
          <w:lang w:eastAsia="zh-CN"/>
        </w:rPr>
        <w:t xml:space="preserve"> </w:t>
      </w:r>
      <w:r w:rsidR="00706E5D">
        <w:rPr>
          <w:lang w:eastAsia="zh-CN"/>
        </w:rPr>
        <w:t xml:space="preserve">proposed </w:t>
      </w:r>
      <w:r w:rsidR="00DD4F06">
        <w:rPr>
          <w:lang w:eastAsia="zh-CN"/>
        </w:rPr>
        <w:t>intended final determination</w:t>
      </w:r>
      <w:bookmarkEnd w:id="16"/>
      <w:r>
        <w:rPr>
          <w:lang w:eastAsia="zh-CN"/>
        </w:rPr>
        <w:t xml:space="preserve"> </w:t>
      </w:r>
    </w:p>
    <w:p w14:paraId="02D93AA6" w14:textId="77777777" w:rsidR="0073060E" w:rsidRDefault="0073060E"/>
    <w:p w14:paraId="02D93AA7" w14:textId="69F125C2" w:rsidR="0073060E" w:rsidRDefault="008C5476">
      <w:r>
        <w:t>B</w:t>
      </w:r>
      <w:r w:rsidR="003E5622">
        <w:t xml:space="preserve">1. Please use the box to </w:t>
      </w:r>
      <w:r w:rsidR="00706E5D">
        <w:t xml:space="preserve">comment on </w:t>
      </w:r>
      <w:r w:rsidR="003E5622">
        <w:t xml:space="preserve">this </w:t>
      </w:r>
      <w:r w:rsidR="001A056A">
        <w:t>TRQ</w:t>
      </w:r>
      <w:r w:rsidR="003E5622">
        <w:t xml:space="preserve"> </w:t>
      </w:r>
      <w:r w:rsidR="005263BA">
        <w:t>review</w:t>
      </w:r>
      <w:r w:rsidR="003E5622">
        <w:t>:</w:t>
      </w:r>
    </w:p>
    <w:p w14:paraId="02D93AA8" w14:textId="77777777" w:rsidR="0073060E" w:rsidRDefault="0073060E"/>
    <w:p w14:paraId="02D93AA9" w14:textId="77777777" w:rsidR="0073060E" w:rsidRDefault="003E562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D93A00" wp14:editId="02D93A01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1" cy="1238253"/>
                <wp:effectExtent l="0" t="0" r="10159" b="19047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1238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93A14" w14:textId="1A39A5B1" w:rsidR="0073060E" w:rsidRDefault="00684E33">
                            <w:r>
                              <w:rPr>
                                <w:rStyle w:val="PlaceholderText"/>
                              </w:rPr>
                              <w:t>We are aware of a sharp increase in imports from Turkey that undermines the trade defence provision of the existing Category 4. The imports will have gone beyond the 3% threshold for developing nation status and so, as in the case with Vietnamese rebar, Turkey should have its exemption status removed.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3A00" id="Text Box 7" o:spid="_x0000_s1027" type="#_x0000_t202" style="position:absolute;margin-left:0;margin-top:13.95pt;width:449.2pt;height:97.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" strokeweight=".26467mm">
                <v:textbox>
                  <w:txbxContent>
                    <w:p w14:paraId="02D93A14" w14:textId="1A39A5B1" w:rsidR="0073060E" w:rsidRDefault="00684E33">
                      <w:r>
                        <w:rPr>
                          <w:rStyle w:val="PlaceholderText"/>
                        </w:rPr>
                        <w:t>We are aware of a sharp increase in imports from Turkey that undermines the trade defence provision of the existing Category 4.</w:t>
                      </w:r>
                      <w:r>
                        <w:rPr>
                          <w:rStyle w:val="PlaceholderText"/>
                        </w:rPr>
                        <w:t xml:space="preserve"> The imports will have gone beyond the 3% threshold for developing nation status and so, as in the case with Vietnamese rebar, Turkey should have its exemption status removed.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5"/>
    </w:p>
    <w:sectPr w:rsidR="0073060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8884" w14:textId="77777777" w:rsidR="00DB2E90" w:rsidRDefault="00DB2E90">
      <w:r>
        <w:separator/>
      </w:r>
    </w:p>
  </w:endnote>
  <w:endnote w:type="continuationSeparator" w:id="0">
    <w:p w14:paraId="3E2AF465" w14:textId="77777777" w:rsidR="00DB2E90" w:rsidRDefault="00DB2E90">
      <w:r>
        <w:continuationSeparator/>
      </w:r>
    </w:p>
  </w:endnote>
  <w:endnote w:type="continuationNotice" w:id="1">
    <w:p w14:paraId="2D1B7862" w14:textId="77777777" w:rsidR="00DB2E90" w:rsidRDefault="00DB2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3A13" w14:textId="77777777" w:rsidR="00D14E02" w:rsidRDefault="003E562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2D93A14" w14:textId="77777777" w:rsidR="00D14E02" w:rsidRDefault="00D14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EC70" w14:textId="77777777" w:rsidR="00DB2E90" w:rsidRDefault="00DB2E90">
      <w:r>
        <w:rPr>
          <w:color w:val="000000"/>
        </w:rPr>
        <w:separator/>
      </w:r>
    </w:p>
  </w:footnote>
  <w:footnote w:type="continuationSeparator" w:id="0">
    <w:p w14:paraId="78287E4B" w14:textId="77777777" w:rsidR="00DB2E90" w:rsidRDefault="00DB2E90">
      <w:r>
        <w:continuationSeparator/>
      </w:r>
    </w:p>
  </w:footnote>
  <w:footnote w:type="continuationNotice" w:id="1">
    <w:p w14:paraId="4BE1F7E7" w14:textId="77777777" w:rsidR="00DB2E90" w:rsidRDefault="00DB2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3005"/>
      <w:gridCol w:w="3941"/>
    </w:tblGrid>
    <w:tr w:rsidR="007A5D20" w:rsidRPr="002F08DE" w14:paraId="02D93A10" w14:textId="77777777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A" w14:textId="77777777" w:rsidR="00D14E02" w:rsidRDefault="003E5622">
          <w:pPr>
            <w:spacing w:before="20" w:after="20"/>
          </w:pPr>
          <w:bookmarkStart w:id="17" w:name="_Hlk43194599"/>
          <w:r>
            <w:rPr>
              <w:noProof/>
            </w:rPr>
            <w:drawing>
              <wp:inline distT="0" distB="0" distL="0" distR="0" wp14:anchorId="02D93A02" wp14:editId="02D93A03">
                <wp:extent cx="1434538" cy="810048"/>
                <wp:effectExtent l="0" t="0" r="0" b="9102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538" cy="810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B" w14:textId="77777777" w:rsidR="00D14E02" w:rsidRDefault="00D14E02">
          <w:pPr>
            <w:jc w:val="cent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C" w14:textId="77777777" w:rsidR="00D14E02" w:rsidRPr="002F08DE" w:rsidRDefault="00D14E02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</w:p>
        <w:p w14:paraId="02D93A0D" w14:textId="77777777" w:rsidR="00D14E02" w:rsidRPr="002F08DE" w:rsidRDefault="003E5622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  <w:bookmarkStart w:id="18" w:name="_Hlk43194575"/>
          <w:r w:rsidRPr="002F08DE">
            <w:rPr>
              <w:rFonts w:ascii="Arial" w:hAnsi="Arial"/>
              <w:sz w:val="19"/>
              <w:szCs w:val="19"/>
            </w:rPr>
            <w:t>Trade Remedies Authority</w:t>
          </w:r>
        </w:p>
        <w:p w14:paraId="02D93A0E" w14:textId="725CAB45" w:rsidR="00D14E02" w:rsidRPr="002F08DE" w:rsidRDefault="00554C57">
          <w:pPr>
            <w:tabs>
              <w:tab w:val="left" w:pos="2133"/>
            </w:tabs>
            <w:spacing w:line="276" w:lineRule="auto"/>
            <w:ind w:left="7" w:firstLine="141"/>
          </w:pPr>
          <w:r w:rsidRPr="002F08DE">
            <w:rPr>
              <w:rFonts w:ascii="MS Gothic" w:eastAsia="MS Gothic" w:hAnsi="MS Gothic"/>
              <w:b/>
              <w:sz w:val="18"/>
            </w:rPr>
            <w:t>☐</w:t>
          </w:r>
          <w:r w:rsidR="003E5622" w:rsidRPr="002F08DE">
            <w:rPr>
              <w:sz w:val="18"/>
            </w:rPr>
            <w:t xml:space="preserve"> Confidential</w:t>
          </w:r>
          <w:r w:rsidR="003E5622" w:rsidRPr="002F08DE">
            <w:rPr>
              <w:sz w:val="18"/>
            </w:rPr>
            <w:tab/>
          </w:r>
          <w:r w:rsidRPr="00554C57">
            <w:rPr>
              <w:color w:val="FF0000"/>
              <w:sz w:val="18"/>
            </w:rPr>
            <w:t>X</w:t>
          </w:r>
          <w:r w:rsidR="003E5622" w:rsidRPr="002F08DE">
            <w:rPr>
              <w:sz w:val="18"/>
            </w:rPr>
            <w:t xml:space="preserve"> </w:t>
          </w:r>
          <w:r w:rsidR="0092502D">
            <w:rPr>
              <w:sz w:val="18"/>
            </w:rPr>
            <w:t>N</w:t>
          </w:r>
          <w:r w:rsidR="00EE2CC0">
            <w:rPr>
              <w:sz w:val="18"/>
            </w:rPr>
            <w:t>on-confidential</w:t>
          </w:r>
        </w:p>
        <w:bookmarkEnd w:id="18"/>
        <w:p w14:paraId="02D93A0F" w14:textId="77777777" w:rsidR="00D14E02" w:rsidRPr="002F08DE" w:rsidRDefault="00D14E02">
          <w:pPr>
            <w:pStyle w:val="NoSpacing"/>
            <w:ind w:firstLine="148"/>
            <w:rPr>
              <w:rFonts w:ascii="Arial" w:hAnsi="Arial"/>
              <w:sz w:val="18"/>
              <w:szCs w:val="24"/>
            </w:rPr>
          </w:pPr>
        </w:p>
      </w:tc>
    </w:tr>
    <w:bookmarkEnd w:id="17"/>
  </w:tbl>
  <w:p w14:paraId="02D93A11" w14:textId="77777777" w:rsidR="00D14E02" w:rsidRDefault="00D1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49E7"/>
    <w:multiLevelType w:val="hybridMultilevel"/>
    <w:tmpl w:val="255CBFBE"/>
    <w:lvl w:ilvl="0" w:tplc="2D465E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C7092"/>
    <w:multiLevelType w:val="hybridMultilevel"/>
    <w:tmpl w:val="F6501004"/>
    <w:lvl w:ilvl="0" w:tplc="14320076">
      <w:start w:val="26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5BEF"/>
    <w:multiLevelType w:val="hybridMultilevel"/>
    <w:tmpl w:val="96E08CCA"/>
    <w:lvl w:ilvl="0" w:tplc="264A55F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08CC"/>
    <w:multiLevelType w:val="hybridMultilevel"/>
    <w:tmpl w:val="E6B2D0C6"/>
    <w:lvl w:ilvl="0" w:tplc="897CE4E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4295F"/>
    <w:multiLevelType w:val="multilevel"/>
    <w:tmpl w:val="AAC4D25C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782569"/>
    <w:multiLevelType w:val="multilevel"/>
    <w:tmpl w:val="D6841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498615559">
    <w:abstractNumId w:val="5"/>
  </w:num>
  <w:num w:numId="2" w16cid:durableId="1547982687">
    <w:abstractNumId w:val="6"/>
  </w:num>
  <w:num w:numId="3" w16cid:durableId="254755310">
    <w:abstractNumId w:val="0"/>
  </w:num>
  <w:num w:numId="4" w16cid:durableId="1585068389">
    <w:abstractNumId w:val="3"/>
  </w:num>
  <w:num w:numId="5" w16cid:durableId="1054156580">
    <w:abstractNumId w:val="4"/>
  </w:num>
  <w:num w:numId="6" w16cid:durableId="988746078">
    <w:abstractNumId w:val="1"/>
  </w:num>
  <w:num w:numId="7" w16cid:durableId="86254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0E"/>
    <w:rsid w:val="00003B26"/>
    <w:rsid w:val="00003E11"/>
    <w:rsid w:val="00017741"/>
    <w:rsid w:val="0002073E"/>
    <w:rsid w:val="00023411"/>
    <w:rsid w:val="000257E1"/>
    <w:rsid w:val="00027110"/>
    <w:rsid w:val="00044F42"/>
    <w:rsid w:val="0005381D"/>
    <w:rsid w:val="00060B42"/>
    <w:rsid w:val="00062C18"/>
    <w:rsid w:val="000662FB"/>
    <w:rsid w:val="000668AA"/>
    <w:rsid w:val="00070427"/>
    <w:rsid w:val="00070A26"/>
    <w:rsid w:val="000737D7"/>
    <w:rsid w:val="0007432F"/>
    <w:rsid w:val="00081033"/>
    <w:rsid w:val="00083CEB"/>
    <w:rsid w:val="00086C9F"/>
    <w:rsid w:val="000A391F"/>
    <w:rsid w:val="000A7281"/>
    <w:rsid w:val="000B4893"/>
    <w:rsid w:val="000B51B7"/>
    <w:rsid w:val="000C12B2"/>
    <w:rsid w:val="000C21DB"/>
    <w:rsid w:val="000C6937"/>
    <w:rsid w:val="000D1630"/>
    <w:rsid w:val="000E0CE2"/>
    <w:rsid w:val="000E5118"/>
    <w:rsid w:val="000F2E4E"/>
    <w:rsid w:val="000F3335"/>
    <w:rsid w:val="00101DAE"/>
    <w:rsid w:val="00113E4E"/>
    <w:rsid w:val="00131D31"/>
    <w:rsid w:val="00137A64"/>
    <w:rsid w:val="00142F60"/>
    <w:rsid w:val="00146F99"/>
    <w:rsid w:val="00164A64"/>
    <w:rsid w:val="00164EAF"/>
    <w:rsid w:val="00164F13"/>
    <w:rsid w:val="001663E0"/>
    <w:rsid w:val="001814AB"/>
    <w:rsid w:val="001828E6"/>
    <w:rsid w:val="001920DB"/>
    <w:rsid w:val="00195229"/>
    <w:rsid w:val="001A056A"/>
    <w:rsid w:val="001A7806"/>
    <w:rsid w:val="001B12AE"/>
    <w:rsid w:val="001B5388"/>
    <w:rsid w:val="001C1EA6"/>
    <w:rsid w:val="001C2DEF"/>
    <w:rsid w:val="001C328F"/>
    <w:rsid w:val="001C66A5"/>
    <w:rsid w:val="001E1677"/>
    <w:rsid w:val="001E1744"/>
    <w:rsid w:val="001E3A30"/>
    <w:rsid w:val="001F39D0"/>
    <w:rsid w:val="001F47E9"/>
    <w:rsid w:val="00204377"/>
    <w:rsid w:val="0020705C"/>
    <w:rsid w:val="00210169"/>
    <w:rsid w:val="00233E68"/>
    <w:rsid w:val="00237A8A"/>
    <w:rsid w:val="00250245"/>
    <w:rsid w:val="00255871"/>
    <w:rsid w:val="002566CD"/>
    <w:rsid w:val="00256B03"/>
    <w:rsid w:val="00257F07"/>
    <w:rsid w:val="00260A3A"/>
    <w:rsid w:val="0027256E"/>
    <w:rsid w:val="002743CB"/>
    <w:rsid w:val="002750C4"/>
    <w:rsid w:val="00275A2B"/>
    <w:rsid w:val="00277106"/>
    <w:rsid w:val="00284FB7"/>
    <w:rsid w:val="00287400"/>
    <w:rsid w:val="00291D5A"/>
    <w:rsid w:val="002A5CE2"/>
    <w:rsid w:val="002A5DD0"/>
    <w:rsid w:val="002C698A"/>
    <w:rsid w:val="002D7163"/>
    <w:rsid w:val="002D7A85"/>
    <w:rsid w:val="002E5EBF"/>
    <w:rsid w:val="002F08DE"/>
    <w:rsid w:val="00305B70"/>
    <w:rsid w:val="00310689"/>
    <w:rsid w:val="00315134"/>
    <w:rsid w:val="00321B44"/>
    <w:rsid w:val="0033458E"/>
    <w:rsid w:val="0034512E"/>
    <w:rsid w:val="00346D7C"/>
    <w:rsid w:val="003504F8"/>
    <w:rsid w:val="0035107D"/>
    <w:rsid w:val="003534C9"/>
    <w:rsid w:val="003557CB"/>
    <w:rsid w:val="003624C7"/>
    <w:rsid w:val="00380A51"/>
    <w:rsid w:val="003A439A"/>
    <w:rsid w:val="003B6E58"/>
    <w:rsid w:val="003C516D"/>
    <w:rsid w:val="003C55DA"/>
    <w:rsid w:val="003E2E1F"/>
    <w:rsid w:val="003E5622"/>
    <w:rsid w:val="003F4CA8"/>
    <w:rsid w:val="00401289"/>
    <w:rsid w:val="00401554"/>
    <w:rsid w:val="00415BF9"/>
    <w:rsid w:val="004202DB"/>
    <w:rsid w:val="0043256F"/>
    <w:rsid w:val="00436709"/>
    <w:rsid w:val="004415B8"/>
    <w:rsid w:val="004473F0"/>
    <w:rsid w:val="00454656"/>
    <w:rsid w:val="00455194"/>
    <w:rsid w:val="00455C49"/>
    <w:rsid w:val="00487E2A"/>
    <w:rsid w:val="0049148B"/>
    <w:rsid w:val="00494B10"/>
    <w:rsid w:val="00495815"/>
    <w:rsid w:val="004A4366"/>
    <w:rsid w:val="004B182B"/>
    <w:rsid w:val="004B20CC"/>
    <w:rsid w:val="004B4F40"/>
    <w:rsid w:val="004D2568"/>
    <w:rsid w:val="004E1422"/>
    <w:rsid w:val="004E6D44"/>
    <w:rsid w:val="004E7889"/>
    <w:rsid w:val="004F04F8"/>
    <w:rsid w:val="004F3CC9"/>
    <w:rsid w:val="004F7C35"/>
    <w:rsid w:val="00522711"/>
    <w:rsid w:val="00524825"/>
    <w:rsid w:val="005263BA"/>
    <w:rsid w:val="00551068"/>
    <w:rsid w:val="00551684"/>
    <w:rsid w:val="00554C57"/>
    <w:rsid w:val="005557C8"/>
    <w:rsid w:val="00557486"/>
    <w:rsid w:val="0055779F"/>
    <w:rsid w:val="005577CC"/>
    <w:rsid w:val="00565850"/>
    <w:rsid w:val="005827B7"/>
    <w:rsid w:val="005829C1"/>
    <w:rsid w:val="00586300"/>
    <w:rsid w:val="00586AFC"/>
    <w:rsid w:val="005949D1"/>
    <w:rsid w:val="005A1EA4"/>
    <w:rsid w:val="005A5062"/>
    <w:rsid w:val="005C155C"/>
    <w:rsid w:val="005D120D"/>
    <w:rsid w:val="005E02C4"/>
    <w:rsid w:val="005E3196"/>
    <w:rsid w:val="005E3AF8"/>
    <w:rsid w:val="005E5F69"/>
    <w:rsid w:val="006024BA"/>
    <w:rsid w:val="00605496"/>
    <w:rsid w:val="0060654C"/>
    <w:rsid w:val="0061078F"/>
    <w:rsid w:val="0062695A"/>
    <w:rsid w:val="006360FB"/>
    <w:rsid w:val="00642409"/>
    <w:rsid w:val="006437FC"/>
    <w:rsid w:val="00654A38"/>
    <w:rsid w:val="00657D12"/>
    <w:rsid w:val="006604B3"/>
    <w:rsid w:val="006609C8"/>
    <w:rsid w:val="00660CFD"/>
    <w:rsid w:val="00670A16"/>
    <w:rsid w:val="00680B37"/>
    <w:rsid w:val="006847BD"/>
    <w:rsid w:val="00684E33"/>
    <w:rsid w:val="006909A4"/>
    <w:rsid w:val="006923D1"/>
    <w:rsid w:val="00692713"/>
    <w:rsid w:val="006941DA"/>
    <w:rsid w:val="006A38AA"/>
    <w:rsid w:val="006B543F"/>
    <w:rsid w:val="006D01B4"/>
    <w:rsid w:val="006D1B99"/>
    <w:rsid w:val="006D287E"/>
    <w:rsid w:val="006D7445"/>
    <w:rsid w:val="006E061E"/>
    <w:rsid w:val="006E0F25"/>
    <w:rsid w:val="006E1FCA"/>
    <w:rsid w:val="006F7C3E"/>
    <w:rsid w:val="00706E5D"/>
    <w:rsid w:val="00707A0D"/>
    <w:rsid w:val="00714B5F"/>
    <w:rsid w:val="007237BD"/>
    <w:rsid w:val="00726B16"/>
    <w:rsid w:val="0073060E"/>
    <w:rsid w:val="00730C7A"/>
    <w:rsid w:val="00741FCA"/>
    <w:rsid w:val="00750960"/>
    <w:rsid w:val="007510F3"/>
    <w:rsid w:val="00757FA6"/>
    <w:rsid w:val="007602BC"/>
    <w:rsid w:val="00782A5E"/>
    <w:rsid w:val="0079375B"/>
    <w:rsid w:val="007A5D20"/>
    <w:rsid w:val="007B0F4A"/>
    <w:rsid w:val="007C0AE3"/>
    <w:rsid w:val="007C2D45"/>
    <w:rsid w:val="007C5643"/>
    <w:rsid w:val="007D6178"/>
    <w:rsid w:val="007E2026"/>
    <w:rsid w:val="007E3855"/>
    <w:rsid w:val="00804E26"/>
    <w:rsid w:val="00813E09"/>
    <w:rsid w:val="00814588"/>
    <w:rsid w:val="00817BE5"/>
    <w:rsid w:val="00817D7A"/>
    <w:rsid w:val="00832FBD"/>
    <w:rsid w:val="00846A7F"/>
    <w:rsid w:val="00852660"/>
    <w:rsid w:val="00854C00"/>
    <w:rsid w:val="00870381"/>
    <w:rsid w:val="00884647"/>
    <w:rsid w:val="00887502"/>
    <w:rsid w:val="0088778B"/>
    <w:rsid w:val="00895ADE"/>
    <w:rsid w:val="008A30D1"/>
    <w:rsid w:val="008B0915"/>
    <w:rsid w:val="008B168A"/>
    <w:rsid w:val="008B571F"/>
    <w:rsid w:val="008B5BC9"/>
    <w:rsid w:val="008C02C7"/>
    <w:rsid w:val="008C4C42"/>
    <w:rsid w:val="008C5476"/>
    <w:rsid w:val="008D1B1E"/>
    <w:rsid w:val="008D6C3C"/>
    <w:rsid w:val="008E1155"/>
    <w:rsid w:val="008E41B2"/>
    <w:rsid w:val="008E54A8"/>
    <w:rsid w:val="008F0FC1"/>
    <w:rsid w:val="00913E51"/>
    <w:rsid w:val="00914765"/>
    <w:rsid w:val="0092502D"/>
    <w:rsid w:val="0092779E"/>
    <w:rsid w:val="00932130"/>
    <w:rsid w:val="00933E1F"/>
    <w:rsid w:val="00935FDE"/>
    <w:rsid w:val="0094258E"/>
    <w:rsid w:val="00947D92"/>
    <w:rsid w:val="0096086E"/>
    <w:rsid w:val="0098049E"/>
    <w:rsid w:val="009828BF"/>
    <w:rsid w:val="0098753A"/>
    <w:rsid w:val="0099771D"/>
    <w:rsid w:val="009B4E4E"/>
    <w:rsid w:val="009C3F43"/>
    <w:rsid w:val="009E24F5"/>
    <w:rsid w:val="009E5235"/>
    <w:rsid w:val="009E7BEC"/>
    <w:rsid w:val="009F2E77"/>
    <w:rsid w:val="00A0444C"/>
    <w:rsid w:val="00A248B2"/>
    <w:rsid w:val="00A2696B"/>
    <w:rsid w:val="00A3270F"/>
    <w:rsid w:val="00A32B67"/>
    <w:rsid w:val="00A359E4"/>
    <w:rsid w:val="00A44439"/>
    <w:rsid w:val="00A45ECB"/>
    <w:rsid w:val="00A502D8"/>
    <w:rsid w:val="00A60CBD"/>
    <w:rsid w:val="00A63F64"/>
    <w:rsid w:val="00A65D73"/>
    <w:rsid w:val="00A74817"/>
    <w:rsid w:val="00A9494F"/>
    <w:rsid w:val="00A960B0"/>
    <w:rsid w:val="00AD3C4B"/>
    <w:rsid w:val="00AD5007"/>
    <w:rsid w:val="00AE73F6"/>
    <w:rsid w:val="00AF105A"/>
    <w:rsid w:val="00B01AD8"/>
    <w:rsid w:val="00B07984"/>
    <w:rsid w:val="00B15B4E"/>
    <w:rsid w:val="00B257C6"/>
    <w:rsid w:val="00B36244"/>
    <w:rsid w:val="00B3688F"/>
    <w:rsid w:val="00B46987"/>
    <w:rsid w:val="00B55040"/>
    <w:rsid w:val="00B648FE"/>
    <w:rsid w:val="00B66B0F"/>
    <w:rsid w:val="00B84951"/>
    <w:rsid w:val="00B84EF9"/>
    <w:rsid w:val="00B906C7"/>
    <w:rsid w:val="00B92267"/>
    <w:rsid w:val="00B97D49"/>
    <w:rsid w:val="00BA1F6E"/>
    <w:rsid w:val="00BA3DE0"/>
    <w:rsid w:val="00BB3E08"/>
    <w:rsid w:val="00BC0B11"/>
    <w:rsid w:val="00BC16C2"/>
    <w:rsid w:val="00BC2846"/>
    <w:rsid w:val="00BD23ED"/>
    <w:rsid w:val="00BD60C3"/>
    <w:rsid w:val="00BE29A3"/>
    <w:rsid w:val="00BF2FA2"/>
    <w:rsid w:val="00BF4BBB"/>
    <w:rsid w:val="00BF6E8B"/>
    <w:rsid w:val="00C1298B"/>
    <w:rsid w:val="00C17F83"/>
    <w:rsid w:val="00C2061F"/>
    <w:rsid w:val="00C24599"/>
    <w:rsid w:val="00C30C5B"/>
    <w:rsid w:val="00C31D5D"/>
    <w:rsid w:val="00C34479"/>
    <w:rsid w:val="00C4570B"/>
    <w:rsid w:val="00C833CF"/>
    <w:rsid w:val="00C86D6D"/>
    <w:rsid w:val="00C91337"/>
    <w:rsid w:val="00C9407E"/>
    <w:rsid w:val="00CA2216"/>
    <w:rsid w:val="00CA6F83"/>
    <w:rsid w:val="00CA723E"/>
    <w:rsid w:val="00CB01EB"/>
    <w:rsid w:val="00CB2158"/>
    <w:rsid w:val="00CD1F2A"/>
    <w:rsid w:val="00CD3364"/>
    <w:rsid w:val="00CF0977"/>
    <w:rsid w:val="00D00B2B"/>
    <w:rsid w:val="00D057FF"/>
    <w:rsid w:val="00D05B5C"/>
    <w:rsid w:val="00D14E02"/>
    <w:rsid w:val="00D3061E"/>
    <w:rsid w:val="00D40160"/>
    <w:rsid w:val="00D41384"/>
    <w:rsid w:val="00D43AAD"/>
    <w:rsid w:val="00D61F73"/>
    <w:rsid w:val="00D66A29"/>
    <w:rsid w:val="00D67768"/>
    <w:rsid w:val="00D67F0F"/>
    <w:rsid w:val="00D774DA"/>
    <w:rsid w:val="00D86FAF"/>
    <w:rsid w:val="00D930A4"/>
    <w:rsid w:val="00DA4A36"/>
    <w:rsid w:val="00DB2E90"/>
    <w:rsid w:val="00DB372F"/>
    <w:rsid w:val="00DD2BD4"/>
    <w:rsid w:val="00DD49B2"/>
    <w:rsid w:val="00DD4B9D"/>
    <w:rsid w:val="00DD4F06"/>
    <w:rsid w:val="00DD7B3D"/>
    <w:rsid w:val="00DE5375"/>
    <w:rsid w:val="00DE725D"/>
    <w:rsid w:val="00DF7421"/>
    <w:rsid w:val="00E14642"/>
    <w:rsid w:val="00E17D96"/>
    <w:rsid w:val="00E3207C"/>
    <w:rsid w:val="00E4087D"/>
    <w:rsid w:val="00E47BE9"/>
    <w:rsid w:val="00E51DA2"/>
    <w:rsid w:val="00E61A38"/>
    <w:rsid w:val="00E67013"/>
    <w:rsid w:val="00E71729"/>
    <w:rsid w:val="00E71D3E"/>
    <w:rsid w:val="00E80429"/>
    <w:rsid w:val="00E82D42"/>
    <w:rsid w:val="00E82EDC"/>
    <w:rsid w:val="00EC3EB8"/>
    <w:rsid w:val="00ED16EC"/>
    <w:rsid w:val="00ED61E0"/>
    <w:rsid w:val="00ED7F3E"/>
    <w:rsid w:val="00EE2CC0"/>
    <w:rsid w:val="00EE4EDB"/>
    <w:rsid w:val="00EE5800"/>
    <w:rsid w:val="00EE70DC"/>
    <w:rsid w:val="00EE73E5"/>
    <w:rsid w:val="00F030F6"/>
    <w:rsid w:val="00F04EA1"/>
    <w:rsid w:val="00F066B1"/>
    <w:rsid w:val="00F10458"/>
    <w:rsid w:val="00F16752"/>
    <w:rsid w:val="00F257E5"/>
    <w:rsid w:val="00F34627"/>
    <w:rsid w:val="00F35860"/>
    <w:rsid w:val="00F45A33"/>
    <w:rsid w:val="00F52F4D"/>
    <w:rsid w:val="00F60357"/>
    <w:rsid w:val="00F70BBC"/>
    <w:rsid w:val="00F71334"/>
    <w:rsid w:val="00F774E5"/>
    <w:rsid w:val="00F81D82"/>
    <w:rsid w:val="00F849FB"/>
    <w:rsid w:val="00F866D4"/>
    <w:rsid w:val="00F8686E"/>
    <w:rsid w:val="00F97CAD"/>
    <w:rsid w:val="00FA2CD5"/>
    <w:rsid w:val="00FA4B01"/>
    <w:rsid w:val="00FA594C"/>
    <w:rsid w:val="00FB7FBE"/>
    <w:rsid w:val="00FC1D67"/>
    <w:rsid w:val="00FC4D28"/>
    <w:rsid w:val="00FD1D77"/>
    <w:rsid w:val="00FD3419"/>
    <w:rsid w:val="00FD7D3D"/>
    <w:rsid w:val="00FF23F5"/>
    <w:rsid w:val="00FF47CC"/>
    <w:rsid w:val="00FF7007"/>
    <w:rsid w:val="026E6EEE"/>
    <w:rsid w:val="1AEA042D"/>
    <w:rsid w:val="1D1302D7"/>
    <w:rsid w:val="1F163E73"/>
    <w:rsid w:val="3B3364CE"/>
    <w:rsid w:val="4306C97B"/>
    <w:rsid w:val="576745DB"/>
    <w:rsid w:val="5D4096D1"/>
    <w:rsid w:val="69D4F32C"/>
    <w:rsid w:val="69E72E5D"/>
    <w:rsid w:val="6BB9852A"/>
    <w:rsid w:val="7E4B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939F5"/>
  <w15:docId w15:val="{3173AA49-4498-41DD-A17D-0E29B351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eastAsia="Yu Mincho" w:hAnsi="Arial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eastAsia="Yu Gothic Light" w:cs="Times New Roman"/>
      <w:b/>
      <w:sz w:val="36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eastAsia="Yu Gothic Light" w:cs="Times New Roman"/>
      <w:b/>
      <w:sz w:val="3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eastAsia="Yu Gothic Light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Yu Gothic Light" w:hAnsi="Arial" w:cs="Times New Roman"/>
      <w:b/>
      <w:sz w:val="36"/>
      <w:szCs w:val="32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Times New Roman"/>
      <w:b/>
      <w:sz w:val="32"/>
      <w:szCs w:val="26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Times New Roman"/>
      <w:b/>
      <w:sz w:val="28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rFonts w:ascii="Arial" w:eastAsia="Yu Mincho" w:hAnsi="Arial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Yu Mincho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eastAsia="Yu Mincho" w:hAnsi="Arial"/>
      <w:b/>
      <w:bCs/>
      <w:sz w:val="20"/>
      <w:szCs w:val="20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rPr>
      <w:rFonts w:ascii="Arial" w:eastAsia="Yu Mincho" w:hAnsi="Arial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Arial" w:eastAsia="Yu Mincho" w:hAnsi="Arial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TOCHeading">
    <w:name w:val="TOC Heading"/>
    <w:basedOn w:val="Heading1"/>
    <w:next w:val="Normal"/>
    <w:pPr>
      <w:spacing w:line="251" w:lineRule="auto"/>
    </w:pPr>
    <w:rPr>
      <w:lang w:val="en-US"/>
    </w:rPr>
  </w:style>
  <w:style w:type="paragraph" w:styleId="TOC1">
    <w:name w:val="toc 1"/>
    <w:basedOn w:val="Normal"/>
    <w:next w:val="Normal"/>
    <w:autoRedefine/>
    <w:pPr>
      <w:tabs>
        <w:tab w:val="right" w:leader="dot" w:pos="9016"/>
      </w:tabs>
      <w:spacing w:after="100" w:line="22" w:lineRule="atLeast"/>
    </w:pPr>
  </w:style>
  <w:style w:type="paragraph" w:styleId="TOC2">
    <w:name w:val="toc 2"/>
    <w:basedOn w:val="Normal"/>
    <w:next w:val="Normal"/>
    <w:autoRedefine/>
    <w:uiPriority w:val="39"/>
    <w:rsid w:val="003A439A"/>
    <w:pPr>
      <w:tabs>
        <w:tab w:val="right" w:leader="dot" w:pos="9016"/>
      </w:tabs>
      <w:spacing w:after="100" w:line="22" w:lineRule="atLeast"/>
      <w:ind w:left="240"/>
    </w:pPr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ontextualspellingandgrammarerror">
    <w:name w:val="contextualspellingandgrammarerror"/>
    <w:basedOn w:val="DefaultParagraphFont"/>
  </w:style>
  <w:style w:type="character" w:customStyle="1" w:styleId="advancedproofingissue">
    <w:name w:val="advancedproofingissue"/>
    <w:basedOn w:val="DefaultParagraphFont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pPr>
      <w:suppressAutoHyphens/>
      <w:spacing w:after="0" w:line="240" w:lineRule="auto"/>
    </w:pPr>
    <w:rPr>
      <w:rFonts w:eastAsia="Yu Mincho"/>
      <w:sz w:val="24"/>
      <w:szCs w:val="24"/>
    </w:rPr>
  </w:style>
  <w:style w:type="character" w:customStyle="1" w:styleId="findhit">
    <w:name w:val="findhit"/>
    <w:basedOn w:val="DefaultParagraphFont"/>
  </w:style>
  <w:style w:type="paragraph" w:styleId="TOC3">
    <w:name w:val="toc 3"/>
    <w:basedOn w:val="Normal"/>
    <w:next w:val="Normal"/>
    <w:autoRedefine/>
    <w:uiPriority w:val="39"/>
    <w:rsid w:val="00BC2846"/>
    <w:pPr>
      <w:spacing w:after="100"/>
      <w:ind w:left="48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pPr>
      <w:suppressAutoHyphens/>
      <w:spacing w:after="0" w:line="240" w:lineRule="auto"/>
    </w:pPr>
    <w:rPr>
      <w:rFonts w:eastAsia="Yu Mincho"/>
      <w:lang w:eastAsia="zh-CN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D73"/>
    <w:pPr>
      <w:suppressAutoHyphens w:val="0"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D73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D73"/>
    <w:rPr>
      <w:vertAlign w:val="superscript"/>
    </w:rPr>
  </w:style>
  <w:style w:type="character" w:customStyle="1" w:styleId="superscript">
    <w:name w:val="superscript"/>
    <w:basedOn w:val="DefaultParagraphFont"/>
    <w:rsid w:val="0098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-remedies.servic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rade-remedies.service.gov.uk/public/c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de-remedies.service.gov.uk/public/cas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1561851-5A5F-470F-9600-7BB7CA490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CEABF-EF14-441A-9B4D-9E97E98E48CF}"/>
</file>

<file path=customXml/itemProps3.xml><?xml version="1.0" encoding="utf-8"?>
<ds:datastoreItem xmlns:ds="http://schemas.openxmlformats.org/officeDocument/2006/customXml" ds:itemID="{9087AEB4-0E8A-450F-A83A-CA1D33680444}"/>
</file>

<file path=customXml/itemProps4.xml><?xml version="1.0" encoding="utf-8"?>
<ds:datastoreItem xmlns:ds="http://schemas.openxmlformats.org/officeDocument/2006/customXml" ds:itemID="{60C9494D-E449-464A-8315-DDC16BB0A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3923</Characters>
  <Application>Microsoft Office Word</Application>
  <DocSecurity>0</DocSecurity>
  <Lines>158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Links>
    <vt:vector size="54" baseType="variant">
      <vt:variant>
        <vt:i4>5177437</vt:i4>
      </vt:variant>
      <vt:variant>
        <vt:i4>45</vt:i4>
      </vt:variant>
      <vt:variant>
        <vt:i4>0</vt:i4>
      </vt:variant>
      <vt:variant>
        <vt:i4>5</vt:i4>
      </vt:variant>
      <vt:variant>
        <vt:lpwstr>http://www.trade-remedies.service.gov.uk/public/cases</vt:lpwstr>
      </vt:variant>
      <vt:variant>
        <vt:lpwstr/>
      </vt:variant>
      <vt:variant>
        <vt:i4>5177437</vt:i4>
      </vt:variant>
      <vt:variant>
        <vt:i4>42</vt:i4>
      </vt:variant>
      <vt:variant>
        <vt:i4>0</vt:i4>
      </vt:variant>
      <vt:variant>
        <vt:i4>5</vt:i4>
      </vt:variant>
      <vt:variant>
        <vt:lpwstr>http://www.trade-remedies.service.gov.uk/public/cases</vt:lpwstr>
      </vt:variant>
      <vt:variant>
        <vt:lpwstr/>
      </vt:variant>
      <vt:variant>
        <vt:i4>1048628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_Toc213667379</vt:lpwstr>
      </vt:variant>
      <vt:variant>
        <vt:i4>1048628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_Toc213667378</vt:lpwstr>
      </vt:variant>
      <vt:variant>
        <vt:i4>1048628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_Toc213667377</vt:lpwstr>
      </vt:variant>
      <vt:variant>
        <vt:i4>1048628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_Toc213667376</vt:lpwstr>
      </vt:variant>
      <vt:variant>
        <vt:i4>1048628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_Toc213667375</vt:lpwstr>
      </vt:variant>
      <vt:variant>
        <vt:i4>1048628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_Toc213667374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2026-02-24T15:19:00Z</dcterms:created>
  <dcterms:modified xsi:type="dcterms:W3CDTF">2026-02-24T15:20:00Z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