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80DD" w14:textId="3547F070" w:rsidR="00266D52" w:rsidRDefault="00266D52">
      <w:pPr>
        <w:rPr>
          <w:lang w:eastAsia="ko-KR"/>
        </w:rPr>
      </w:pPr>
    </w:p>
    <w:p w14:paraId="58A45941" w14:textId="77777777" w:rsidR="00266D52" w:rsidRDefault="00B94293">
      <w:pPr>
        <w:spacing w:after="160" w:line="22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Registration Form</w:t>
      </w:r>
    </w:p>
    <w:p w14:paraId="3400EA95" w14:textId="77777777" w:rsidR="00266D52" w:rsidRDefault="00B94293">
      <w:pPr>
        <w:spacing w:after="160" w:line="22" w:lineRule="atLeast"/>
        <w:jc w:val="center"/>
      </w:pPr>
      <w:bookmarkStart w:id="0" w:name="_Hlk105431538"/>
      <w:r>
        <w:rPr>
          <w:b/>
          <w:bCs/>
          <w:sz w:val="36"/>
          <w:szCs w:val="36"/>
        </w:rPr>
        <w:t>Tariff Rate Quota Review</w:t>
      </w:r>
    </w:p>
    <w:p w14:paraId="2234130C" w14:textId="77777777" w:rsidR="00266D52" w:rsidRDefault="00B94293">
      <w:pPr>
        <w:tabs>
          <w:tab w:val="left" w:pos="2130"/>
        </w:tabs>
        <w:spacing w:line="22" w:lineRule="atLeast"/>
        <w:jc w:val="center"/>
      </w:pPr>
      <w:r>
        <w:rPr>
          <w:b/>
          <w:sz w:val="36"/>
          <w:szCs w:val="36"/>
        </w:rPr>
        <w:t>Case</w:t>
      </w:r>
      <w:r>
        <w:rPr>
          <w:b/>
          <w:bCs/>
          <w:sz w:val="36"/>
          <w:szCs w:val="36"/>
        </w:rPr>
        <w:t xml:space="preserve"> No.</w:t>
      </w:r>
      <w:r>
        <w:rPr>
          <w:b/>
          <w:sz w:val="36"/>
          <w:szCs w:val="36"/>
        </w:rPr>
        <w:t xml:space="preserve"> TQ0066</w:t>
      </w:r>
    </w:p>
    <w:bookmarkEnd w:id="0"/>
    <w:p w14:paraId="42CB80AF" w14:textId="77777777" w:rsidR="00266D52" w:rsidRDefault="00266D52">
      <w:pPr>
        <w:tabs>
          <w:tab w:val="left" w:pos="2130"/>
        </w:tabs>
        <w:spacing w:line="22" w:lineRule="atLeast"/>
        <w:jc w:val="center"/>
        <w:rPr>
          <w:b/>
          <w:color w:val="FF0000"/>
          <w:sz w:val="32"/>
        </w:rPr>
      </w:pPr>
    </w:p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6"/>
        <w:gridCol w:w="456"/>
        <w:gridCol w:w="5076"/>
      </w:tblGrid>
      <w:tr w:rsidR="00266D52" w14:paraId="48B783BC" w14:textId="77777777"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A4CD" w14:textId="77777777" w:rsidR="00266D52" w:rsidRDefault="00B94293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  <w:color w:val="000000"/>
              </w:rPr>
              <w:t>Period of Investigation: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FD2C" w14:textId="77777777" w:rsidR="00266D52" w:rsidRDefault="00B94293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1 January 2024 to 31 December 2024</w:t>
            </w:r>
          </w:p>
        </w:tc>
      </w:tr>
      <w:tr w:rsidR="00266D52" w14:paraId="37A95253" w14:textId="77777777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9BCA" w14:textId="77777777" w:rsidR="00266D52" w:rsidRDefault="00266D52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5BB7" w14:textId="77777777" w:rsidR="00266D52" w:rsidRDefault="00266D52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266D52" w14:paraId="5DCD6E2A" w14:textId="77777777"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01A2" w14:textId="77777777" w:rsidR="00266D52" w:rsidRDefault="00B94293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  <w:color w:val="000000"/>
              </w:rPr>
              <w:t>Deadline for response: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88A2" w14:textId="705E2DD7" w:rsidR="00266D52" w:rsidRDefault="008400AE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color w:val="000000"/>
              </w:rPr>
              <w:t>26 May</w:t>
            </w:r>
            <w:r w:rsidR="00B94293">
              <w:rPr>
                <w:rFonts w:eastAsia="Arial"/>
                <w:color w:val="000000"/>
              </w:rPr>
              <w:t xml:space="preserve"> 2025</w:t>
            </w:r>
          </w:p>
        </w:tc>
      </w:tr>
      <w:tr w:rsidR="00266D52" w14:paraId="24574748" w14:textId="77777777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2DC1" w14:textId="77777777" w:rsidR="00266D52" w:rsidRDefault="00266D52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1F8E" w14:textId="77777777" w:rsidR="00266D52" w:rsidRDefault="00266D52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266D52" w14:paraId="31387ADB" w14:textId="77777777"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4D94" w14:textId="77777777" w:rsidR="00266D52" w:rsidRDefault="00B94293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bCs/>
                <w:color w:val="000000"/>
              </w:rPr>
              <w:t>Case Team Contact: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F7FC" w14:textId="77777777" w:rsidR="00266D52" w:rsidRDefault="00B94293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TQ0066@traderemedies.gov.uk</w:t>
            </w:r>
          </w:p>
        </w:tc>
      </w:tr>
      <w:tr w:rsidR="00266D52" w14:paraId="3C0D6ACF" w14:textId="77777777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E425" w14:textId="77777777" w:rsidR="00266D52" w:rsidRDefault="00266D52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4F50" w14:textId="77777777" w:rsidR="00266D52" w:rsidRDefault="00266D52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266D52" w14:paraId="3380B328" w14:textId="77777777"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4A42" w14:textId="77777777" w:rsidR="00266D52" w:rsidRDefault="00B94293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</w:rPr>
              <w:t>Completed on behalf of: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541A" w14:textId="57ACCD39" w:rsidR="00A71ACD" w:rsidRPr="00D669D1" w:rsidRDefault="008400AE" w:rsidP="00D669D1">
            <w:pPr>
              <w:tabs>
                <w:tab w:val="left" w:pos="2130"/>
              </w:tabs>
              <w:spacing w:line="22" w:lineRule="atLeast"/>
              <w:rPr>
                <w:rFonts w:eastAsiaTheme="minorEastAsia"/>
                <w:b/>
                <w:lang w:eastAsia="ko-KR"/>
              </w:rPr>
            </w:pPr>
            <w:r w:rsidRPr="00420888">
              <w:rPr>
                <w:rFonts w:eastAsiaTheme="minorEastAsia" w:hint="eastAsia"/>
                <w:b/>
                <w:lang w:eastAsia="ko-KR"/>
              </w:rPr>
              <w:t>S</w:t>
            </w:r>
            <w:r w:rsidRPr="00420888">
              <w:rPr>
                <w:rFonts w:eastAsiaTheme="minorEastAsia"/>
                <w:b/>
                <w:lang w:eastAsia="ko-KR"/>
              </w:rPr>
              <w:t>NOP UK</w:t>
            </w:r>
          </w:p>
          <w:p w14:paraId="3ADC60F7" w14:textId="77777777" w:rsidR="00266D52" w:rsidRDefault="00266D52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FF0000"/>
              </w:rPr>
            </w:pPr>
          </w:p>
        </w:tc>
      </w:tr>
      <w:tr w:rsidR="00266D52" w14:paraId="38B1736B" w14:textId="77777777">
        <w:tc>
          <w:tcPr>
            <w:tcW w:w="3966" w:type="dxa"/>
            <w:tcBorders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CDAF" w14:textId="77777777" w:rsidR="00266D52" w:rsidRDefault="00266D52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FF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AFB4" w14:textId="77777777" w:rsidR="00266D52" w:rsidRDefault="00266D52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FF0000"/>
              </w:rPr>
            </w:pPr>
          </w:p>
        </w:tc>
      </w:tr>
      <w:tr w:rsidR="00D669D1" w14:paraId="333ED3F3" w14:textId="77777777">
        <w:trPr>
          <w:trHeight w:val="2460"/>
        </w:trPr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A059" w14:textId="77777777" w:rsidR="00266D52" w:rsidRDefault="00B94293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Party type (select):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2CF5" w14:textId="77777777" w:rsidR="00266D52" w:rsidRPr="00420888" w:rsidRDefault="00B94293">
            <w:pPr>
              <w:tabs>
                <w:tab w:val="left" w:pos="2130"/>
              </w:tabs>
              <w:spacing w:line="22" w:lineRule="atLeast"/>
              <w:rPr>
                <w:sz w:val="22"/>
              </w:rPr>
            </w:pPr>
            <w:r w:rsidRPr="00420888">
              <w:rPr>
                <w:rFonts w:ascii="MS Gothic" w:eastAsia="MS Gothic" w:hAnsi="MS Gothic"/>
                <w:sz w:val="22"/>
              </w:rPr>
              <w:t>☐</w:t>
            </w:r>
            <w:r w:rsidRPr="00420888">
              <w:rPr>
                <w:rFonts w:eastAsia="Arial"/>
                <w:sz w:val="22"/>
              </w:rPr>
              <w:t xml:space="preserve">   </w:t>
            </w:r>
          </w:p>
          <w:p w14:paraId="549A7670" w14:textId="77777777" w:rsidR="00266D52" w:rsidRPr="00420888" w:rsidRDefault="00266D52">
            <w:pPr>
              <w:rPr>
                <w:rFonts w:eastAsia="Arial"/>
                <w:sz w:val="22"/>
              </w:rPr>
            </w:pPr>
          </w:p>
          <w:p w14:paraId="44BE92CF" w14:textId="41A6E9D6" w:rsidR="00266D52" w:rsidRPr="00420888" w:rsidRDefault="00420888">
            <w:pPr>
              <w:rPr>
                <w:b/>
                <w:sz w:val="22"/>
              </w:rPr>
            </w:pPr>
            <w:r w:rsidRPr="00420888">
              <w:rPr>
                <w:rFonts w:ascii="MS Gothic" w:eastAsia="MS Gothic" w:hAnsi="MS Gothic" w:hint="eastAsia"/>
                <w:b/>
                <w:sz w:val="22"/>
              </w:rPr>
              <w:t>■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2ED28" w14:textId="3B923636" w:rsidR="00266D52" w:rsidRPr="00420888" w:rsidRDefault="00B94293">
            <w:pPr>
              <w:tabs>
                <w:tab w:val="left" w:pos="2130"/>
              </w:tabs>
              <w:spacing w:line="22" w:lineRule="atLeast"/>
              <w:rPr>
                <w:sz w:val="22"/>
              </w:rPr>
            </w:pPr>
            <w:r w:rsidRPr="00420888">
              <w:rPr>
                <w:sz w:val="22"/>
              </w:rPr>
              <w:t xml:space="preserve">UK producer </w:t>
            </w:r>
          </w:p>
          <w:p w14:paraId="17210F32" w14:textId="77777777" w:rsidR="00266D52" w:rsidRPr="00420888" w:rsidRDefault="00266D52">
            <w:pPr>
              <w:tabs>
                <w:tab w:val="left" w:pos="2130"/>
              </w:tabs>
              <w:spacing w:line="22" w:lineRule="atLeast"/>
              <w:rPr>
                <w:sz w:val="22"/>
              </w:rPr>
            </w:pPr>
          </w:p>
          <w:p w14:paraId="6A50A7B6" w14:textId="08EBDFEC" w:rsidR="00266D52" w:rsidRPr="00420888" w:rsidRDefault="00B94293">
            <w:pPr>
              <w:tabs>
                <w:tab w:val="left" w:pos="1058"/>
              </w:tabs>
              <w:rPr>
                <w:b/>
                <w:sz w:val="22"/>
                <w:lang w:eastAsia="ko-KR"/>
              </w:rPr>
            </w:pPr>
            <w:r w:rsidRPr="00420888">
              <w:rPr>
                <w:b/>
                <w:sz w:val="22"/>
              </w:rPr>
              <w:t>Other</w:t>
            </w:r>
            <w:r w:rsidR="00420888" w:rsidRPr="00420888">
              <w:rPr>
                <w:b/>
                <w:sz w:val="22"/>
              </w:rPr>
              <w:t xml:space="preserve"> – UK Automotive Component Supplier</w:t>
            </w:r>
          </w:p>
        </w:tc>
      </w:tr>
    </w:tbl>
    <w:p w14:paraId="0C55DB29" w14:textId="77777777" w:rsidR="00266D52" w:rsidRDefault="00266D52">
      <w:pPr>
        <w:rPr>
          <w:lang w:val="en-US"/>
        </w:rPr>
      </w:pPr>
    </w:p>
    <w:p w14:paraId="54C56B1E" w14:textId="77777777" w:rsidR="00266D52" w:rsidRDefault="00266D52">
      <w:pPr>
        <w:rPr>
          <w:lang w:val="en-US"/>
        </w:rPr>
      </w:pPr>
    </w:p>
    <w:p w14:paraId="34AB32B8" w14:textId="77777777" w:rsidR="00266D52" w:rsidRDefault="00266D52">
      <w:pPr>
        <w:rPr>
          <w:lang w:val="en-US"/>
        </w:rPr>
      </w:pPr>
    </w:p>
    <w:p w14:paraId="26C58800" w14:textId="77777777" w:rsidR="00266D52" w:rsidRDefault="00266D52">
      <w:pPr>
        <w:rPr>
          <w:lang w:val="en-US"/>
        </w:rPr>
      </w:pPr>
    </w:p>
    <w:p w14:paraId="02FF2299" w14:textId="77777777" w:rsidR="00266D52" w:rsidRDefault="00266D52">
      <w:pPr>
        <w:rPr>
          <w:lang w:val="en-US"/>
        </w:rPr>
      </w:pPr>
    </w:p>
    <w:p w14:paraId="10DEFCB6" w14:textId="77777777" w:rsidR="00266D52" w:rsidRDefault="00266D52">
      <w:pPr>
        <w:rPr>
          <w:lang w:val="en-US"/>
        </w:rPr>
      </w:pPr>
    </w:p>
    <w:p w14:paraId="55917D47" w14:textId="77777777" w:rsidR="00266D52" w:rsidRDefault="00266D52">
      <w:pPr>
        <w:rPr>
          <w:lang w:val="en-US"/>
        </w:rPr>
      </w:pPr>
    </w:p>
    <w:p w14:paraId="497FEF40" w14:textId="77777777" w:rsidR="00266D52" w:rsidRDefault="00B94293">
      <w:pPr>
        <w:pStyle w:val="NormalWeb"/>
        <w:spacing w:line="22" w:lineRule="atLeast"/>
        <w:contextualSpacing/>
      </w:pPr>
      <w:r>
        <w:rPr>
          <w:rFonts w:ascii="Arial" w:eastAsia="Arial" w:hAnsi="Arial" w:cs="Arial"/>
          <w:color w:val="000000"/>
        </w:rPr>
        <w:t xml:space="preserve">When you have completed this form, indicate the </w:t>
      </w:r>
      <w:r>
        <w:rPr>
          <w:rFonts w:ascii="Arial" w:eastAsia="Arial" w:hAnsi="Arial" w:cs="Arial"/>
          <w:b/>
          <w:bCs/>
          <w:color w:val="000000"/>
        </w:rPr>
        <w:t>confidentiality</w:t>
      </w:r>
      <w:r>
        <w:rPr>
          <w:rFonts w:ascii="Arial" w:eastAsia="Arial" w:hAnsi="Arial" w:cs="Arial"/>
          <w:color w:val="000000"/>
        </w:rPr>
        <w:t xml:space="preserve"> status of this document by placing an X in the relevant box below</w:t>
      </w:r>
      <w:r>
        <w:rPr>
          <w:rFonts w:ascii="Arial" w:eastAsia="Arial" w:hAnsi="Arial" w:cs="Arial"/>
        </w:rPr>
        <w:t xml:space="preserve"> and in the header. </w:t>
      </w:r>
      <w:r>
        <w:rPr>
          <w:rStyle w:val="normaltextrun"/>
          <w:rFonts w:ascii="Arial" w:hAnsi="Arial" w:cs="Arial"/>
          <w:u w:val="single"/>
        </w:rPr>
        <w:t xml:space="preserve">We strongly recommend this questionnaire to be completed on the </w:t>
      </w:r>
      <w:r>
        <w:rPr>
          <w:rStyle w:val="findhit"/>
          <w:rFonts w:ascii="Arial" w:hAnsi="Arial" w:cs="Arial"/>
          <w:u w:val="single"/>
        </w:rPr>
        <w:t>computer</w:t>
      </w:r>
      <w:r>
        <w:rPr>
          <w:rStyle w:val="normaltextrun"/>
          <w:rFonts w:ascii="Arial" w:hAnsi="Arial" w:cs="Arial"/>
          <w:u w:val="single"/>
        </w:rPr>
        <w:t>, so this step is easy to complete:</w:t>
      </w:r>
    </w:p>
    <w:p w14:paraId="4C0A37A7" w14:textId="4744A56D" w:rsidR="00266D52" w:rsidRDefault="00420888">
      <w:pPr>
        <w:spacing w:line="22" w:lineRule="atLeast"/>
        <w:contextualSpacing/>
      </w:pPr>
      <w:r w:rsidRPr="00420888">
        <w:rPr>
          <w:rFonts w:ascii="MS Gothic" w:eastAsia="MS Gothic" w:hAnsi="MS Gothic" w:cs="Segoe UI Symbol" w:hint="eastAsia"/>
          <w:b/>
          <w:bCs/>
          <w:color w:val="000000"/>
        </w:rPr>
        <w:t>■</w:t>
      </w:r>
      <w:r w:rsidR="00B94293">
        <w:rPr>
          <w:rFonts w:eastAsia="Arial"/>
          <w:color w:val="000000"/>
        </w:rPr>
        <w:t>Confidential</w:t>
      </w:r>
    </w:p>
    <w:p w14:paraId="3F05CD7F" w14:textId="77777777" w:rsidR="00266D52" w:rsidRDefault="00B94293">
      <w:pPr>
        <w:spacing w:line="22" w:lineRule="atLeast"/>
        <w:contextualSpacing/>
      </w:pPr>
      <w:r>
        <w:rPr>
          <w:rFonts w:ascii="MS Gothic" w:eastAsia="MS Gothic" w:hAnsi="MS Gothic" w:cs="Segoe UI Symbol"/>
          <w:b/>
          <w:bCs/>
          <w:color w:val="000000"/>
        </w:rPr>
        <w:t>☐</w:t>
      </w:r>
      <w:r>
        <w:rPr>
          <w:rFonts w:eastAsia="Arial"/>
          <w:color w:val="000000"/>
        </w:rPr>
        <w:t>Non-Confidential – may be made publicly available</w:t>
      </w:r>
    </w:p>
    <w:p w14:paraId="5CA95415" w14:textId="77777777" w:rsidR="00266D52" w:rsidRDefault="00266D52">
      <w:pPr>
        <w:spacing w:line="22" w:lineRule="atLeast"/>
        <w:contextualSpacing/>
        <w:rPr>
          <w:rFonts w:eastAsia="Arial"/>
          <w:color w:val="000000"/>
        </w:rPr>
      </w:pPr>
    </w:p>
    <w:p w14:paraId="670B8663" w14:textId="4F52A3BC" w:rsidR="00266D52" w:rsidRDefault="00B94293">
      <w:pPr>
        <w:spacing w:line="22" w:lineRule="atLeast"/>
        <w:contextualSpacing/>
      </w:pPr>
      <w:r>
        <w:rPr>
          <w:rFonts w:eastAsia="Arial"/>
          <w:color w:val="000000"/>
        </w:rPr>
        <w:t>Parties providing confidential information should also provide a non-confidential summary of that information or a statement of reasons why it cannot be summarised</w:t>
      </w:r>
      <w:r>
        <w:rPr>
          <w:rFonts w:eastAsia="Arial"/>
          <w:b/>
          <w:color w:val="000000"/>
        </w:rPr>
        <w:t xml:space="preserve">. </w:t>
      </w:r>
      <w:r>
        <w:rPr>
          <w:rFonts w:eastAsia="Arial"/>
          <w:color w:val="000000"/>
        </w:rPr>
        <w:t>Both copies must be returned to the TRA using the Trade Remedies Service (</w:t>
      </w:r>
      <w:hyperlink r:id="rId7" w:history="1">
        <w:r>
          <w:rPr>
            <w:rStyle w:val="Lienhypertexte"/>
            <w:rFonts w:eastAsia="Arial"/>
          </w:rPr>
          <w:t>www.trade-remedies.service.gov.uk</w:t>
        </w:r>
      </w:hyperlink>
      <w:r>
        <w:rPr>
          <w:rFonts w:eastAsia="Arial"/>
          <w:color w:val="000000"/>
        </w:rPr>
        <w:t xml:space="preserve">) by </w:t>
      </w:r>
      <w:r w:rsidR="00420888">
        <w:rPr>
          <w:rFonts w:eastAsia="Arial"/>
          <w:b/>
          <w:bCs/>
          <w:color w:val="000000"/>
        </w:rPr>
        <w:t>26</w:t>
      </w:r>
      <w:r>
        <w:rPr>
          <w:rFonts w:eastAsia="Arial"/>
          <w:b/>
          <w:bCs/>
          <w:color w:val="000000"/>
        </w:rPr>
        <w:t xml:space="preserve"> </w:t>
      </w:r>
      <w:r w:rsidR="00420888">
        <w:rPr>
          <w:rFonts w:eastAsia="Arial"/>
          <w:b/>
          <w:bCs/>
          <w:color w:val="000000"/>
        </w:rPr>
        <w:t xml:space="preserve">May </w:t>
      </w:r>
      <w:r>
        <w:rPr>
          <w:rFonts w:eastAsia="Arial"/>
          <w:b/>
          <w:bCs/>
          <w:color w:val="000000"/>
        </w:rPr>
        <w:t>2025</w:t>
      </w:r>
      <w:r>
        <w:rPr>
          <w:rFonts w:eastAsia="Arial"/>
          <w:color w:val="000000"/>
        </w:rPr>
        <w:t xml:space="preserve">. </w:t>
      </w:r>
    </w:p>
    <w:p w14:paraId="2826A530" w14:textId="77777777" w:rsidR="00266D52" w:rsidRDefault="00B94293">
      <w:pPr>
        <w:pStyle w:val="Titre2"/>
      </w:pPr>
      <w:bookmarkStart w:id="1" w:name="_Toc189576241"/>
      <w:r>
        <w:rPr>
          <w:lang w:eastAsia="zh-CN"/>
        </w:rPr>
        <w:lastRenderedPageBreak/>
        <w:t xml:space="preserve">Section A – </w:t>
      </w:r>
      <w:r>
        <w:rPr>
          <w:rFonts w:cs="Arial"/>
          <w:bCs/>
        </w:rPr>
        <w:t>Your organisation’s interest in the review</w:t>
      </w:r>
      <w:bookmarkEnd w:id="1"/>
    </w:p>
    <w:p w14:paraId="6D9BE259" w14:textId="77777777" w:rsidR="00266D52" w:rsidRDefault="00266D52"/>
    <w:p w14:paraId="10476E37" w14:textId="77777777" w:rsidR="00266D52" w:rsidRDefault="00B94293">
      <w:pPr>
        <w:spacing w:line="22" w:lineRule="atLeast"/>
        <w:rPr>
          <w:rFonts w:eastAsia="Arial"/>
        </w:rPr>
      </w:pPr>
      <w:r>
        <w:rPr>
          <w:rFonts w:eastAsia="Arial"/>
        </w:rPr>
        <w:t>To register your organisation’s interest in this TRQ review, please complete the text boxes below.</w:t>
      </w:r>
    </w:p>
    <w:p w14:paraId="1F5BED74" w14:textId="77777777" w:rsidR="00266D52" w:rsidRDefault="00266D52">
      <w:pPr>
        <w:spacing w:line="22" w:lineRule="atLeast"/>
        <w:rPr>
          <w:color w:val="000000"/>
        </w:rPr>
      </w:pPr>
    </w:p>
    <w:p w14:paraId="24B13AD5" w14:textId="77777777" w:rsidR="00266D52" w:rsidRDefault="00B94293">
      <w:pPr>
        <w:spacing w:line="22" w:lineRule="atLeast"/>
      </w:pPr>
      <w:r>
        <w:t>A1. Please describe your interest in this TRQ review:</w:t>
      </w:r>
    </w:p>
    <w:p w14:paraId="3E2ABFFE" w14:textId="77777777" w:rsidR="00266D52" w:rsidRDefault="00B94293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D1977" wp14:editId="2E16CF63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1439549"/>
                <wp:effectExtent l="0" t="0" r="10159" b="27301"/>
                <wp:wrapSquare wrapText="bothSides"/>
                <wp:docPr id="15753382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1439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74BF0F" w14:textId="77777777" w:rsidR="002D4EB6" w:rsidRPr="00EA6F36" w:rsidRDefault="002D4EB6" w:rsidP="002D4EB6">
                            <w:pPr>
                              <w:rPr>
                                <w:rStyle w:val="Textedelespacerserv"/>
                                <w:rFonts w:eastAsiaTheme="minorEastAsia"/>
                                <w:b/>
                                <w:color w:val="auto"/>
                                <w:lang w:eastAsia="ko-KR"/>
                              </w:rPr>
                            </w:pPr>
                            <w:r w:rsidRPr="00EA6F36">
                              <w:rPr>
                                <w:rStyle w:val="Textedelespacerserv"/>
                                <w:rFonts w:eastAsiaTheme="minorEastAsia"/>
                                <w:b/>
                                <w:color w:val="auto"/>
                                <w:lang w:eastAsia="ko-KR"/>
                              </w:rPr>
                              <w:t>Company Name : SNOP UK Ltd</w:t>
                            </w:r>
                          </w:p>
                          <w:p w14:paraId="04D2897B" w14:textId="77777777" w:rsidR="002D4EB6" w:rsidRDefault="002D4EB6" w:rsidP="002D4EB6">
                            <w:pPr>
                              <w:rPr>
                                <w:rFonts w:eastAsiaTheme="minorEastAsia"/>
                                <w:b/>
                                <w:lang w:eastAsia="ko-KR"/>
                              </w:rPr>
                            </w:pPr>
                            <w:r w:rsidRPr="00EA6F36">
                              <w:rPr>
                                <w:rFonts w:eastAsiaTheme="minorEastAsia"/>
                                <w:b/>
                                <w:lang w:eastAsia="ko-KR"/>
                              </w:rPr>
                              <w:t>Interest of your company : Buyer</w:t>
                            </w:r>
                            <w:r>
                              <w:rPr>
                                <w:rFonts w:eastAsiaTheme="minorEastAsia"/>
                                <w:b/>
                                <w:lang w:eastAsia="ko-KR"/>
                              </w:rPr>
                              <w:t xml:space="preserve">  </w:t>
                            </w:r>
                          </w:p>
                          <w:p w14:paraId="1BF0DDCC" w14:textId="77777777" w:rsidR="002D4EB6" w:rsidRDefault="002D4EB6" w:rsidP="002D4EB6">
                            <w:pPr>
                              <w:rPr>
                                <w:rFonts w:eastAsiaTheme="minorEastAsia"/>
                                <w:b/>
                                <w:lang w:eastAsia="ko-KR"/>
                              </w:rPr>
                            </w:pPr>
                          </w:p>
                          <w:p w14:paraId="027991BC" w14:textId="72197409" w:rsidR="002D4EB6" w:rsidRPr="00881AA9" w:rsidRDefault="002D4EB6" w:rsidP="002D4EB6">
                            <w:pPr>
                              <w:rPr>
                                <w:rFonts w:eastAsiaTheme="minorEastAsia"/>
                                <w:b/>
                                <w:lang w:eastAsia="ko-KR"/>
                              </w:rPr>
                            </w:pPr>
                            <w:r w:rsidRPr="00EA6F36">
                              <w:rPr>
                                <w:rFonts w:eastAsiaTheme="minorEastAsia"/>
                                <w:bCs/>
                                <w:lang w:eastAsia="ko-KR"/>
                              </w:rPr>
                              <w:t>SNOP will be supplied by Samsung/P</w:t>
                            </w:r>
                            <w:r>
                              <w:rPr>
                                <w:rFonts w:eastAsiaTheme="minorEastAsia"/>
                                <w:bCs/>
                                <w:lang w:eastAsia="ko-KR"/>
                              </w:rPr>
                              <w:t>OSCO</w:t>
                            </w:r>
                            <w:r w:rsidRPr="00EA6F36">
                              <w:rPr>
                                <w:rFonts w:eastAsiaTheme="minor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bCs/>
                                <w:lang w:eastAsia="ko-KR"/>
                              </w:rPr>
                              <w:t xml:space="preserve">(Korea) </w:t>
                            </w:r>
                            <w:r w:rsidRPr="00EA6F36">
                              <w:rPr>
                                <w:rFonts w:eastAsiaTheme="minorEastAsia"/>
                                <w:bCs/>
                                <w:lang w:eastAsia="ko-KR"/>
                              </w:rPr>
                              <w:t xml:space="preserve">with a specific steel type not approved by our customer for use from UK suppliers.  Any shortage in supply would </w:t>
                            </w:r>
                            <w:r>
                              <w:rPr>
                                <w:rFonts w:eastAsiaTheme="minorEastAsia"/>
                                <w:bCs/>
                                <w:lang w:eastAsia="ko-KR"/>
                              </w:rPr>
                              <w:t xml:space="preserve">seriously </w:t>
                            </w:r>
                            <w:r w:rsidRPr="00EA6F36">
                              <w:rPr>
                                <w:rFonts w:eastAsiaTheme="minorEastAsia"/>
                                <w:bCs/>
                                <w:lang w:eastAsia="ko-KR"/>
                              </w:rPr>
                              <w:t xml:space="preserve">impact our ability to support </w:t>
                            </w:r>
                            <w:r>
                              <w:rPr>
                                <w:rFonts w:eastAsiaTheme="minorEastAsia"/>
                                <w:bCs/>
                                <w:lang w:eastAsia="ko-KR"/>
                              </w:rPr>
                              <w:t>demand.</w:t>
                            </w:r>
                          </w:p>
                          <w:p w14:paraId="7214931F" w14:textId="0CD89CBC" w:rsidR="00D669D1" w:rsidRPr="00881AA9" w:rsidRDefault="00D669D1">
                            <w:pPr>
                              <w:rPr>
                                <w:rFonts w:eastAsiaTheme="minorEastAsia"/>
                                <w:b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8D19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" strokeweight=".26467mm">
                <v:textbox>
                  <w:txbxContent>
                    <w:p w14:paraId="6774BF0F" w14:textId="77777777" w:rsidR="002D4EB6" w:rsidRPr="00EA6F36" w:rsidRDefault="002D4EB6" w:rsidP="002D4EB6">
                      <w:pPr>
                        <w:rPr>
                          <w:rStyle w:val="Textedelespacerserv"/>
                          <w:rFonts w:eastAsiaTheme="minorEastAsia"/>
                          <w:b/>
                          <w:color w:val="auto"/>
                          <w:lang w:eastAsia="ko-KR"/>
                        </w:rPr>
                      </w:pPr>
                      <w:r w:rsidRPr="00EA6F36">
                        <w:rPr>
                          <w:rStyle w:val="Textedelespacerserv"/>
                          <w:rFonts w:eastAsiaTheme="minorEastAsia"/>
                          <w:b/>
                          <w:color w:val="auto"/>
                          <w:lang w:eastAsia="ko-KR"/>
                        </w:rPr>
                        <w:t>Company Name : SNOP UK Ltd</w:t>
                      </w:r>
                    </w:p>
                    <w:p w14:paraId="04D2897B" w14:textId="77777777" w:rsidR="002D4EB6" w:rsidRDefault="002D4EB6" w:rsidP="002D4EB6">
                      <w:pPr>
                        <w:rPr>
                          <w:rFonts w:eastAsiaTheme="minorEastAsia"/>
                          <w:b/>
                          <w:lang w:eastAsia="ko-KR"/>
                        </w:rPr>
                      </w:pPr>
                      <w:r w:rsidRPr="00EA6F36">
                        <w:rPr>
                          <w:rFonts w:eastAsiaTheme="minorEastAsia"/>
                          <w:b/>
                          <w:lang w:eastAsia="ko-KR"/>
                        </w:rPr>
                        <w:t>Interest of your company : Buyer</w:t>
                      </w:r>
                      <w:r>
                        <w:rPr>
                          <w:rFonts w:eastAsiaTheme="minorEastAsia"/>
                          <w:b/>
                          <w:lang w:eastAsia="ko-KR"/>
                        </w:rPr>
                        <w:t xml:space="preserve">  </w:t>
                      </w:r>
                    </w:p>
                    <w:p w14:paraId="1BF0DDCC" w14:textId="77777777" w:rsidR="002D4EB6" w:rsidRDefault="002D4EB6" w:rsidP="002D4EB6">
                      <w:pPr>
                        <w:rPr>
                          <w:rFonts w:eastAsiaTheme="minorEastAsia"/>
                          <w:b/>
                          <w:lang w:eastAsia="ko-KR"/>
                        </w:rPr>
                      </w:pPr>
                    </w:p>
                    <w:p w14:paraId="027991BC" w14:textId="72197409" w:rsidR="002D4EB6" w:rsidRPr="00881AA9" w:rsidRDefault="002D4EB6" w:rsidP="002D4EB6">
                      <w:pPr>
                        <w:rPr>
                          <w:rFonts w:eastAsiaTheme="minorEastAsia"/>
                          <w:b/>
                          <w:lang w:eastAsia="ko-KR"/>
                        </w:rPr>
                      </w:pPr>
                      <w:r w:rsidRPr="00EA6F36">
                        <w:rPr>
                          <w:rFonts w:eastAsiaTheme="minorEastAsia"/>
                          <w:bCs/>
                          <w:lang w:eastAsia="ko-KR"/>
                        </w:rPr>
                        <w:t>SNOP will be supplied by Samsung/P</w:t>
                      </w:r>
                      <w:r>
                        <w:rPr>
                          <w:rFonts w:eastAsiaTheme="minorEastAsia"/>
                          <w:bCs/>
                          <w:lang w:eastAsia="ko-KR"/>
                        </w:rPr>
                        <w:t>OSCO</w:t>
                      </w:r>
                      <w:r w:rsidRPr="00EA6F36">
                        <w:rPr>
                          <w:rFonts w:eastAsiaTheme="minorEastAsia"/>
                          <w:bCs/>
                          <w:lang w:eastAsia="ko-KR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bCs/>
                          <w:lang w:eastAsia="ko-KR"/>
                        </w:rPr>
                        <w:t xml:space="preserve">(Korea) </w:t>
                      </w:r>
                      <w:r w:rsidRPr="00EA6F36">
                        <w:rPr>
                          <w:rFonts w:eastAsiaTheme="minorEastAsia"/>
                          <w:bCs/>
                          <w:lang w:eastAsia="ko-KR"/>
                        </w:rPr>
                        <w:t xml:space="preserve">with a specific steel type not approved by our customer for use from UK suppliers.  Any shortage in supply would </w:t>
                      </w:r>
                      <w:r>
                        <w:rPr>
                          <w:rFonts w:eastAsiaTheme="minorEastAsia"/>
                          <w:bCs/>
                          <w:lang w:eastAsia="ko-KR"/>
                        </w:rPr>
                        <w:t xml:space="preserve">seriously </w:t>
                      </w:r>
                      <w:r w:rsidRPr="00EA6F36">
                        <w:rPr>
                          <w:rFonts w:eastAsiaTheme="minorEastAsia"/>
                          <w:bCs/>
                          <w:lang w:eastAsia="ko-KR"/>
                        </w:rPr>
                        <w:t xml:space="preserve">impact our ability to support </w:t>
                      </w:r>
                      <w:r>
                        <w:rPr>
                          <w:rFonts w:eastAsiaTheme="minorEastAsia"/>
                          <w:bCs/>
                          <w:lang w:eastAsia="ko-KR"/>
                        </w:rPr>
                        <w:t>demand.</w:t>
                      </w:r>
                    </w:p>
                    <w:p w14:paraId="7214931F" w14:textId="0CD89CBC" w:rsidR="00D669D1" w:rsidRPr="00881AA9" w:rsidRDefault="00D669D1">
                      <w:pPr>
                        <w:rPr>
                          <w:rFonts w:eastAsiaTheme="minorEastAsia"/>
                          <w:b/>
                          <w:lang w:eastAsia="ko-K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14391C" w14:textId="77777777" w:rsidR="00266D52" w:rsidRPr="00D8422A" w:rsidRDefault="00266D52">
      <w:pPr>
        <w:pStyle w:val="Titre2"/>
        <w:rPr>
          <w:rFonts w:eastAsiaTheme="minorEastAsia"/>
          <w:lang w:eastAsia="ko-KR"/>
        </w:rPr>
      </w:pPr>
    </w:p>
    <w:p w14:paraId="67DFA5BC" w14:textId="27BDF8BB" w:rsidR="00266D52" w:rsidRDefault="00266D52">
      <w:pPr>
        <w:rPr>
          <w:color w:val="000000"/>
          <w:shd w:val="clear" w:color="auto" w:fill="FFFFFF"/>
        </w:rPr>
      </w:pPr>
      <w:bookmarkStart w:id="2" w:name="_Hlk105432157"/>
    </w:p>
    <w:p w14:paraId="09E610D7" w14:textId="77777777" w:rsidR="00266D52" w:rsidRDefault="00B94293">
      <w:pPr>
        <w:pStyle w:val="Titre2"/>
        <w:rPr>
          <w:lang w:eastAsia="zh-CN"/>
        </w:rPr>
      </w:pPr>
      <w:bookmarkStart w:id="3" w:name="_Toc189576242"/>
      <w:r>
        <w:rPr>
          <w:lang w:eastAsia="zh-CN"/>
        </w:rPr>
        <w:t>Section B – Additional information</w:t>
      </w:r>
      <w:bookmarkEnd w:id="3"/>
      <w:r>
        <w:rPr>
          <w:lang w:eastAsia="zh-CN"/>
        </w:rPr>
        <w:t xml:space="preserve"> </w:t>
      </w:r>
    </w:p>
    <w:p w14:paraId="5A20BF07" w14:textId="3DFBDCE0" w:rsidR="00266D52" w:rsidRDefault="00B81686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1EC4AF" wp14:editId="02554709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704840" cy="4547235"/>
                <wp:effectExtent l="0" t="0" r="10160" b="24765"/>
                <wp:wrapSquare wrapText="bothSides"/>
                <wp:docPr id="69662669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454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BC5ADB" w14:textId="752549D6" w:rsidR="00513E19" w:rsidRDefault="00513E19" w:rsidP="00083808">
                            <w:pPr>
                              <w:shd w:val="clear" w:color="auto" w:fill="FFFFFF"/>
                              <w:suppressAutoHyphens w:val="0"/>
                              <w:autoSpaceDN/>
                              <w:textAlignment w:val="top"/>
                              <w:rPr>
                                <w:rFonts w:ascii="inherit" w:eastAsia="Malgun Gothic" w:hAnsi="inherit" w:cs="Gulim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lang w:val="en-US" w:eastAsia="ko-KR"/>
                              </w:rPr>
                            </w:pPr>
                          </w:p>
                          <w:p w14:paraId="328E9E4A" w14:textId="193540B0" w:rsidR="002D4EB6" w:rsidRPr="000B1DA1" w:rsidRDefault="002D4EB6" w:rsidP="00083808">
                            <w:pPr>
                              <w:shd w:val="clear" w:color="auto" w:fill="FFFFFF"/>
                              <w:suppressAutoHyphens w:val="0"/>
                              <w:autoSpaceDN/>
                              <w:textAlignment w:val="top"/>
                              <w:rPr>
                                <w:rFonts w:ascii="inherit" w:eastAsia="Malgun Gothic" w:hAnsi="inherit" w:cs="Gulim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</w:pPr>
                            <w:r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>W</w:t>
                            </w:r>
                            <w:r w:rsidRPr="000B1DA1">
                              <w:rPr>
                                <w:rFonts w:ascii="inherit" w:eastAsia="Malgun Gothic" w:hAnsi="inherit" w:cs="Gulim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>i</w:t>
                            </w:r>
                            <w:r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th regards to UK SG, we respect the first </w:t>
                            </w:r>
                            <w:r w:rsidR="00AC44A0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>recommendation</w:t>
                            </w:r>
                            <w:r w:rsidR="00065A52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 of the TRA and anticipate a reasonable</w:t>
                            </w:r>
                            <w:r w:rsidR="00B81686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 as well as balanced</w:t>
                            </w:r>
                            <w:r w:rsidR="00065A52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 conclusion.</w:t>
                            </w:r>
                          </w:p>
                          <w:p w14:paraId="79C28C41" w14:textId="378B8C08" w:rsidR="00083808" w:rsidRPr="000B1DA1" w:rsidRDefault="00083808" w:rsidP="00083808">
                            <w:pPr>
                              <w:shd w:val="clear" w:color="auto" w:fill="FFFFFF"/>
                              <w:suppressAutoHyphens w:val="0"/>
                              <w:autoSpaceDN/>
                              <w:textAlignment w:val="top"/>
                              <w:rPr>
                                <w:rFonts w:ascii="inherit" w:eastAsia="Malgun Gothic" w:hAnsi="inherit" w:cs="Gulim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</w:pPr>
                          </w:p>
                          <w:p w14:paraId="7F87D077" w14:textId="3ABF7D2B" w:rsidR="00083808" w:rsidRPr="000B1DA1" w:rsidRDefault="00065A52" w:rsidP="0008380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uppressAutoHyphens w:val="0"/>
                              <w:autoSpaceDN/>
                              <w:textAlignment w:val="top"/>
                              <w:rPr>
                                <w:rFonts w:ascii="inherit" w:eastAsia="Malgun Gothic" w:hAnsi="inherit" w:cs="Gulim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</w:pPr>
                            <w:r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Nevertheless, if the </w:t>
                            </w:r>
                            <w:r w:rsidR="00AC44A0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>final recommendation circumscribes</w:t>
                            </w:r>
                            <w:r w:rsidR="009A585F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 which will be </w:t>
                            </w:r>
                            <w:r w:rsidR="007934D1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>effective in Jun, 2025,</w:t>
                            </w:r>
                            <w:r w:rsidR="00AC44A0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 the Global Quota for hot-dip Galvanized steel to less than 40%, SNOP will essentially require an alternative supplie</w:t>
                            </w:r>
                            <w:r w:rsidR="00C5709A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>r. This surely cause and also</w:t>
                            </w:r>
                            <w:r w:rsidR="00AC44A0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 perpetuate the </w:t>
                            </w:r>
                            <w:r w:rsidR="00C5709A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lack of the Galvanized materials, resulted from the very process of verifying whether the SPECS and Quality of the products are in line with what SNOP requires. </w:t>
                            </w:r>
                          </w:p>
                          <w:p w14:paraId="235DCAC3" w14:textId="77777777" w:rsidR="002A5C79" w:rsidRPr="000B1DA1" w:rsidRDefault="002A5C79" w:rsidP="002A5C79">
                            <w:pPr>
                              <w:pStyle w:val="Paragraphedeliste"/>
                              <w:shd w:val="clear" w:color="auto" w:fill="FFFFFF"/>
                              <w:suppressAutoHyphens w:val="0"/>
                              <w:autoSpaceDN/>
                              <w:ind w:left="760"/>
                              <w:textAlignment w:val="top"/>
                              <w:rPr>
                                <w:rFonts w:ascii="inherit" w:eastAsia="Malgun Gothic" w:hAnsi="inherit" w:cs="Gulim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</w:pPr>
                          </w:p>
                          <w:p w14:paraId="4B875A55" w14:textId="4C08648B" w:rsidR="002A5C79" w:rsidRPr="000B1DA1" w:rsidRDefault="00C5709A" w:rsidP="0008380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uppressAutoHyphens w:val="0"/>
                              <w:autoSpaceDN/>
                              <w:textAlignment w:val="top"/>
                              <w:rPr>
                                <w:rFonts w:ascii="inherit" w:eastAsia="Malgun Gothic" w:hAnsi="inherit" w:cs="Gulim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</w:pPr>
                            <w:r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Considering the Covid-19 and Russo-Ukrainian war has narrowed the suppliers to SNOP, </w:t>
                            </w:r>
                            <w:r w:rsidR="00B675C0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the company was </w:t>
                            </w:r>
                            <w:r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>mired by the predicament of searching for an alternative supplier</w:t>
                            </w:r>
                            <w:r w:rsidR="00B675C0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>. Likewise, SNOP may encounter a similar circumstance if the Global Quota is limited to no more than 40% for Galvanized materials.</w:t>
                            </w:r>
                          </w:p>
                          <w:p w14:paraId="08B617FF" w14:textId="77777777" w:rsidR="001718D6" w:rsidRPr="000B1DA1" w:rsidRDefault="001718D6" w:rsidP="001718D6">
                            <w:pPr>
                              <w:pStyle w:val="Paragraphedeliste"/>
                              <w:rPr>
                                <w:rFonts w:ascii="inherit" w:eastAsia="Malgun Gothic" w:hAnsi="inherit" w:cs="Gulim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</w:pPr>
                          </w:p>
                          <w:p w14:paraId="7FA1605D" w14:textId="06669109" w:rsidR="00B81686" w:rsidRPr="000B1DA1" w:rsidRDefault="00B675C0" w:rsidP="00B8168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uppressAutoHyphens w:val="0"/>
                              <w:autoSpaceDN/>
                              <w:textAlignment w:val="top"/>
                              <w:rPr>
                                <w:rFonts w:eastAsia="Malgun Gothic"/>
                                <w:lang w:val="en-US" w:eastAsia="ko-KR"/>
                              </w:rPr>
                            </w:pPr>
                            <w:r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 xml:space="preserve">This whole situation will bring about an issue of material-procurement that will enable the overall demand to dwindle, and thereby, will </w:t>
                            </w:r>
                            <w:r w:rsidR="00B81686" w:rsidRPr="000B1DA1">
                              <w:rPr>
                                <w:rFonts w:ascii="inherit" w:eastAsia="Malgun Gothic" w:hAnsi="inherit" w:cs="Gulim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ko-KR"/>
                              </w:rPr>
                              <w:t>compromise the related secondary industries.</w:t>
                            </w:r>
                          </w:p>
                          <w:p w14:paraId="75A8EEA6" w14:textId="77777777" w:rsidR="00B81686" w:rsidRPr="000B1DA1" w:rsidRDefault="00B81686" w:rsidP="00B81686">
                            <w:pPr>
                              <w:pStyle w:val="Paragraphedeliste"/>
                              <w:rPr>
                                <w:rFonts w:eastAsia="Malgun Gothic"/>
                                <w:lang w:val="en-US" w:eastAsia="ko-KR"/>
                              </w:rPr>
                            </w:pPr>
                          </w:p>
                          <w:p w14:paraId="27D6C74F" w14:textId="2BEBD096" w:rsidR="00B81686" w:rsidRPr="000B1DA1" w:rsidRDefault="00B81686" w:rsidP="00B8168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uppressAutoHyphens w:val="0"/>
                              <w:autoSpaceDN/>
                              <w:textAlignment w:val="top"/>
                              <w:rPr>
                                <w:rFonts w:eastAsia="Malgun Gothic"/>
                                <w:lang w:val="en-US" w:eastAsia="ko-KR"/>
                              </w:rPr>
                            </w:pPr>
                            <w:r w:rsidRPr="000B1DA1">
                              <w:rPr>
                                <w:rFonts w:eastAsia="Malgun Gothic"/>
                                <w:lang w:val="en-US" w:eastAsia="ko-KR"/>
                              </w:rPr>
                              <w:t xml:space="preserve">It is expected that the SPEC/GRADES which are unavailable and unsupported by </w:t>
                            </w:r>
                            <w:r w:rsidRPr="000B1DA1">
                              <w:rPr>
                                <w:rFonts w:eastAsia="Malgun Gothic" w:hint="eastAsia"/>
                                <w:lang w:val="en-US" w:eastAsia="ko-KR"/>
                              </w:rPr>
                              <w:t>U</w:t>
                            </w:r>
                            <w:r w:rsidRPr="000B1DA1">
                              <w:rPr>
                                <w:rFonts w:eastAsia="Malgun Gothic"/>
                                <w:lang w:val="en-US" w:eastAsia="ko-KR"/>
                              </w:rPr>
                              <w:t>K steelmakers are exempted from the regulation.</w:t>
                            </w:r>
                          </w:p>
                          <w:p w14:paraId="274B83E0" w14:textId="10ADD2F3" w:rsidR="00B675C0" w:rsidRPr="000B1DA1" w:rsidRDefault="00B675C0" w:rsidP="00B81686">
                            <w:pPr>
                              <w:shd w:val="clear" w:color="auto" w:fill="FFFFFF"/>
                              <w:suppressAutoHyphens w:val="0"/>
                              <w:autoSpaceDN/>
                              <w:textAlignment w:val="top"/>
                              <w:rPr>
                                <w:rFonts w:eastAsia="Malgun Gothic"/>
                                <w:lang w:val="en-US" w:eastAsia="ko-KR"/>
                              </w:rPr>
                            </w:pPr>
                          </w:p>
                          <w:p w14:paraId="7782808D" w14:textId="53E8EA68" w:rsidR="00B81686" w:rsidRPr="000B1DA1" w:rsidRDefault="00B81686" w:rsidP="00B81686">
                            <w:pPr>
                              <w:shd w:val="clear" w:color="auto" w:fill="FFFFFF"/>
                              <w:suppressAutoHyphens w:val="0"/>
                              <w:autoSpaceDN/>
                              <w:textAlignment w:val="top"/>
                              <w:rPr>
                                <w:rFonts w:eastAsia="Malgun Gothic"/>
                                <w:lang w:val="en-US" w:eastAsia="ko-KR"/>
                              </w:rPr>
                            </w:pPr>
                            <w:r w:rsidRPr="000B1DA1">
                              <w:rPr>
                                <w:rFonts w:eastAsia="Malgun Gothic"/>
                                <w:lang w:val="en-US" w:eastAsia="ko-KR"/>
                              </w:rPr>
                              <w:t>If you have any further comments to add or alter, please do so before handing it in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C4AF" id="Text Box 7" o:spid="_x0000_s1027" type="#_x0000_t202" style="position:absolute;margin-left:0;margin-top:19.95pt;width:449.2pt;height:358.05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" strokeweight=".26467mm">
                <v:textbox>
                  <w:txbxContent>
                    <w:p w14:paraId="31BC5ADB" w14:textId="752549D6" w:rsidR="00513E19" w:rsidRDefault="00513E19" w:rsidP="00083808">
                      <w:pPr>
                        <w:shd w:val="clear" w:color="auto" w:fill="FFFFFF"/>
                        <w:suppressAutoHyphens w:val="0"/>
                        <w:autoSpaceDN/>
                        <w:textAlignment w:val="top"/>
                        <w:rPr>
                          <w:rFonts w:ascii="inherit" w:eastAsia="Malgun Gothic" w:hAnsi="inherit" w:cs="Gulim" w:hint="eastAsia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lang w:val="en-US" w:eastAsia="ko-KR"/>
                        </w:rPr>
                      </w:pPr>
                    </w:p>
                    <w:p w14:paraId="328E9E4A" w14:textId="193540B0" w:rsidR="002D4EB6" w:rsidRPr="000B1DA1" w:rsidRDefault="002D4EB6" w:rsidP="00083808">
                      <w:pPr>
                        <w:shd w:val="clear" w:color="auto" w:fill="FFFFFF"/>
                        <w:suppressAutoHyphens w:val="0"/>
                        <w:autoSpaceDN/>
                        <w:textAlignment w:val="top"/>
                        <w:rPr>
                          <w:rFonts w:ascii="inherit" w:eastAsia="Malgun Gothic" w:hAnsi="inherit" w:cs="Gulim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</w:pPr>
                      <w:r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>W</w:t>
                      </w:r>
                      <w:r w:rsidRPr="000B1DA1">
                        <w:rPr>
                          <w:rFonts w:ascii="inherit" w:eastAsia="Malgun Gothic" w:hAnsi="inherit" w:cs="Gulim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>i</w:t>
                      </w:r>
                      <w:r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th regards to UK SG, we respect the first </w:t>
                      </w:r>
                      <w:r w:rsidR="00AC44A0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>recommendation</w:t>
                      </w:r>
                      <w:r w:rsidR="00065A52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 of the TRA and anticipate a reasonable</w:t>
                      </w:r>
                      <w:r w:rsidR="00B81686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 as well as balanced</w:t>
                      </w:r>
                      <w:r w:rsidR="00065A52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 conclusion.</w:t>
                      </w:r>
                    </w:p>
                    <w:p w14:paraId="79C28C41" w14:textId="378B8C08" w:rsidR="00083808" w:rsidRPr="000B1DA1" w:rsidRDefault="00083808" w:rsidP="00083808">
                      <w:pPr>
                        <w:shd w:val="clear" w:color="auto" w:fill="FFFFFF"/>
                        <w:suppressAutoHyphens w:val="0"/>
                        <w:autoSpaceDN/>
                        <w:textAlignment w:val="top"/>
                        <w:rPr>
                          <w:rFonts w:ascii="inherit" w:eastAsia="Malgun Gothic" w:hAnsi="inherit" w:cs="Gulim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</w:pPr>
                    </w:p>
                    <w:p w14:paraId="7F87D077" w14:textId="3ABF7D2B" w:rsidR="00083808" w:rsidRPr="000B1DA1" w:rsidRDefault="00065A52" w:rsidP="0008380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hd w:val="clear" w:color="auto" w:fill="FFFFFF"/>
                        <w:suppressAutoHyphens w:val="0"/>
                        <w:autoSpaceDN/>
                        <w:textAlignment w:val="top"/>
                        <w:rPr>
                          <w:rFonts w:ascii="inherit" w:eastAsia="Malgun Gothic" w:hAnsi="inherit" w:cs="Gulim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</w:pPr>
                      <w:r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Nevertheless, if the </w:t>
                      </w:r>
                      <w:r w:rsidR="00AC44A0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>final recommendation circumscribes</w:t>
                      </w:r>
                      <w:r w:rsidR="009A585F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 which will be </w:t>
                      </w:r>
                      <w:r w:rsidR="007934D1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>effective in Jun, 2025,</w:t>
                      </w:r>
                      <w:r w:rsidR="00AC44A0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 the Global Quota for hot-dip Galvanized steel to less than 40%, SNOP will essentially require an alternative supplie</w:t>
                      </w:r>
                      <w:r w:rsidR="00C5709A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>r. This surely cause and also</w:t>
                      </w:r>
                      <w:r w:rsidR="00AC44A0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 perpetuate the </w:t>
                      </w:r>
                      <w:r w:rsidR="00C5709A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lack of the Galvanized materials, resulted from the very process of verifying whether the SPECS and Quality of the products are in line with what SNOP requires. </w:t>
                      </w:r>
                    </w:p>
                    <w:p w14:paraId="235DCAC3" w14:textId="77777777" w:rsidR="002A5C79" w:rsidRPr="000B1DA1" w:rsidRDefault="002A5C79" w:rsidP="002A5C79">
                      <w:pPr>
                        <w:pStyle w:val="Paragraphedeliste"/>
                        <w:shd w:val="clear" w:color="auto" w:fill="FFFFFF"/>
                        <w:suppressAutoHyphens w:val="0"/>
                        <w:autoSpaceDN/>
                        <w:ind w:left="760"/>
                        <w:textAlignment w:val="top"/>
                        <w:rPr>
                          <w:rFonts w:ascii="inherit" w:eastAsia="Malgun Gothic" w:hAnsi="inherit" w:cs="Gulim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</w:pPr>
                    </w:p>
                    <w:p w14:paraId="4B875A55" w14:textId="4C08648B" w:rsidR="002A5C79" w:rsidRPr="000B1DA1" w:rsidRDefault="00C5709A" w:rsidP="0008380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hd w:val="clear" w:color="auto" w:fill="FFFFFF"/>
                        <w:suppressAutoHyphens w:val="0"/>
                        <w:autoSpaceDN/>
                        <w:textAlignment w:val="top"/>
                        <w:rPr>
                          <w:rFonts w:ascii="inherit" w:eastAsia="Malgun Gothic" w:hAnsi="inherit" w:cs="Gulim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</w:pPr>
                      <w:r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Considering the Covid-19 and Russo-Ukrainian war has narrowed the suppliers to SNOP, </w:t>
                      </w:r>
                      <w:r w:rsidR="00B675C0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the company was </w:t>
                      </w:r>
                      <w:r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>mired by the predicament of searching for an alternative supplier</w:t>
                      </w:r>
                      <w:r w:rsidR="00B675C0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>. Likewise, SNOP may encounter a similar circumstance if the Global Quota is limited to no more than 40% for Galvanized materials.</w:t>
                      </w:r>
                    </w:p>
                    <w:p w14:paraId="08B617FF" w14:textId="77777777" w:rsidR="001718D6" w:rsidRPr="000B1DA1" w:rsidRDefault="001718D6" w:rsidP="001718D6">
                      <w:pPr>
                        <w:pStyle w:val="Paragraphedeliste"/>
                        <w:rPr>
                          <w:rFonts w:ascii="inherit" w:eastAsia="Malgun Gothic" w:hAnsi="inherit" w:cs="Gulim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</w:pPr>
                    </w:p>
                    <w:p w14:paraId="7FA1605D" w14:textId="06669109" w:rsidR="00B81686" w:rsidRPr="000B1DA1" w:rsidRDefault="00B675C0" w:rsidP="00B8168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hd w:val="clear" w:color="auto" w:fill="FFFFFF"/>
                        <w:suppressAutoHyphens w:val="0"/>
                        <w:autoSpaceDN/>
                        <w:textAlignment w:val="top"/>
                        <w:rPr>
                          <w:rFonts w:eastAsia="Malgun Gothic"/>
                          <w:lang w:val="en-US" w:eastAsia="ko-KR"/>
                        </w:rPr>
                      </w:pPr>
                      <w:r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 xml:space="preserve">This whole situation will bring about an issue of material-procurement that will enable the overall demand to dwindle, and thereby, will </w:t>
                      </w:r>
                      <w:r w:rsidR="00B81686" w:rsidRPr="000B1DA1">
                        <w:rPr>
                          <w:rFonts w:ascii="inherit" w:eastAsia="Malgun Gothic" w:hAnsi="inherit" w:cs="Gulim"/>
                          <w:b/>
                          <w:bCs/>
                          <w:color w:val="000000"/>
                          <w:sz w:val="22"/>
                          <w:szCs w:val="22"/>
                          <w:lang w:val="en-US" w:eastAsia="ko-KR"/>
                        </w:rPr>
                        <w:t>compromise the related secondary industries.</w:t>
                      </w:r>
                    </w:p>
                    <w:p w14:paraId="75A8EEA6" w14:textId="77777777" w:rsidR="00B81686" w:rsidRPr="000B1DA1" w:rsidRDefault="00B81686" w:rsidP="00B81686">
                      <w:pPr>
                        <w:pStyle w:val="Paragraphedeliste"/>
                        <w:rPr>
                          <w:rFonts w:eastAsia="Malgun Gothic"/>
                          <w:lang w:val="en-US" w:eastAsia="ko-KR"/>
                        </w:rPr>
                      </w:pPr>
                    </w:p>
                    <w:p w14:paraId="27D6C74F" w14:textId="2BEBD096" w:rsidR="00B81686" w:rsidRPr="000B1DA1" w:rsidRDefault="00B81686" w:rsidP="00B8168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hd w:val="clear" w:color="auto" w:fill="FFFFFF"/>
                        <w:suppressAutoHyphens w:val="0"/>
                        <w:autoSpaceDN/>
                        <w:textAlignment w:val="top"/>
                        <w:rPr>
                          <w:rFonts w:eastAsia="Malgun Gothic"/>
                          <w:lang w:val="en-US" w:eastAsia="ko-KR"/>
                        </w:rPr>
                      </w:pPr>
                      <w:r w:rsidRPr="000B1DA1">
                        <w:rPr>
                          <w:rFonts w:eastAsia="Malgun Gothic"/>
                          <w:lang w:val="en-US" w:eastAsia="ko-KR"/>
                        </w:rPr>
                        <w:t xml:space="preserve">It is expected that the SPEC/GRADES which are unavailable and unsupported by </w:t>
                      </w:r>
                      <w:r w:rsidRPr="000B1DA1">
                        <w:rPr>
                          <w:rFonts w:eastAsia="Malgun Gothic" w:hint="eastAsia"/>
                          <w:lang w:val="en-US" w:eastAsia="ko-KR"/>
                        </w:rPr>
                        <w:t>U</w:t>
                      </w:r>
                      <w:r w:rsidRPr="000B1DA1">
                        <w:rPr>
                          <w:rFonts w:eastAsia="Malgun Gothic"/>
                          <w:lang w:val="en-US" w:eastAsia="ko-KR"/>
                        </w:rPr>
                        <w:t>K steelmakers are exempted from the regulation.</w:t>
                      </w:r>
                    </w:p>
                    <w:p w14:paraId="274B83E0" w14:textId="10ADD2F3" w:rsidR="00B675C0" w:rsidRPr="000B1DA1" w:rsidRDefault="00B675C0" w:rsidP="00B81686">
                      <w:pPr>
                        <w:shd w:val="clear" w:color="auto" w:fill="FFFFFF"/>
                        <w:suppressAutoHyphens w:val="0"/>
                        <w:autoSpaceDN/>
                        <w:textAlignment w:val="top"/>
                        <w:rPr>
                          <w:rFonts w:eastAsia="Malgun Gothic"/>
                          <w:lang w:val="en-US" w:eastAsia="ko-KR"/>
                        </w:rPr>
                      </w:pPr>
                    </w:p>
                    <w:p w14:paraId="7782808D" w14:textId="53E8EA68" w:rsidR="00B81686" w:rsidRPr="000B1DA1" w:rsidRDefault="00B81686" w:rsidP="00B81686">
                      <w:pPr>
                        <w:shd w:val="clear" w:color="auto" w:fill="FFFFFF"/>
                        <w:suppressAutoHyphens w:val="0"/>
                        <w:autoSpaceDN/>
                        <w:textAlignment w:val="top"/>
                        <w:rPr>
                          <w:rFonts w:eastAsia="Malgun Gothic"/>
                          <w:lang w:val="en-US" w:eastAsia="ko-KR"/>
                        </w:rPr>
                      </w:pPr>
                      <w:r w:rsidRPr="000B1DA1">
                        <w:rPr>
                          <w:rFonts w:eastAsia="Malgun Gothic"/>
                          <w:lang w:val="en-US" w:eastAsia="ko-KR"/>
                        </w:rPr>
                        <w:t>If you have any further comments to add or alter, please do so before handing it 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4D4EDA" w14:textId="787064DC" w:rsidR="00266D52" w:rsidRDefault="00B94293">
      <w:r>
        <w:lastRenderedPageBreak/>
        <w:t>B1. Please use the box to provide information about anything else you consider relevant to this TRQ review:</w:t>
      </w:r>
    </w:p>
    <w:p w14:paraId="71D6DCD4" w14:textId="1A4E7A33" w:rsidR="00266D52" w:rsidRPr="00D8422A" w:rsidRDefault="00266D52">
      <w:pPr>
        <w:rPr>
          <w:rFonts w:eastAsiaTheme="minorEastAsia"/>
          <w:lang w:eastAsia="ko-KR"/>
        </w:rPr>
      </w:pPr>
    </w:p>
    <w:bookmarkEnd w:id="2"/>
    <w:p w14:paraId="79091B8B" w14:textId="624861C8" w:rsidR="004E78FE" w:rsidRPr="00D8422A" w:rsidRDefault="004E78FE">
      <w:pPr>
        <w:rPr>
          <w:rFonts w:eastAsiaTheme="minorEastAsia"/>
          <w:lang w:eastAsia="ko-KR"/>
        </w:rPr>
      </w:pPr>
    </w:p>
    <w:sectPr w:rsidR="004E78FE" w:rsidRPr="00D8422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BE90" w14:textId="77777777" w:rsidR="00901A46" w:rsidRDefault="00901A46">
      <w:r>
        <w:separator/>
      </w:r>
    </w:p>
  </w:endnote>
  <w:endnote w:type="continuationSeparator" w:id="0">
    <w:p w14:paraId="6C27EFFB" w14:textId="77777777" w:rsidR="00901A46" w:rsidRDefault="0090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Cambria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1920" w14:textId="77777777" w:rsidR="00516D42" w:rsidRDefault="00B94293">
    <w:pPr>
      <w:tabs>
        <w:tab w:val="left" w:pos="2130"/>
      </w:tabs>
      <w:spacing w:line="22" w:lineRule="atLeas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915AAA8" w14:textId="77777777" w:rsidR="00516D42" w:rsidRDefault="00516D42">
    <w:pPr>
      <w:tabs>
        <w:tab w:val="left" w:pos="2130"/>
      </w:tabs>
      <w:spacing w:line="22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4FF5" w14:textId="77777777" w:rsidR="00901A46" w:rsidRDefault="00901A46">
      <w:r>
        <w:rPr>
          <w:color w:val="000000"/>
        </w:rPr>
        <w:separator/>
      </w:r>
    </w:p>
  </w:footnote>
  <w:footnote w:type="continuationSeparator" w:id="0">
    <w:p w14:paraId="4ED265EB" w14:textId="77777777" w:rsidR="00901A46" w:rsidRDefault="0090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4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9"/>
      <w:gridCol w:w="3005"/>
      <w:gridCol w:w="3941"/>
    </w:tblGrid>
    <w:tr w:rsidR="00232DF7" w14:paraId="02E9632D" w14:textId="77777777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88AAF4" w14:textId="77777777" w:rsidR="00516D42" w:rsidRDefault="00B94293">
          <w:pPr>
            <w:spacing w:before="20" w:after="20"/>
          </w:pPr>
          <w:bookmarkStart w:id="4" w:name="_Hlk43194599"/>
          <w:r>
            <w:rPr>
              <w:noProof/>
            </w:rPr>
            <w:drawing>
              <wp:inline distT="0" distB="0" distL="0" distR="0" wp14:anchorId="5975BD4A" wp14:editId="14EBA7BD">
                <wp:extent cx="1434538" cy="810048"/>
                <wp:effectExtent l="0" t="0" r="0" b="9102"/>
                <wp:docPr id="28369203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538" cy="810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41319D3" w14:textId="77777777" w:rsidR="00516D42" w:rsidRDefault="00516D42">
          <w:pPr>
            <w:jc w:val="cent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D27C8F" w14:textId="77777777" w:rsidR="00516D42" w:rsidRDefault="00516D42">
          <w:pPr>
            <w:tabs>
              <w:tab w:val="left" w:pos="2130"/>
            </w:tabs>
            <w:spacing w:line="22" w:lineRule="atLeast"/>
          </w:pPr>
        </w:p>
        <w:p w14:paraId="450149AC" w14:textId="77777777" w:rsidR="00516D42" w:rsidRDefault="00B94293">
          <w:pPr>
            <w:tabs>
              <w:tab w:val="left" w:pos="2130"/>
            </w:tabs>
            <w:spacing w:line="22" w:lineRule="atLeast"/>
          </w:pPr>
          <w:bookmarkStart w:id="5" w:name="_Hlk43194575"/>
          <w:r>
            <w:rPr>
              <w:sz w:val="19"/>
              <w:szCs w:val="19"/>
            </w:rPr>
            <w:t>Trade Remedies Authority</w:t>
          </w:r>
        </w:p>
        <w:p w14:paraId="5D742F83" w14:textId="16F63698" w:rsidR="00516D42" w:rsidRDefault="00B94293">
          <w:pPr>
            <w:tabs>
              <w:tab w:val="left" w:pos="2130"/>
            </w:tabs>
            <w:spacing w:line="22" w:lineRule="atLeast"/>
          </w:pPr>
          <w:r>
            <w:rPr>
              <w:rFonts w:ascii="MS Gothic" w:eastAsia="MS Gothic" w:hAnsi="MS Gothic"/>
              <w:b/>
              <w:color w:val="FF0000"/>
              <w:sz w:val="18"/>
              <w:szCs w:val="18"/>
            </w:rPr>
            <w:t>☐</w:t>
          </w:r>
          <w:r>
            <w:rPr>
              <w:color w:val="FF0000"/>
              <w:sz w:val="18"/>
              <w:szCs w:val="18"/>
            </w:rPr>
            <w:t xml:space="preserve"> Confidential</w:t>
          </w:r>
          <w:r>
            <w:tab/>
          </w:r>
          <w:r w:rsidR="00420888" w:rsidRPr="00420888">
            <w:rPr>
              <w:rFonts w:ascii="MS Gothic" w:eastAsia="MS Gothic" w:hAnsi="MS Gothic" w:hint="eastAsia"/>
              <w:color w:val="FF0000"/>
              <w:sz w:val="18"/>
              <w:szCs w:val="18"/>
            </w:rPr>
            <w:t>■</w:t>
          </w:r>
          <w:r w:rsidRPr="00D669D1">
            <w:rPr>
              <w:color w:val="FF0000"/>
              <w:sz w:val="18"/>
              <w:szCs w:val="18"/>
              <w:highlight w:val="yellow"/>
            </w:rPr>
            <w:t>Non-Confidential</w:t>
          </w:r>
        </w:p>
        <w:bookmarkEnd w:id="5"/>
        <w:p w14:paraId="4D4FA13C" w14:textId="77777777" w:rsidR="00516D42" w:rsidRDefault="00516D42">
          <w:pPr>
            <w:pStyle w:val="Sansinterligne"/>
            <w:ind w:firstLine="148"/>
            <w:rPr>
              <w:rFonts w:ascii="Arial" w:hAnsi="Arial"/>
              <w:color w:val="FF0000"/>
              <w:sz w:val="18"/>
              <w:szCs w:val="18"/>
            </w:rPr>
          </w:pPr>
        </w:p>
      </w:tc>
    </w:tr>
    <w:bookmarkEnd w:id="4"/>
  </w:tbl>
  <w:p w14:paraId="4E8E69CC" w14:textId="77777777" w:rsidR="00516D42" w:rsidRDefault="00516D42">
    <w:pPr>
      <w:tabs>
        <w:tab w:val="left" w:pos="2130"/>
      </w:tabs>
      <w:spacing w:line="22" w:lineRule="atLeast"/>
      <w:rPr>
        <w:rFonts w:eastAsia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95317"/>
    <w:multiLevelType w:val="hybridMultilevel"/>
    <w:tmpl w:val="B0007522"/>
    <w:lvl w:ilvl="0" w:tplc="F5C4E02C">
      <w:numFmt w:val="bullet"/>
      <w:lvlText w:val="-"/>
      <w:lvlJc w:val="left"/>
      <w:pPr>
        <w:ind w:left="760" w:hanging="360"/>
      </w:pPr>
      <w:rPr>
        <w:rFonts w:ascii="inherit" w:eastAsia="Malgun Gothic" w:hAnsi="inherit" w:cs="Guli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2B718E6"/>
    <w:multiLevelType w:val="multilevel"/>
    <w:tmpl w:val="A8240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14001520">
    <w:abstractNumId w:val="1"/>
  </w:num>
  <w:num w:numId="2" w16cid:durableId="55824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52"/>
    <w:rsid w:val="00064BE7"/>
    <w:rsid w:val="00065A52"/>
    <w:rsid w:val="00083808"/>
    <w:rsid w:val="000B1DA1"/>
    <w:rsid w:val="000B577E"/>
    <w:rsid w:val="000C539A"/>
    <w:rsid w:val="000D2F13"/>
    <w:rsid w:val="001718D6"/>
    <w:rsid w:val="001D407D"/>
    <w:rsid w:val="00206F54"/>
    <w:rsid w:val="00237732"/>
    <w:rsid w:val="00246B23"/>
    <w:rsid w:val="00266D52"/>
    <w:rsid w:val="002A5C79"/>
    <w:rsid w:val="002D4EB6"/>
    <w:rsid w:val="00327A03"/>
    <w:rsid w:val="00340BE4"/>
    <w:rsid w:val="00351DB7"/>
    <w:rsid w:val="00396E59"/>
    <w:rsid w:val="00420888"/>
    <w:rsid w:val="004275A7"/>
    <w:rsid w:val="004E78FE"/>
    <w:rsid w:val="00513E19"/>
    <w:rsid w:val="00516D42"/>
    <w:rsid w:val="00540E2E"/>
    <w:rsid w:val="005649E5"/>
    <w:rsid w:val="00641159"/>
    <w:rsid w:val="006F41AD"/>
    <w:rsid w:val="0072016F"/>
    <w:rsid w:val="00770AEA"/>
    <w:rsid w:val="007934D1"/>
    <w:rsid w:val="007D2A4C"/>
    <w:rsid w:val="007E2E2B"/>
    <w:rsid w:val="008400AE"/>
    <w:rsid w:val="00881AA9"/>
    <w:rsid w:val="008A6CC0"/>
    <w:rsid w:val="008B3248"/>
    <w:rsid w:val="008C2215"/>
    <w:rsid w:val="008C6164"/>
    <w:rsid w:val="00901A46"/>
    <w:rsid w:val="009A585F"/>
    <w:rsid w:val="009A5C1F"/>
    <w:rsid w:val="00A71ACD"/>
    <w:rsid w:val="00AC44A0"/>
    <w:rsid w:val="00B460CE"/>
    <w:rsid w:val="00B675C0"/>
    <w:rsid w:val="00B81686"/>
    <w:rsid w:val="00B94293"/>
    <w:rsid w:val="00B963C8"/>
    <w:rsid w:val="00C31757"/>
    <w:rsid w:val="00C5709A"/>
    <w:rsid w:val="00C834F9"/>
    <w:rsid w:val="00CE4E24"/>
    <w:rsid w:val="00CE5A26"/>
    <w:rsid w:val="00D669D1"/>
    <w:rsid w:val="00D8418C"/>
    <w:rsid w:val="00D8422A"/>
    <w:rsid w:val="00DB2500"/>
    <w:rsid w:val="00DC7497"/>
    <w:rsid w:val="00E308A8"/>
    <w:rsid w:val="00EC46AF"/>
    <w:rsid w:val="00EF45F9"/>
    <w:rsid w:val="00F71A73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AF98EA"/>
  <w15:docId w15:val="{BA08F034-95A0-433E-9841-D634CA7C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" w:eastAsia="Yu Mincho" w:hAnsi="Arial"/>
      <w:sz w:val="24"/>
      <w:szCs w:val="24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eastAsia="Yu Gothic Light" w:cs="Times New Roman"/>
      <w:b/>
      <w:sz w:val="36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eastAsia="Yu Gothic Light" w:cs="Times New Roman"/>
      <w:b/>
      <w:sz w:val="32"/>
      <w:szCs w:val="2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eastAsia="Yu Gothic Light" w:cs="Times New Ro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rPr>
      <w:rFonts w:ascii="Arial" w:eastAsia="Yu Gothic Light" w:hAnsi="Arial" w:cs="Times New Roman"/>
      <w:b/>
      <w:sz w:val="36"/>
      <w:szCs w:val="32"/>
    </w:rPr>
  </w:style>
  <w:style w:type="character" w:customStyle="1" w:styleId="Heading2Char">
    <w:name w:val="Heading 2 Char"/>
    <w:basedOn w:val="Policepardfaut"/>
    <w:rPr>
      <w:rFonts w:ascii="Arial" w:eastAsia="Yu Gothic Light" w:hAnsi="Arial" w:cs="Times New Roman"/>
      <w:b/>
      <w:sz w:val="32"/>
      <w:szCs w:val="26"/>
    </w:rPr>
  </w:style>
  <w:style w:type="character" w:customStyle="1" w:styleId="Heading3Char">
    <w:name w:val="Heading 3 Char"/>
    <w:basedOn w:val="Policepardfaut"/>
    <w:rPr>
      <w:rFonts w:ascii="Arial" w:eastAsia="Yu Gothic Light" w:hAnsi="Arial" w:cs="Times New Roman"/>
      <w:b/>
      <w:sz w:val="28"/>
      <w:szCs w:val="24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customStyle="1" w:styleId="CommentReference">
    <w:name w:val="Comment Reference"/>
    <w:basedOn w:val="Policepardfaut"/>
    <w:rPr>
      <w:sz w:val="16"/>
      <w:szCs w:val="16"/>
    </w:rPr>
  </w:style>
  <w:style w:type="paragraph" w:customStyle="1" w:styleId="CommentText">
    <w:name w:val="Comment Text"/>
    <w:basedOn w:val="Normal"/>
    <w:rPr>
      <w:sz w:val="20"/>
      <w:szCs w:val="20"/>
    </w:rPr>
  </w:style>
  <w:style w:type="character" w:customStyle="1" w:styleId="CommentTextChar">
    <w:name w:val="Comment Text Char"/>
    <w:basedOn w:val="Policepardfaut"/>
    <w:rPr>
      <w:rFonts w:ascii="Arial" w:eastAsia="Yu Mincho" w:hAnsi="Arial"/>
      <w:sz w:val="20"/>
      <w:szCs w:val="20"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Policepardfaut"/>
    <w:rPr>
      <w:rFonts w:ascii="Segoe UI" w:eastAsia="Yu Mincho" w:hAnsi="Segoe UI" w:cs="Segoe UI"/>
      <w:sz w:val="18"/>
      <w:szCs w:val="18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eastAsia="Yu Mincho" w:hAnsi="Arial"/>
      <w:b/>
      <w:bCs/>
      <w:sz w:val="20"/>
      <w:szCs w:val="20"/>
    </w:rPr>
  </w:style>
  <w:style w:type="paragraph" w:styleId="En-tte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Policepardfaut"/>
    <w:rPr>
      <w:rFonts w:ascii="Arial" w:eastAsia="Yu Mincho" w:hAnsi="Arial"/>
      <w:sz w:val="24"/>
      <w:szCs w:val="24"/>
    </w:rPr>
  </w:style>
  <w:style w:type="paragraph" w:styleId="Pieddepage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Policepardfaut"/>
    <w:rPr>
      <w:rFonts w:ascii="Arial" w:eastAsia="Yu Mincho" w:hAnsi="Arial"/>
      <w:sz w:val="24"/>
      <w:szCs w:val="24"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En-ttedetabledesmatires">
    <w:name w:val="TOC Heading"/>
    <w:basedOn w:val="Titre1"/>
    <w:next w:val="Normal"/>
    <w:pPr>
      <w:spacing w:line="249" w:lineRule="auto"/>
    </w:pPr>
    <w:rPr>
      <w:lang w:val="en-US"/>
    </w:rPr>
  </w:style>
  <w:style w:type="paragraph" w:styleId="TM1">
    <w:name w:val="toc 1"/>
    <w:basedOn w:val="Normal"/>
    <w:next w:val="Normal"/>
    <w:autoRedefine/>
    <w:pPr>
      <w:tabs>
        <w:tab w:val="right" w:leader="dot" w:pos="9016"/>
      </w:tabs>
      <w:spacing w:after="100" w:line="22" w:lineRule="atLeast"/>
    </w:pPr>
  </w:style>
  <w:style w:type="paragraph" w:styleId="TM2">
    <w:name w:val="toc 2"/>
    <w:basedOn w:val="Normal"/>
    <w:next w:val="Normal"/>
    <w:autoRedefine/>
    <w:pPr>
      <w:tabs>
        <w:tab w:val="right" w:leader="dot" w:pos="9016"/>
      </w:tabs>
      <w:spacing w:after="100" w:line="22" w:lineRule="atLeast"/>
      <w:ind w:left="240"/>
    </w:pPr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Policepardfaut"/>
  </w:style>
  <w:style w:type="character" w:customStyle="1" w:styleId="eop">
    <w:name w:val="eop"/>
    <w:basedOn w:val="Policepardfaut"/>
  </w:style>
  <w:style w:type="character" w:customStyle="1" w:styleId="contextualspellingandgrammarerror">
    <w:name w:val="contextualspellingandgrammarerror"/>
    <w:basedOn w:val="Policepardfaut"/>
  </w:style>
  <w:style w:type="character" w:customStyle="1" w:styleId="advancedproofingissue">
    <w:name w:val="advancedproofingissue"/>
    <w:basedOn w:val="Policepardfaut"/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Rvision">
    <w:name w:val="Revision"/>
    <w:pPr>
      <w:suppressAutoHyphens/>
      <w:spacing w:after="0" w:line="240" w:lineRule="auto"/>
    </w:pPr>
    <w:rPr>
      <w:rFonts w:eastAsia="Yu Mincho"/>
      <w:sz w:val="24"/>
      <w:szCs w:val="24"/>
    </w:rPr>
  </w:style>
  <w:style w:type="character" w:customStyle="1" w:styleId="findhit">
    <w:name w:val="findhit"/>
    <w:basedOn w:val="Policepardfaut"/>
  </w:style>
  <w:style w:type="paragraph" w:styleId="TM3">
    <w:name w:val="toc 3"/>
    <w:basedOn w:val="Normal"/>
    <w:next w:val="Normal"/>
    <w:autoRedefine/>
    <w:pPr>
      <w:spacing w:after="100"/>
      <w:ind w:left="480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paragraph" w:styleId="Sansinterligne">
    <w:name w:val="No Spacing"/>
    <w:pPr>
      <w:suppressAutoHyphens/>
      <w:spacing w:after="0" w:line="240" w:lineRule="auto"/>
    </w:pPr>
    <w:rPr>
      <w:rFonts w:eastAsia="Yu Mincho"/>
      <w:lang w:eastAsia="zh-CN"/>
    </w:rPr>
  </w:style>
  <w:style w:type="character" w:styleId="Textedelespacerserv">
    <w:name w:val="Placeholder Text"/>
    <w:basedOn w:val="Policepardfaut"/>
    <w:rPr>
      <w:color w:val="808080"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styleId="Mention">
    <w:name w:val="Mention"/>
    <w:basedOn w:val="Policepardfaut"/>
    <w:rPr>
      <w:color w:val="2B579A"/>
      <w:shd w:val="clear" w:color="auto" w:fill="E1DFDD"/>
    </w:rPr>
  </w:style>
  <w:style w:type="paragraph" w:styleId="Notedebasdepage">
    <w:name w:val="footnote text"/>
    <w:basedOn w:val="Normal"/>
    <w:pPr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Policepardfaut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trade-remedies.service.gov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B4E7E07-79F6-4484-8BF0-A0F1142D9441}"/>
</file>

<file path=customXml/itemProps2.xml><?xml version="1.0" encoding="utf-8"?>
<ds:datastoreItem xmlns:ds="http://schemas.openxmlformats.org/officeDocument/2006/customXml" ds:itemID="{90D173F3-A2E6-4ED2-A5A7-1E454E0E3008}"/>
</file>

<file path=customXml/itemProps3.xml><?xml version="1.0" encoding="utf-8"?>
<ds:datastoreItem xmlns:ds="http://schemas.openxmlformats.org/officeDocument/2006/customXml" ds:itemID="{2BD65CF6-DF1E-4CC5-9382-2F469CEFE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2</cp:revision>
  <dcterms:created xsi:type="dcterms:W3CDTF">2025-05-28T07:58:00Z</dcterms:created>
  <dcterms:modified xsi:type="dcterms:W3CDTF">2025-05-28T07:58:00Z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6200</vt:r8>
  </property>
  <property fmtid="{D5CDD505-2E9C-101B-9397-08002B2CF9AE}" pid="3" name="OperationalTheme">
    <vt:lpwstr/>
  </property>
  <property fmtid="{D5CDD505-2E9C-101B-9397-08002B2CF9AE}" pid="4" name="InvestigationType">
    <vt:lpwstr>65;#Templates|e2efe624-fe4f-432e-ae05-8257c17f4e34</vt:lpwstr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ntentTypeId">
    <vt:lpwstr>0x010100C9280E48E807ED4AA4BA7BE40CA69573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InvestigationArea">
    <vt:lpwstr>66;#PSQ|65c6fcf8-b6a7-4f93-896b-1b52a565c1a0</vt:lpwstr>
  </property>
  <property fmtid="{D5CDD505-2E9C-101B-9397-08002B2CF9AE}" pid="11" name="Country">
    <vt:lpwstr>117;#Ukraine|ab1f2e20-c9b1-43a3-b476-dd10f84bf5da</vt:lpwstr>
  </property>
  <property fmtid="{D5CDD505-2E9C-101B-9397-08002B2CF9AE}" pid="12" name="DocumentType">
    <vt:lpwstr>53;#PSQ|a19803bf-ce7d-4bd7-8334-29e946d3d2b2</vt:lpwstr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SharedWithUsers">
    <vt:lpwstr/>
  </property>
  <property fmtid="{D5CDD505-2E9C-101B-9397-08002B2CF9AE}" pid="17" name="Product">
    <vt:lpwstr/>
  </property>
</Properties>
</file>