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936BB835-4717-4E4D-8801-AF670FE84531}"/>
</file>

<file path=customXml/itemProps3.xml><?xml version="1.0" encoding="utf-8"?>
<ds:datastoreItem xmlns:ds="http://schemas.openxmlformats.org/officeDocument/2006/customXml" ds:itemID="{6DD079A3-C8AC-437A-8746-8FE48BA4BE93}"/>
</file>

<file path=customXml/itemProps4.xml><?xml version="1.0" encoding="utf-8"?>
<ds:datastoreItem xmlns:ds="http://schemas.openxmlformats.org/officeDocument/2006/customXml" ds:itemID="{6233210C-2E1F-401F-8EC3-91379830ABCF}"/>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