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4F08C44F" w:rsidR="007F2D27" w:rsidRDefault="002C48FB" w:rsidP="00A22C01">
            <w:pPr>
              <w:tabs>
                <w:tab w:val="left" w:pos="2130"/>
              </w:tabs>
              <w:spacing w:line="22" w:lineRule="atLeast"/>
              <w:rPr>
                <w:rFonts w:eastAsia="Arial" w:cs="Arial"/>
                <w:color w:val="FF0000"/>
              </w:rPr>
            </w:pPr>
            <w:r>
              <w:rPr>
                <w:rFonts w:cs="Arial" w:hint="eastAsia"/>
                <w:color w:val="FF0000"/>
                <w:lang w:eastAsia="zh-CN"/>
              </w:rPr>
              <w:t>Y</w:t>
            </w:r>
            <w:proofErr w:type="spellStart"/>
            <w:r>
              <w:rPr>
                <w:rFonts w:cs="Arial" w:hint="eastAsia"/>
                <w:color w:val="FF0000"/>
                <w:lang w:val="en-US" w:eastAsia="zh-CN"/>
              </w:rPr>
              <w:t>ongkang</w:t>
            </w:r>
            <w:proofErr w:type="spellEnd"/>
            <w:r>
              <w:rPr>
                <w:rFonts w:cs="Arial" w:hint="eastAsia"/>
                <w:color w:val="FF0000"/>
                <w:lang w:val="en-US" w:eastAsia="zh-CN"/>
              </w:rPr>
              <w:t xml:space="preserve"> Mars Vehicle Co., 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5F3531" w:rsidRPr="00BC4F5B" w14:paraId="5FBA2FE0" w14:textId="4FEE632E" w:rsidTr="004968E7">
        <w:tc>
          <w:tcPr>
            <w:tcW w:w="1667" w:type="pct"/>
            <w:vAlign w:val="center"/>
          </w:tcPr>
          <w:p w14:paraId="155F6DD9" w14:textId="52F27066" w:rsidR="005F3531" w:rsidRPr="00672887" w:rsidRDefault="005F3531" w:rsidP="005F353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5F3531" w:rsidRPr="00672887" w:rsidRDefault="005F3531" w:rsidP="005F3531">
            <w:pPr>
              <w:keepNext/>
              <w:keepLines/>
              <w:spacing w:line="22" w:lineRule="atLeast"/>
              <w:rPr>
                <w:rFonts w:cs="Arial"/>
                <w:u w:val="single"/>
              </w:rPr>
            </w:pPr>
          </w:p>
        </w:tc>
        <w:tc>
          <w:tcPr>
            <w:tcW w:w="1667" w:type="pct"/>
          </w:tcPr>
          <w:p w14:paraId="412FBEDE" w14:textId="4B18DF88" w:rsidR="005F3531" w:rsidRPr="00BC4F5B" w:rsidRDefault="005F3531" w:rsidP="005F3531">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50,</w:t>
            </w:r>
            <w:r>
              <w:rPr>
                <w:rFonts w:cs="Arial" w:hint="eastAsia"/>
                <w:lang w:val="en-US" w:eastAsia="zh-CN"/>
              </w:rPr>
              <w:t>0</w:t>
            </w:r>
            <w:r>
              <w:rPr>
                <w:rFonts w:cs="Arial"/>
                <w:lang w:val="en-US" w:eastAsia="zh-CN"/>
              </w:rPr>
              <w:t>00-70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184E717C" w:rsidR="005F3531" w:rsidRPr="00BC4F5B" w:rsidRDefault="005F3531" w:rsidP="005F3531">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1,500-2</w:t>
            </w:r>
            <w:r>
              <w:rPr>
                <w:rFonts w:cs="Arial" w:hint="eastAsia"/>
                <w:lang w:val="en-US" w:eastAsia="zh-CN"/>
              </w:rPr>
              <w:t>,</w:t>
            </w:r>
            <w:r>
              <w:rPr>
                <w:rFonts w:cs="Arial"/>
                <w:lang w:val="en-US" w:eastAsia="zh-CN"/>
              </w:rPr>
              <w:t>500</w:t>
            </w:r>
            <w:r w:rsidRPr="00CB3B96">
              <w:rPr>
                <w:rFonts w:cs="Arial"/>
                <w:lang w:val="en-US" w:eastAsia="zh-CN"/>
              </w:rPr>
              <w:t>]</w:t>
            </w:r>
          </w:p>
        </w:tc>
      </w:tr>
      <w:tr w:rsidR="005F3531" w:rsidRPr="00BC4F5B" w14:paraId="05A838DE" w14:textId="45D082DC" w:rsidTr="004968E7">
        <w:tc>
          <w:tcPr>
            <w:tcW w:w="1667" w:type="pct"/>
            <w:vAlign w:val="center"/>
          </w:tcPr>
          <w:p w14:paraId="04CB8D6E" w14:textId="1B29AC3D" w:rsidR="005F3531" w:rsidRPr="00672887" w:rsidRDefault="005F3531" w:rsidP="005F353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6A7F0CD6" w:rsidR="005F3531" w:rsidRPr="00BC4F5B" w:rsidRDefault="005F3531" w:rsidP="005F3531">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200,</w:t>
            </w:r>
            <w:r>
              <w:rPr>
                <w:rFonts w:cs="Arial" w:hint="eastAsia"/>
                <w:lang w:val="en-US" w:eastAsia="zh-CN"/>
              </w:rPr>
              <w:t>0</w:t>
            </w:r>
            <w:r>
              <w:rPr>
                <w:rFonts w:cs="Arial"/>
                <w:lang w:val="en-US" w:eastAsia="zh-CN"/>
              </w:rPr>
              <w:t>00-300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0881D0CA" w:rsidR="005F3531" w:rsidRPr="00BC4F5B" w:rsidRDefault="005F3531" w:rsidP="005F3531">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7,</w:t>
            </w:r>
            <w:r>
              <w:rPr>
                <w:rFonts w:cs="Arial" w:hint="eastAsia"/>
                <w:lang w:val="en-US" w:eastAsia="zh-CN"/>
              </w:rPr>
              <w:t>0</w:t>
            </w:r>
            <w:r>
              <w:rPr>
                <w:rFonts w:cs="Arial"/>
                <w:lang w:val="en-US" w:eastAsia="zh-CN"/>
              </w:rPr>
              <w:t>00-9</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3AFD" w14:textId="77777777" w:rsidR="00362AA8" w:rsidRDefault="00362AA8">
      <w:pPr>
        <w:spacing w:after="0" w:line="240" w:lineRule="auto"/>
      </w:pPr>
      <w:r>
        <w:separator/>
      </w:r>
    </w:p>
  </w:endnote>
  <w:endnote w:type="continuationSeparator" w:id="0">
    <w:p w14:paraId="7E8B950D" w14:textId="77777777" w:rsidR="00362AA8" w:rsidRDefault="00362AA8">
      <w:pPr>
        <w:spacing w:after="0" w:line="240" w:lineRule="auto"/>
      </w:pPr>
      <w:r>
        <w:continuationSeparator/>
      </w:r>
    </w:p>
  </w:endnote>
  <w:endnote w:type="continuationNotice" w:id="1">
    <w:p w14:paraId="3A0F4943" w14:textId="77777777" w:rsidR="00362AA8" w:rsidRDefault="00362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9AF0" w14:textId="77777777" w:rsidR="00362AA8" w:rsidRDefault="00362AA8">
      <w:pPr>
        <w:spacing w:after="0" w:line="240" w:lineRule="auto"/>
      </w:pPr>
      <w:r>
        <w:separator/>
      </w:r>
    </w:p>
  </w:footnote>
  <w:footnote w:type="continuationSeparator" w:id="0">
    <w:p w14:paraId="5537F45A" w14:textId="77777777" w:rsidR="00362AA8" w:rsidRDefault="00362AA8">
      <w:pPr>
        <w:spacing w:after="0" w:line="240" w:lineRule="auto"/>
      </w:pPr>
      <w:r>
        <w:continuationSeparator/>
      </w:r>
    </w:p>
  </w:footnote>
  <w:footnote w:type="continuationNotice" w:id="1">
    <w:p w14:paraId="243AE0E5" w14:textId="77777777" w:rsidR="00362AA8" w:rsidRDefault="00362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73D06"/>
    <w:rsid w:val="003E7F95"/>
    <w:rsid w:val="00411B18"/>
    <w:rsid w:val="004319C4"/>
    <w:rsid w:val="00574689"/>
    <w:rsid w:val="005A357E"/>
    <w:rsid w:val="005B6116"/>
    <w:rsid w:val="006F6EFF"/>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B5F09-EF45-430B-8412-A5F8B7BB7222}"/>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