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29F9A72A" w:rsidR="0073069C" w:rsidRDefault="0027448C" w:rsidP="0073069C">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Yongkang Heming Vehicle Co.,</w:t>
            </w:r>
            <w:r>
              <w:rPr>
                <w:rFonts w:eastAsia="宋体" w:cs="Arial"/>
                <w:color w:val="FF0000"/>
                <w:szCs w:val="24"/>
                <w:lang w:val="en-US" w:eastAsia="zh-CN"/>
              </w:rPr>
              <w:t xml:space="preserve"> </w:t>
            </w:r>
            <w:r>
              <w:rPr>
                <w:rFonts w:eastAsia="宋体" w:cs="Arial" w:hint="eastAsia"/>
                <w:color w:val="FF0000"/>
                <w:szCs w:val="24"/>
                <w:lang w:val="en-US" w:eastAsia="zh-CN"/>
              </w:rPr>
              <w:t>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185A2807"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1</w:t>
            </w:r>
            <w:r w:rsidR="00BA5A43">
              <w:rPr>
                <w:rFonts w:eastAsia="宋体" w:cs="Arial"/>
                <w:szCs w:val="24"/>
                <w:lang w:val="en-US" w:eastAsia="zh-CN"/>
              </w:rPr>
              <w:t>7</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w:t>
            </w:r>
            <w:r w:rsidR="00BA5A43">
              <w:rPr>
                <w:rFonts w:eastAsia="宋体" w:cs="Arial"/>
                <w:szCs w:val="24"/>
                <w:lang w:val="en-US" w:eastAsia="zh-CN"/>
              </w:rPr>
              <w:t>9</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45330417"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BA5A43">
              <w:rPr>
                <w:rFonts w:eastAsia="宋体" w:cs="Arial"/>
                <w:szCs w:val="24"/>
                <w:lang w:val="en-US" w:eastAsia="zh-CN"/>
              </w:rPr>
              <w:t>5,5</w:t>
            </w:r>
            <w:r>
              <w:rPr>
                <w:rFonts w:eastAsia="宋体" w:cs="Arial"/>
                <w:szCs w:val="24"/>
                <w:lang w:val="en-US" w:eastAsia="zh-CN"/>
              </w:rPr>
              <w:t>00-</w:t>
            </w:r>
            <w:r w:rsidR="00BA5A43">
              <w:rPr>
                <w:rFonts w:eastAsia="宋体" w:cs="Arial"/>
                <w:szCs w:val="24"/>
                <w:lang w:val="en-US" w:eastAsia="zh-CN"/>
              </w:rPr>
              <w:t>6,</w:t>
            </w:r>
            <w:r w:rsidR="0073069C">
              <w:rPr>
                <w:rFonts w:eastAsia="宋体" w:cs="Arial"/>
                <w:szCs w:val="24"/>
                <w:lang w:val="en-US" w:eastAsia="zh-CN"/>
              </w:rPr>
              <w:t>5</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77956C4B"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BA5A43">
              <w:rPr>
                <w:rFonts w:eastAsia="宋体" w:cs="Arial"/>
                <w:szCs w:val="24"/>
                <w:lang w:val="en-US" w:eastAsia="zh-CN"/>
              </w:rPr>
              <w:t>28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BA5A43">
              <w:rPr>
                <w:rFonts w:eastAsia="宋体" w:cs="Arial"/>
                <w:szCs w:val="24"/>
                <w:lang w:val="en-US" w:eastAsia="zh-CN"/>
              </w:rPr>
              <w:t>32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5341D6F5"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9</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11</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64E6" w14:textId="77777777" w:rsidR="00365975" w:rsidRDefault="00365975">
      <w:pPr>
        <w:spacing w:line="240" w:lineRule="auto"/>
      </w:pPr>
      <w:r>
        <w:separator/>
      </w:r>
    </w:p>
  </w:endnote>
  <w:endnote w:type="continuationSeparator" w:id="0">
    <w:p w14:paraId="4AF69CB7" w14:textId="77777777" w:rsidR="00365975" w:rsidRDefault="00365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4FBA" w14:textId="77777777" w:rsidR="00365975" w:rsidRDefault="00365975">
      <w:pPr>
        <w:spacing w:after="0"/>
      </w:pPr>
      <w:r>
        <w:separator/>
      </w:r>
    </w:p>
  </w:footnote>
  <w:footnote w:type="continuationSeparator" w:id="0">
    <w:p w14:paraId="39A0C7BF" w14:textId="77777777" w:rsidR="00365975" w:rsidRDefault="00365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7448C"/>
    <w:rsid w:val="0028719D"/>
    <w:rsid w:val="00292C9B"/>
    <w:rsid w:val="002C79C0"/>
    <w:rsid w:val="00313665"/>
    <w:rsid w:val="0036597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A5A43"/>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949" w:rsidRDefault="00B66949">
      <w:pPr>
        <w:spacing w:line="240" w:lineRule="auto"/>
      </w:pPr>
      <w:r>
        <w:separator/>
      </w:r>
    </w:p>
  </w:endnote>
  <w:endnote w:type="continuationSeparator" w:id="0">
    <w:p w:rsidR="00B66949" w:rsidRDefault="00B6694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949" w:rsidRDefault="00B66949">
      <w:pPr>
        <w:spacing w:after="0"/>
      </w:pPr>
      <w:r>
        <w:separator/>
      </w:r>
    </w:p>
  </w:footnote>
  <w:footnote w:type="continuationSeparator" w:id="0">
    <w:p w:rsidR="00B66949" w:rsidRDefault="00B6694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66949"/>
    <w:rsid w:val="00B7379F"/>
    <w:rsid w:val="00B8676A"/>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AF92119E-9BDC-4E64-ACF6-B63D81D15DE7}"/>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2375</Words>
  <Characters>13544</Characters>
  <Application>Microsoft Office Word</Application>
  <DocSecurity>0</DocSecurity>
  <Lines>112</Lines>
  <Paragraphs>31</Paragraphs>
  <ScaleCrop>false</ScaleCrop>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