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F75D1CA4-F43D-44F7-BB3B-A03F910B8F88}"/>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