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EFC44" w14:textId="77777777" w:rsidR="006C5BF9" w:rsidRDefault="00F33866">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FD08C46" w14:textId="77777777" w:rsidR="006C5BF9" w:rsidRDefault="00F33866">
      <w:pPr>
        <w:spacing w:line="22" w:lineRule="atLeast"/>
        <w:jc w:val="center"/>
      </w:pPr>
      <w:r>
        <w:rPr>
          <w:rFonts w:ascii="Arial" w:eastAsia="Arial" w:hAnsi="Arial" w:cs="Arial"/>
          <w:b/>
          <w:bCs/>
          <w:sz w:val="24"/>
        </w:rPr>
        <w:t>For all Interested Parties and contributors</w:t>
      </w:r>
    </w:p>
    <w:p w14:paraId="2EA255E3" w14:textId="77777777" w:rsidR="006C5BF9" w:rsidRDefault="00F33866">
      <w:pPr>
        <w:spacing w:line="22" w:lineRule="atLeast"/>
        <w:jc w:val="center"/>
      </w:pPr>
      <w:r>
        <w:rPr>
          <w:rFonts w:ascii="Arial" w:hAnsi="Arial" w:cs="Arial"/>
          <w:b/>
          <w:sz w:val="36"/>
          <w:szCs w:val="36"/>
        </w:rPr>
        <w:t>Tariff Rate Quota Review</w:t>
      </w:r>
    </w:p>
    <w:p w14:paraId="24C5B411" w14:textId="77777777" w:rsidR="006C5BF9" w:rsidRDefault="00F33866">
      <w:pPr>
        <w:tabs>
          <w:tab w:val="left" w:pos="2130"/>
        </w:tabs>
        <w:spacing w:after="0" w:line="22" w:lineRule="atLeast"/>
        <w:jc w:val="center"/>
      </w:pPr>
      <w:r>
        <w:rPr>
          <w:rFonts w:ascii="Arial" w:eastAsia="Arial" w:hAnsi="Arial" w:cs="Arial"/>
          <w:b/>
          <w:bCs/>
          <w:sz w:val="36"/>
          <w:szCs w:val="32"/>
        </w:rPr>
        <w:t>Case SM0015: Certain Steel products</w:t>
      </w:r>
    </w:p>
    <w:p w14:paraId="4F99B868" w14:textId="77777777" w:rsidR="006C5BF9" w:rsidRDefault="006C5BF9">
      <w:pPr>
        <w:tabs>
          <w:tab w:val="left" w:pos="2130"/>
        </w:tabs>
        <w:spacing w:after="0" w:line="22" w:lineRule="atLeast"/>
        <w:jc w:val="center"/>
        <w:rPr>
          <w:rFonts w:ascii="Arial" w:eastAsia="Arial" w:hAnsi="Arial" w:cs="Arial"/>
          <w:b/>
          <w:bCs/>
          <w:sz w:val="32"/>
          <w:szCs w:val="32"/>
        </w:rPr>
      </w:pPr>
    </w:p>
    <w:tbl>
      <w:tblPr>
        <w:tblW w:w="9498" w:type="dxa"/>
        <w:tblCellMar>
          <w:left w:w="10" w:type="dxa"/>
          <w:right w:w="10" w:type="dxa"/>
        </w:tblCellMar>
        <w:tblLook w:val="0000" w:firstRow="0" w:lastRow="0" w:firstColumn="0" w:lastColumn="0" w:noHBand="0" w:noVBand="0"/>
      </w:tblPr>
      <w:tblGrid>
        <w:gridCol w:w="3879"/>
        <w:gridCol w:w="456"/>
        <w:gridCol w:w="5163"/>
      </w:tblGrid>
      <w:tr w:rsidR="006C5BF9" w14:paraId="343FAE07" w14:textId="77777777">
        <w:tc>
          <w:tcPr>
            <w:tcW w:w="3879" w:type="dxa"/>
            <w:tcBorders>
              <w:right w:val="single" w:sz="4" w:space="0" w:color="000000"/>
            </w:tcBorders>
            <w:shd w:val="clear" w:color="auto" w:fill="auto"/>
            <w:tcMar>
              <w:top w:w="0" w:type="dxa"/>
              <w:left w:w="108" w:type="dxa"/>
              <w:bottom w:w="0" w:type="dxa"/>
              <w:right w:w="108" w:type="dxa"/>
            </w:tcMar>
          </w:tcPr>
          <w:p w14:paraId="57444B84" w14:textId="77777777" w:rsidR="006C5BF9" w:rsidRDefault="00F33866">
            <w:pPr>
              <w:tabs>
                <w:tab w:val="left" w:pos="2130"/>
              </w:tabs>
              <w:spacing w:after="0" w:line="22" w:lineRule="atLeast"/>
            </w:pPr>
            <w:r>
              <w:rPr>
                <w:rFonts w:ascii="Arial" w:eastAsia="Arial" w:hAnsi="Arial" w:cs="Arial"/>
                <w:b/>
                <w:bCs/>
                <w:sz w:val="24"/>
                <w:szCs w:val="24"/>
              </w:rPr>
              <w:t>Period of Investigation:</w:t>
            </w:r>
          </w:p>
        </w:tc>
        <w:tc>
          <w:tcPr>
            <w:tcW w:w="56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1E9B5" w14:textId="77777777" w:rsidR="006C5BF9" w:rsidRDefault="00F33866">
            <w:pPr>
              <w:tabs>
                <w:tab w:val="left" w:pos="2130"/>
              </w:tabs>
              <w:spacing w:after="0" w:line="22" w:lineRule="atLeast"/>
            </w:pPr>
            <w:r>
              <w:rPr>
                <w:rFonts w:ascii="Arial" w:eastAsia="Arial" w:hAnsi="Arial" w:cs="Arial"/>
                <w:b/>
                <w:sz w:val="24"/>
                <w:szCs w:val="24"/>
              </w:rPr>
              <w:t>2015 to 2019</w:t>
            </w:r>
          </w:p>
        </w:tc>
      </w:tr>
      <w:tr w:rsidR="006C5BF9" w14:paraId="7C49083A" w14:textId="77777777">
        <w:tc>
          <w:tcPr>
            <w:tcW w:w="3879" w:type="dxa"/>
            <w:shd w:val="clear" w:color="auto" w:fill="auto"/>
            <w:tcMar>
              <w:top w:w="0" w:type="dxa"/>
              <w:left w:w="108" w:type="dxa"/>
              <w:bottom w:w="0" w:type="dxa"/>
              <w:right w:w="108" w:type="dxa"/>
            </w:tcMar>
          </w:tcPr>
          <w:p w14:paraId="0A042454" w14:textId="77777777" w:rsidR="006C5BF9" w:rsidRDefault="006C5BF9">
            <w:pPr>
              <w:tabs>
                <w:tab w:val="left" w:pos="2130"/>
              </w:tabs>
              <w:spacing w:after="0" w:line="22" w:lineRule="atLeast"/>
              <w:rPr>
                <w:rFonts w:ascii="Arial" w:eastAsia="Arial" w:hAnsi="Arial" w:cs="Arial"/>
                <w:b/>
                <w:bCs/>
                <w:sz w:val="24"/>
                <w:szCs w:val="24"/>
              </w:rPr>
            </w:pPr>
          </w:p>
        </w:tc>
        <w:tc>
          <w:tcPr>
            <w:tcW w:w="5619"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5BF25F90" w14:textId="77777777" w:rsidR="006C5BF9" w:rsidRDefault="006C5BF9">
            <w:pPr>
              <w:tabs>
                <w:tab w:val="left" w:pos="2130"/>
              </w:tabs>
              <w:spacing w:after="0" w:line="22" w:lineRule="atLeast"/>
              <w:rPr>
                <w:rFonts w:ascii="Arial" w:eastAsia="Arial" w:hAnsi="Arial" w:cs="Arial"/>
                <w:sz w:val="24"/>
                <w:szCs w:val="24"/>
              </w:rPr>
            </w:pPr>
          </w:p>
        </w:tc>
      </w:tr>
      <w:tr w:rsidR="006C5BF9" w14:paraId="4EFBA78E" w14:textId="77777777">
        <w:tc>
          <w:tcPr>
            <w:tcW w:w="3879" w:type="dxa"/>
            <w:tcBorders>
              <w:right w:val="single" w:sz="4" w:space="0" w:color="000000"/>
            </w:tcBorders>
            <w:shd w:val="clear" w:color="auto" w:fill="auto"/>
            <w:tcMar>
              <w:top w:w="0" w:type="dxa"/>
              <w:left w:w="108" w:type="dxa"/>
              <w:bottom w:w="0" w:type="dxa"/>
              <w:right w:w="108" w:type="dxa"/>
            </w:tcMar>
          </w:tcPr>
          <w:p w14:paraId="18CD8F03" w14:textId="77777777" w:rsidR="006C5BF9" w:rsidRDefault="00F33866">
            <w:pPr>
              <w:tabs>
                <w:tab w:val="left" w:pos="2130"/>
              </w:tabs>
              <w:spacing w:after="0" w:line="22" w:lineRule="atLeast"/>
            </w:pPr>
            <w:r>
              <w:rPr>
                <w:rFonts w:ascii="Arial" w:eastAsia="Arial" w:hAnsi="Arial" w:cs="Arial"/>
                <w:b/>
                <w:bCs/>
                <w:sz w:val="24"/>
                <w:szCs w:val="24"/>
              </w:rPr>
              <w:t>Injury Period:</w:t>
            </w:r>
          </w:p>
        </w:tc>
        <w:tc>
          <w:tcPr>
            <w:tcW w:w="56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415F9" w14:textId="77777777" w:rsidR="006C5BF9" w:rsidRDefault="00F33866">
            <w:pPr>
              <w:tabs>
                <w:tab w:val="left" w:pos="2130"/>
              </w:tabs>
              <w:spacing w:after="0" w:line="22" w:lineRule="atLeast"/>
            </w:pPr>
            <w:r>
              <w:rPr>
                <w:rFonts w:ascii="Arial" w:eastAsia="Arial" w:hAnsi="Arial" w:cs="Arial"/>
                <w:b/>
                <w:sz w:val="24"/>
                <w:szCs w:val="24"/>
              </w:rPr>
              <w:t>N/A</w:t>
            </w:r>
          </w:p>
        </w:tc>
      </w:tr>
      <w:tr w:rsidR="006C5BF9" w14:paraId="125E235E" w14:textId="77777777">
        <w:tc>
          <w:tcPr>
            <w:tcW w:w="3879" w:type="dxa"/>
            <w:shd w:val="clear" w:color="auto" w:fill="auto"/>
            <w:tcMar>
              <w:top w:w="0" w:type="dxa"/>
              <w:left w:w="108" w:type="dxa"/>
              <w:bottom w:w="0" w:type="dxa"/>
              <w:right w:w="108" w:type="dxa"/>
            </w:tcMar>
          </w:tcPr>
          <w:p w14:paraId="2757D1F9" w14:textId="77777777" w:rsidR="006C5BF9" w:rsidRDefault="006C5BF9">
            <w:pPr>
              <w:tabs>
                <w:tab w:val="left" w:pos="2130"/>
              </w:tabs>
              <w:spacing w:after="0" w:line="22" w:lineRule="atLeast"/>
              <w:rPr>
                <w:rFonts w:ascii="Arial" w:eastAsia="Arial" w:hAnsi="Arial" w:cs="Arial"/>
                <w:b/>
                <w:bCs/>
                <w:sz w:val="24"/>
                <w:szCs w:val="24"/>
              </w:rPr>
            </w:pPr>
          </w:p>
        </w:tc>
        <w:tc>
          <w:tcPr>
            <w:tcW w:w="5619"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6F1EF9B2" w14:textId="77777777" w:rsidR="006C5BF9" w:rsidRDefault="006C5BF9">
            <w:pPr>
              <w:tabs>
                <w:tab w:val="left" w:pos="2130"/>
              </w:tabs>
              <w:spacing w:after="0" w:line="22" w:lineRule="atLeast"/>
              <w:rPr>
                <w:rFonts w:ascii="Arial" w:eastAsia="Arial" w:hAnsi="Arial" w:cs="Arial"/>
                <w:sz w:val="24"/>
                <w:szCs w:val="24"/>
              </w:rPr>
            </w:pPr>
          </w:p>
        </w:tc>
      </w:tr>
      <w:tr w:rsidR="006C5BF9" w14:paraId="3EB002E2" w14:textId="77777777">
        <w:tc>
          <w:tcPr>
            <w:tcW w:w="3879" w:type="dxa"/>
            <w:tcBorders>
              <w:right w:val="single" w:sz="4" w:space="0" w:color="000000"/>
            </w:tcBorders>
            <w:shd w:val="clear" w:color="auto" w:fill="auto"/>
            <w:tcMar>
              <w:top w:w="0" w:type="dxa"/>
              <w:left w:w="108" w:type="dxa"/>
              <w:bottom w:w="0" w:type="dxa"/>
              <w:right w:w="108" w:type="dxa"/>
            </w:tcMar>
          </w:tcPr>
          <w:p w14:paraId="407F90CF" w14:textId="77777777" w:rsidR="006C5BF9" w:rsidRDefault="00F33866">
            <w:pPr>
              <w:tabs>
                <w:tab w:val="left" w:pos="2130"/>
              </w:tabs>
              <w:spacing w:after="0" w:line="22" w:lineRule="atLeast"/>
            </w:pPr>
            <w:r>
              <w:rPr>
                <w:rFonts w:ascii="Arial" w:eastAsia="Arial" w:hAnsi="Arial" w:cs="Arial"/>
                <w:b/>
                <w:bCs/>
                <w:sz w:val="24"/>
                <w:szCs w:val="24"/>
              </w:rPr>
              <w:t>Deadline for response:</w:t>
            </w:r>
          </w:p>
        </w:tc>
        <w:tc>
          <w:tcPr>
            <w:tcW w:w="56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2FDC" w14:textId="77777777" w:rsidR="006C5BF9" w:rsidRDefault="00F33866">
            <w:pPr>
              <w:tabs>
                <w:tab w:val="left" w:pos="2130"/>
              </w:tabs>
              <w:spacing w:after="0" w:line="22" w:lineRule="atLeast"/>
              <w:rPr>
                <w:rFonts w:ascii="Arial" w:eastAsia="Arial" w:hAnsi="Arial" w:cs="Arial"/>
                <w:sz w:val="24"/>
                <w:szCs w:val="24"/>
              </w:rPr>
            </w:pPr>
            <w:r>
              <w:rPr>
                <w:rFonts w:ascii="Arial" w:eastAsia="Arial" w:hAnsi="Arial" w:cs="Arial"/>
                <w:sz w:val="24"/>
                <w:szCs w:val="24"/>
              </w:rPr>
              <w:t>18 February</w:t>
            </w:r>
          </w:p>
        </w:tc>
      </w:tr>
      <w:tr w:rsidR="006C5BF9" w14:paraId="472A66D0" w14:textId="77777777">
        <w:tc>
          <w:tcPr>
            <w:tcW w:w="3879" w:type="dxa"/>
            <w:shd w:val="clear" w:color="auto" w:fill="auto"/>
            <w:tcMar>
              <w:top w:w="0" w:type="dxa"/>
              <w:left w:w="108" w:type="dxa"/>
              <w:bottom w:w="0" w:type="dxa"/>
              <w:right w:w="108" w:type="dxa"/>
            </w:tcMar>
          </w:tcPr>
          <w:p w14:paraId="016B6A9A" w14:textId="77777777" w:rsidR="006C5BF9" w:rsidRDefault="006C5BF9">
            <w:pPr>
              <w:tabs>
                <w:tab w:val="left" w:pos="2130"/>
              </w:tabs>
              <w:spacing w:after="0" w:line="22" w:lineRule="atLeast"/>
              <w:rPr>
                <w:rFonts w:ascii="Arial" w:eastAsia="Arial" w:hAnsi="Arial" w:cs="Arial"/>
                <w:b/>
                <w:bCs/>
                <w:sz w:val="24"/>
                <w:szCs w:val="24"/>
              </w:rPr>
            </w:pPr>
          </w:p>
        </w:tc>
        <w:tc>
          <w:tcPr>
            <w:tcW w:w="5619"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0E548E6" w14:textId="77777777" w:rsidR="006C5BF9" w:rsidRDefault="006C5BF9">
            <w:pPr>
              <w:tabs>
                <w:tab w:val="left" w:pos="2130"/>
              </w:tabs>
              <w:spacing w:after="0" w:line="22" w:lineRule="atLeast"/>
              <w:rPr>
                <w:rFonts w:ascii="Arial" w:eastAsia="Arial" w:hAnsi="Arial" w:cs="Arial"/>
                <w:sz w:val="24"/>
                <w:szCs w:val="24"/>
              </w:rPr>
            </w:pPr>
          </w:p>
        </w:tc>
      </w:tr>
      <w:tr w:rsidR="006C5BF9" w14:paraId="2060DE92" w14:textId="77777777">
        <w:tc>
          <w:tcPr>
            <w:tcW w:w="3879" w:type="dxa"/>
            <w:tcBorders>
              <w:right w:val="single" w:sz="4" w:space="0" w:color="000000"/>
            </w:tcBorders>
            <w:shd w:val="clear" w:color="auto" w:fill="auto"/>
            <w:tcMar>
              <w:top w:w="0" w:type="dxa"/>
              <w:left w:w="108" w:type="dxa"/>
              <w:bottom w:w="0" w:type="dxa"/>
              <w:right w:w="108" w:type="dxa"/>
            </w:tcMar>
          </w:tcPr>
          <w:p w14:paraId="40B714F0" w14:textId="77777777" w:rsidR="006C5BF9" w:rsidRDefault="00F33866">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B1567" w14:textId="77777777" w:rsidR="006C5BF9" w:rsidRDefault="00F33866">
            <w:pPr>
              <w:tabs>
                <w:tab w:val="left" w:pos="2130"/>
              </w:tabs>
              <w:spacing w:after="0" w:line="22" w:lineRule="atLeast"/>
              <w:rPr>
                <w:rFonts w:ascii="Arial" w:eastAsia="Arial" w:hAnsi="Arial" w:cs="Arial"/>
                <w:sz w:val="24"/>
                <w:szCs w:val="24"/>
              </w:rPr>
            </w:pPr>
            <w:r>
              <w:rPr>
                <w:rFonts w:ascii="Arial" w:eastAsia="Arial" w:hAnsi="Arial" w:cs="Arial"/>
                <w:sz w:val="24"/>
                <w:szCs w:val="24"/>
              </w:rPr>
              <w:t>sm0015@traderemedies.gov.uk</w:t>
            </w:r>
          </w:p>
        </w:tc>
      </w:tr>
      <w:tr w:rsidR="006C5BF9" w14:paraId="58FA7F42" w14:textId="77777777">
        <w:tc>
          <w:tcPr>
            <w:tcW w:w="3879" w:type="dxa"/>
            <w:shd w:val="clear" w:color="auto" w:fill="auto"/>
            <w:tcMar>
              <w:top w:w="0" w:type="dxa"/>
              <w:left w:w="108" w:type="dxa"/>
              <w:bottom w:w="0" w:type="dxa"/>
              <w:right w:w="108" w:type="dxa"/>
            </w:tcMar>
          </w:tcPr>
          <w:p w14:paraId="3F474BD3" w14:textId="77777777" w:rsidR="006C5BF9" w:rsidRDefault="006C5BF9">
            <w:pPr>
              <w:tabs>
                <w:tab w:val="left" w:pos="2130"/>
              </w:tabs>
              <w:spacing w:after="0" w:line="22" w:lineRule="atLeast"/>
              <w:rPr>
                <w:rFonts w:ascii="Arial" w:eastAsia="Arial" w:hAnsi="Arial" w:cs="Arial"/>
                <w:b/>
                <w:bCs/>
                <w:sz w:val="24"/>
                <w:szCs w:val="24"/>
              </w:rPr>
            </w:pPr>
          </w:p>
        </w:tc>
        <w:tc>
          <w:tcPr>
            <w:tcW w:w="5619"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2D34ADC1" w14:textId="77777777" w:rsidR="006C5BF9" w:rsidRDefault="006C5BF9">
            <w:pPr>
              <w:tabs>
                <w:tab w:val="left" w:pos="2130"/>
              </w:tabs>
              <w:spacing w:after="0" w:line="22" w:lineRule="atLeast"/>
              <w:rPr>
                <w:rFonts w:ascii="Arial" w:eastAsia="Arial" w:hAnsi="Arial" w:cs="Arial"/>
                <w:sz w:val="24"/>
                <w:szCs w:val="24"/>
              </w:rPr>
            </w:pPr>
          </w:p>
        </w:tc>
      </w:tr>
      <w:tr w:rsidR="006C5BF9" w14:paraId="5FA062D0" w14:textId="77777777">
        <w:tc>
          <w:tcPr>
            <w:tcW w:w="3879" w:type="dxa"/>
            <w:tcBorders>
              <w:right w:val="single" w:sz="4" w:space="0" w:color="000000"/>
            </w:tcBorders>
            <w:shd w:val="clear" w:color="auto" w:fill="auto"/>
            <w:tcMar>
              <w:top w:w="0" w:type="dxa"/>
              <w:left w:w="108" w:type="dxa"/>
              <w:bottom w:w="0" w:type="dxa"/>
              <w:right w:w="108" w:type="dxa"/>
            </w:tcMar>
          </w:tcPr>
          <w:p w14:paraId="1CF0DF05" w14:textId="77777777" w:rsidR="006C5BF9" w:rsidRDefault="00F33866">
            <w:pPr>
              <w:tabs>
                <w:tab w:val="left" w:pos="2130"/>
              </w:tabs>
              <w:spacing w:after="0" w:line="22" w:lineRule="atLeast"/>
            </w:pPr>
            <w:r>
              <w:rPr>
                <w:rFonts w:ascii="Arial" w:eastAsia="Arial" w:hAnsi="Arial" w:cs="Arial"/>
                <w:b/>
                <w:bCs/>
                <w:sz w:val="24"/>
                <w:szCs w:val="24"/>
              </w:rPr>
              <w:t>Completed on behalf of:</w:t>
            </w:r>
          </w:p>
        </w:tc>
        <w:tc>
          <w:tcPr>
            <w:tcW w:w="56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886B3" w14:textId="77777777" w:rsidR="006C5BF9" w:rsidRDefault="006C5BF9">
            <w:pPr>
              <w:tabs>
                <w:tab w:val="left" w:pos="2130"/>
              </w:tabs>
              <w:spacing w:after="0" w:line="22" w:lineRule="atLeast"/>
              <w:rPr>
                <w:rFonts w:ascii="Arial" w:eastAsia="Arial" w:hAnsi="Arial" w:cs="Arial"/>
                <w:sz w:val="24"/>
                <w:szCs w:val="24"/>
              </w:rPr>
            </w:pPr>
          </w:p>
          <w:p w14:paraId="5F447098" w14:textId="2701B9A2" w:rsidR="006C5BF9" w:rsidRDefault="00C90C88">
            <w:pPr>
              <w:tabs>
                <w:tab w:val="left" w:pos="2130"/>
              </w:tabs>
              <w:spacing w:after="0" w:line="22" w:lineRule="atLeast"/>
              <w:rPr>
                <w:rFonts w:ascii="Arial" w:eastAsia="Arial" w:hAnsi="Arial" w:cs="Arial"/>
                <w:sz w:val="24"/>
                <w:szCs w:val="24"/>
              </w:rPr>
            </w:pPr>
            <w:r w:rsidRPr="00C90C88">
              <w:rPr>
                <w:rFonts w:ascii="Arial" w:eastAsia="Arial" w:hAnsi="Arial" w:cs="Arial"/>
                <w:sz w:val="24"/>
                <w:szCs w:val="24"/>
              </w:rPr>
              <w:t>Black Country Consortium Ltd</w:t>
            </w:r>
          </w:p>
        </w:tc>
      </w:tr>
      <w:tr w:rsidR="006C5BF9" w14:paraId="04A5C8F4" w14:textId="77777777">
        <w:tc>
          <w:tcPr>
            <w:tcW w:w="3879" w:type="dxa"/>
            <w:tcBorders>
              <w:right w:val="single" w:sz="4" w:space="0" w:color="FFFFFF"/>
            </w:tcBorders>
            <w:shd w:val="clear" w:color="auto" w:fill="auto"/>
            <w:tcMar>
              <w:top w:w="0" w:type="dxa"/>
              <w:left w:w="108" w:type="dxa"/>
              <w:bottom w:w="0" w:type="dxa"/>
              <w:right w:w="108" w:type="dxa"/>
            </w:tcMar>
          </w:tcPr>
          <w:p w14:paraId="26FBBF79" w14:textId="77777777" w:rsidR="006C5BF9" w:rsidRDefault="006C5BF9">
            <w:pPr>
              <w:tabs>
                <w:tab w:val="left" w:pos="2130"/>
              </w:tabs>
              <w:spacing w:after="0" w:line="22" w:lineRule="atLeast"/>
              <w:rPr>
                <w:rFonts w:ascii="Arial" w:eastAsia="Arial" w:hAnsi="Arial" w:cs="Arial"/>
                <w:b/>
                <w:bCs/>
                <w:sz w:val="24"/>
                <w:szCs w:val="24"/>
              </w:rPr>
            </w:pPr>
          </w:p>
        </w:tc>
        <w:tc>
          <w:tcPr>
            <w:tcW w:w="5619" w:type="dxa"/>
            <w:gridSpan w:val="2"/>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22ED4CBE" w14:textId="77777777" w:rsidR="006C5BF9" w:rsidRDefault="006C5BF9">
            <w:pPr>
              <w:tabs>
                <w:tab w:val="left" w:pos="2130"/>
              </w:tabs>
              <w:spacing w:after="0" w:line="22" w:lineRule="atLeast"/>
              <w:rPr>
                <w:rFonts w:ascii="Arial" w:eastAsia="Arial" w:hAnsi="Arial" w:cs="Arial"/>
                <w:b/>
                <w:bCs/>
                <w:sz w:val="24"/>
                <w:szCs w:val="24"/>
              </w:rPr>
            </w:pPr>
          </w:p>
        </w:tc>
      </w:tr>
      <w:tr w:rsidR="006C5BF9" w14:paraId="171D8B6A" w14:textId="77777777">
        <w:tc>
          <w:tcPr>
            <w:tcW w:w="3879" w:type="dxa"/>
            <w:tcBorders>
              <w:right w:val="single" w:sz="4" w:space="0" w:color="000000"/>
            </w:tcBorders>
            <w:shd w:val="clear" w:color="auto" w:fill="auto"/>
            <w:tcMar>
              <w:top w:w="0" w:type="dxa"/>
              <w:left w:w="108" w:type="dxa"/>
              <w:bottom w:w="0" w:type="dxa"/>
              <w:right w:w="108" w:type="dxa"/>
            </w:tcMar>
          </w:tcPr>
          <w:p w14:paraId="671AE765" w14:textId="77777777" w:rsidR="006C5BF9" w:rsidRDefault="00F33866">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456" w:type="dxa"/>
            <w:tcBorders>
              <w:top w:val="single" w:sz="4" w:space="0" w:color="000000"/>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0E2BF4B9" w14:textId="7AAF378C" w:rsidR="006C5BF9" w:rsidRDefault="00A140B2">
            <w:pPr>
              <w:tabs>
                <w:tab w:val="left" w:pos="2130"/>
              </w:tabs>
              <w:spacing w:after="0" w:line="22" w:lineRule="atLeast"/>
            </w:pPr>
            <w:r>
              <w:rPr>
                <w:rFonts w:ascii="MS Gothic" w:eastAsia="MS Gothic" w:hAnsi="MS Gothic" w:cs="Arial"/>
                <w:noProof/>
                <w:sz w:val="24"/>
                <w:szCs w:val="24"/>
              </w:rPr>
              <mc:AlternateContent>
                <mc:Choice Requires="wpi">
                  <w:drawing>
                    <wp:anchor distT="0" distB="0" distL="114300" distR="114300" simplePos="0" relativeHeight="251660290" behindDoc="0" locked="0" layoutInCell="1" allowOverlap="1" wp14:anchorId="2EF2F6AA" wp14:editId="3802ACEA">
                      <wp:simplePos x="0" y="0"/>
                      <wp:positionH relativeFrom="column">
                        <wp:posOffset>28707</wp:posOffset>
                      </wp:positionH>
                      <wp:positionV relativeFrom="paragraph">
                        <wp:posOffset>49489</wp:posOffset>
                      </wp:positionV>
                      <wp:extent cx="97560" cy="96840"/>
                      <wp:effectExtent l="38100" t="38100" r="36195" b="36830"/>
                      <wp:wrapNone/>
                      <wp:docPr id="19" name="Ink 19"/>
                      <wp:cNvGraphicFramePr/>
                      <a:graphic xmlns:a="http://schemas.openxmlformats.org/drawingml/2006/main">
                        <a:graphicData uri="http://schemas.microsoft.com/office/word/2010/wordprocessingInk">
                          <w14:contentPart bwMode="auto" r:id="rId6">
                            <w14:nvContentPartPr>
                              <w14:cNvContentPartPr/>
                            </w14:nvContentPartPr>
                            <w14:xfrm>
                              <a:off x="0" y="0"/>
                              <a:ext cx="97560" cy="96840"/>
                            </w14:xfrm>
                          </w14:contentPart>
                        </a:graphicData>
                      </a:graphic>
                    </wp:anchor>
                  </w:drawing>
                </mc:Choice>
                <mc:Fallback>
                  <w:pict>
                    <v:shapetype w14:anchorId="771CA25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1.9pt;margin-top:3.55pt;width:8.4pt;height:8.35pt;z-index:25166029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0PFsuHAQAALAMAAA4AAABkcnMvZTJvRG9jLnhtbJxSQU7DMBC8I/EH&#10;y3eapLSljZr2QIXUA9ADPMA4dmMRe6O127S/Z5M0tIAQEpdo1xOPZ3Z2vjzYku0VegMu48kg5kw5&#10;Cblx24y/vjzcTDnzQbhclOBUxo/K8+Xi+mpeV6kaQgFlrpARifNpXWW8CKFKo8jLQlnhB1ApR6AG&#10;tCJQi9soR1ETuy2jYRxPohowrxCk8p5OVx3IFy2/1kqGZ629CqzM+Oh2SPJCXyAVd8MxZ29UTEYx&#10;jxZzkW5RVIWRJ0niH4qsMI4EfFKtRBBsh+YHlTUSwYMOAwk2Aq2NVK0fcpbE35yt3XvjKhnJHaYS&#10;XFAubASGfnYt8J8nbEkTqB8hp3TELgA/MdJ4/g6jE70CubOkp0sEVSkCrYMvTOU5w9TkGcd1npz1&#10;u/392cEGz76e9htkzf/JjDMnLGki44w6Cqc3//T1NiHRCfqN96DRNomQXHbIOG3Bsfm2gatDYJIO&#10;Z3fjCQGSkNlk2q1Dz9vd77uL6dPTX3K+7BtZF0u++AAAAP//AwBQSwMEFAAGAAgAAAAhAIx7S6gZ&#10;AgAALwUAABAAAABkcnMvaW5rL2luazEueG1stFPLbtswELwX6D8Q7MEXUyJpy4qEyDnVQIEWKJIU&#10;aI+KxFhEJMqgaMv++y4pmVYQJ6f2wseSMzs7XN7eHZsaHYTuZKsyzAKKkVBFW0q1zfCvxw25wagz&#10;uSrzulUiwyfR4bv150+3Ur00dQojAgbV2VVTZ7gyZpeGYd/3Qb8IWr0NOaWL8Jt6+fEdr0dUKZ6l&#10;kgZSdudQ0SojjsaSpbLMcGGO1N8H7od2rwvhj21EF5cbRueF2LS6yY1nrHKlRI1U3oDu3xiZ0w4W&#10;EvJshcaokVAw4QFbxsubrwkE8mOGJ/s9SOxASYPD65x//gPn5i2nlbXg8SrGaJRUioPVFDrP0/dr&#10;/6nbndBGiovNgynjwQkVw975MxilRdfWe/s2GB3yeg+WMUqhLcbcLLxiyFs+8Oaf8oEv7/JNxb22&#10;Zixv6sNomm+p89Ma2Qho9Gbne8x0QGzDD0a778Ap54RywugjTdLlKuUsSJJo8hRjF585n/S+qzzf&#10;k770qzvxrg2V9bI0lTedBpRH3vWp59ewlZDbynwIHgt3aN87V36iayc0VnIvnjP8xX1G5JBDwJXC&#10;Y4oo4ssojuYzwmd0RueYYobpnDDCEJ0zZEfq1tSt7dId2NHCPxovYIAt4CrhMeKJxTNiJ8JWKIaZ&#10;Lwh3tGMmDrEhK2ER4hbKYgKPx3kMWUHcoHCYYGeV2E2CWETYq4/lrYKOWf8FAAD//wMAUEsDBBQA&#10;BgAIAAAAIQAforH72wAAAAUBAAAPAAAAZHJzL2Rvd25yZXYueG1sTI7NToRAEITvJr7DpE28uQOo&#10;64Zl2PgTTxsTBROvDfQCyvQQZnbBt7c96alTXZWqL9stdlAnmnzv2EC8ikAR167puTXwXj5fbUD5&#10;gNzg4JgMfJOHXX5+lmHauJnf6FSEVkkJ+xQNdCGMqda+7siiX7mRWLyDmywGkVOrmwlnKbeDTqJo&#10;rS32LAsdjvTYUf1VHK2B5PYGffXajvM+Lh9e9kW5efr4NObyYrnfggq0hL8w/OILOuTCVLkjN14N&#10;Bq4FPBi4i0GJm0RrUJVcees80//p8x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TQ8Wy4cBAAAsAwAADgAAAAAAAAAAAAAAAAA8AgAAZHJzL2Uyb0RvYy54&#10;bWxQSwECLQAUAAYACAAAACEAjHtLqBkCAAAvBQAAEAAAAAAAAAAAAAAAAADvAwAAZHJzL2luay9p&#10;bmsxLnhtbFBLAQItABQABgAIAAAAIQAforH72wAAAAUBAAAPAAAAAAAAAAAAAAAAADYGAABkcnMv&#10;ZG93bnJldi54bWxQSwECLQAUAAYACAAAACEAeRi8nb8AAAAhAQAAGQAAAAAAAAAAAAAAAAA+BwAA&#10;ZHJzL19yZWxzL2Uyb0RvYy54bWwucmVsc1BLBQYAAAAABgAGAHgBAAA0CAAAAAA=&#10;">
                      <v:imagedata r:id="rId7" o:title=""/>
                    </v:shape>
                  </w:pict>
                </mc:Fallback>
              </mc:AlternateContent>
            </w:r>
            <w:r>
              <w:rPr>
                <w:rFonts w:ascii="MS Gothic" w:eastAsia="MS Gothic" w:hAnsi="MS Gothic" w:cs="Arial"/>
                <w:noProof/>
                <w:sz w:val="24"/>
                <w:szCs w:val="24"/>
              </w:rPr>
              <mc:AlternateContent>
                <mc:Choice Requires="wpi">
                  <w:drawing>
                    <wp:anchor distT="0" distB="0" distL="114300" distR="114300" simplePos="0" relativeHeight="251659266" behindDoc="0" locked="0" layoutInCell="1" allowOverlap="1" wp14:anchorId="3D8E37D7" wp14:editId="79EFCAB8">
                      <wp:simplePos x="0" y="0"/>
                      <wp:positionH relativeFrom="column">
                        <wp:posOffset>26907</wp:posOffset>
                      </wp:positionH>
                      <wp:positionV relativeFrom="paragraph">
                        <wp:posOffset>48049</wp:posOffset>
                      </wp:positionV>
                      <wp:extent cx="95400" cy="96120"/>
                      <wp:effectExtent l="38100" t="38100" r="38100" b="37465"/>
                      <wp:wrapNone/>
                      <wp:docPr id="18" name="Ink 18"/>
                      <wp:cNvGraphicFramePr/>
                      <a:graphic xmlns:a="http://schemas.openxmlformats.org/drawingml/2006/main">
                        <a:graphicData uri="http://schemas.microsoft.com/office/word/2010/wordprocessingInk">
                          <w14:contentPart bwMode="auto" r:id="rId8">
                            <w14:nvContentPartPr>
                              <w14:cNvContentPartPr/>
                            </w14:nvContentPartPr>
                            <w14:xfrm>
                              <a:off x="0" y="0"/>
                              <a:ext cx="95400" cy="96120"/>
                            </w14:xfrm>
                          </w14:contentPart>
                        </a:graphicData>
                      </a:graphic>
                    </wp:anchor>
                  </w:drawing>
                </mc:Choice>
                <mc:Fallback>
                  <w:pict>
                    <v:shape w14:anchorId="3F95EF68" id="Ink 18" o:spid="_x0000_s1026" type="#_x0000_t75" style="position:absolute;margin-left:1.75pt;margin-top:3.45pt;width:8.2pt;height:8.25pt;z-index:25165926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sIdGHAQAALAMAAA4AAABkcnMvZTJvRG9jLnhtbJxSy27CMBC8V+o/&#10;WL6XJDTQEhE4FFXiUMqh/QDXsYnV2ButHQJ/3w2PAq2qSlyiXU88ntnZ8XRjK7ZW6A24nCe9mDPl&#10;JBTGrXL+/vZ898iZD8IVogKncr5Vnk8ntzfjts5UH0qoCoWMSJzP2jrnZQh1FkVelsoK34NaOQI1&#10;oBWBWlxFBYqW2G0V9eN4GLWARY0glfd0OtuDfLLj11rJ8Kq1V4FVOU/v+yQvHAukIn2gkw8qBoMB&#10;jyZjka1Q1KWRB0niCkVWGEcCvqlmIgjWoPlFZY1E8KBDT4KNQGsj1c4POUviH87m7rNzlaSywUyC&#10;C8qFpcBwnN0OuOYJW9EE2hcoKB3RBOAHRhrP/2HsRc9ANpb07BNBVYlA6+BLU3vOMDNFznFeJCf9&#10;bv10crDEk6/Feoms+z+hvXHCkiYyzqijcI7mF5e3CYkO0F+8G422S4Tksk3OKfNt990FrjaBSToc&#10;DdKYAEnIaJjQppzx7u8fXzmbPj19kfN538k6W/LJFwAAAP//AwBQSwMEFAAGAAgAAAAhAM/phsED&#10;AgAA6wQAABAAAABkcnMvaW5rL2luazEueG1stJNNj5swEIbvlfofRu4hlwA2gRDQkj01UqVWqna3&#10;UntkwRusBRMZ5+vfd2yIk3SzPbUXy56P1zOPx3f3h7aBHVe96GROmE8JcFl2lZDrnPx4WnkLAr0u&#10;ZFU0neQ5OfKe3C8/frgT8rVtMlwBFWRvdm2Tk1rrTRYE+/3e38/8Tq2DkNJZ8EW+fvtKlmNWxV+E&#10;FBqv7E+mspOaH7QRy0SVk1IfqItH7cduq0ru3MaiynOEVkXJV51qC+0U60JK3oAsWqz7JwF93OBG&#10;4D1rrgi0Ahv2Qp9FSbT4nKKhOOTk4rzFEnuspCXBbc1f/0Fz9VbTlDULk3lCYCyp4jtTU2CZZ+/3&#10;/l11G6604GfMA5TRcYRyOFs+AyjF+67ZmrchsCuaLSJjlOJYjHez4AaQt3rI5p/qIZd39S6Lu0Yz&#10;tnfJYYTmRur0tFq0HAe93bgZ0z0KG/OjVvY7hDQMPRp6jD7RNIvmGUv8dBFfPMU4xSfNZ7Xta6f3&#10;rM7zaj2O2tDZXlS6dtCpT8PYUb9kfiu35mJd678mj43bbDc7N36iHScYO3ngLzn5ZD8j2MzBYFuh&#10;QCGM4iSeTtgkmtApYYQSOvWYx4BOGZj16kCtI4a5cYfAEhuAQGPcDE7M+XNvLYyBiZ5HEJtgL068&#10;yKYnXgpxOl1A4rFoMbv6FK5NfO3lbwAAAP//AwBQSwMEFAAGAAgAAAAhAEDzVsXaAAAABQEAAA8A&#10;AABkcnMvZG93bnJldi54bWxMjs1uwjAQhO+V+g7WVuqtOCUFlTQb1CL1R+JUygMs8ZJExOvINhDe&#10;vubUnkajGc185XK0vTqxD50ThMdJBoqldqaTBmH78/7wDCpEEkO9E0a4cIBldXtTUmHcWb75tImN&#10;SiMSCkJoYxwKrUPdsqUwcQNLyvbOW4rJ+kYbT+c0bns9zbK5ttRJemhp4FXL9WFztAhf60O2d7lf&#10;dfXsMnT89kkfW0G8vxtfX0BFHuNfGa74CR2qxLRzRzFB9Qj5LBUR5gtQ13SRdIcwzZ9AV6X+T1/9&#10;Ag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IDsIdGHAQAA&#10;LAMAAA4AAAAAAAAAAAAAAAAAPAIAAGRycy9lMm9Eb2MueG1sUEsBAi0AFAAGAAgAAAAhAM/phsED&#10;AgAA6wQAABAAAAAAAAAAAAAAAAAA7wMAAGRycy9pbmsvaW5rMS54bWxQSwECLQAUAAYACAAAACEA&#10;QPNWxdoAAAAFAQAADwAAAAAAAAAAAAAAAAAgBgAAZHJzL2Rvd25yZXYueG1sUEsBAi0AFAAGAAgA&#10;AAAhAHkYvJ2/AAAAIQEAABkAAAAAAAAAAAAAAAAAJwcAAGRycy9fcmVscy9lMm9Eb2MueG1sLnJl&#10;bHNQSwUGAAAAAAYABgB4AQAAHQgAAAAA&#10;">
                      <v:imagedata r:id="rId9" o:title=""/>
                    </v:shape>
                  </w:pict>
                </mc:Fallback>
              </mc:AlternateContent>
            </w:r>
            <w:r w:rsidR="00F33866">
              <w:rPr>
                <w:rFonts w:ascii="MS Gothic" w:eastAsia="MS Gothic" w:hAnsi="MS Gothic" w:cs="Arial"/>
                <w:sz w:val="24"/>
                <w:szCs w:val="24"/>
              </w:rPr>
              <w:t>☐</w:t>
            </w:r>
            <w:r w:rsidR="00F33866">
              <w:rPr>
                <w:rFonts w:ascii="Arial" w:eastAsia="Arial" w:hAnsi="Arial" w:cs="Arial"/>
                <w:sz w:val="24"/>
                <w:szCs w:val="24"/>
              </w:rPr>
              <w:t xml:space="preserve">  </w:t>
            </w:r>
          </w:p>
        </w:tc>
        <w:tc>
          <w:tcPr>
            <w:tcW w:w="5163" w:type="dxa"/>
            <w:tcBorders>
              <w:top w:val="single" w:sz="4" w:space="0" w:color="000000"/>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47580751" w14:textId="77777777" w:rsidR="006C5BF9" w:rsidRDefault="00F33866">
            <w:pPr>
              <w:tabs>
                <w:tab w:val="left" w:pos="2130"/>
              </w:tabs>
              <w:spacing w:after="0" w:line="22" w:lineRule="atLeast"/>
            </w:pPr>
            <w:r>
              <w:rPr>
                <w:rFonts w:ascii="Arial" w:eastAsia="Arial" w:hAnsi="Arial" w:cs="Arial"/>
                <w:sz w:val="24"/>
                <w:szCs w:val="24"/>
              </w:rPr>
              <w:t>C</w:t>
            </w:r>
            <w:r>
              <w:rPr>
                <w:rFonts w:ascii="Arial" w:eastAsia="DengXian" w:hAnsi="Arial" w:cs="Arial"/>
                <w:sz w:val="24"/>
                <w:szCs w:val="24"/>
              </w:rPr>
              <w:t>ontributor</w:t>
            </w:r>
          </w:p>
        </w:tc>
      </w:tr>
      <w:tr w:rsidR="006C5BF9" w14:paraId="02273FB7" w14:textId="77777777">
        <w:tc>
          <w:tcPr>
            <w:tcW w:w="3879" w:type="dxa"/>
            <w:tcBorders>
              <w:right w:val="single" w:sz="4" w:space="0" w:color="000000"/>
            </w:tcBorders>
            <w:shd w:val="clear" w:color="auto" w:fill="auto"/>
            <w:tcMar>
              <w:top w:w="0" w:type="dxa"/>
              <w:left w:w="108" w:type="dxa"/>
              <w:bottom w:w="0" w:type="dxa"/>
              <w:right w:w="108" w:type="dxa"/>
            </w:tcMar>
          </w:tcPr>
          <w:p w14:paraId="637A24F1" w14:textId="60D653F3" w:rsidR="006C5BF9" w:rsidRDefault="00A140B2">
            <w:pPr>
              <w:tabs>
                <w:tab w:val="left" w:pos="2130"/>
              </w:tabs>
              <w:spacing w:after="0" w:line="22" w:lineRule="atLeast"/>
              <w:rPr>
                <w:rFonts w:ascii="Arial" w:eastAsia="Arial" w:hAnsi="Arial" w:cs="Arial"/>
                <w:b/>
                <w:bCs/>
                <w:sz w:val="24"/>
                <w:szCs w:val="24"/>
              </w:rPr>
            </w:pPr>
            <w:r>
              <w:rPr>
                <w:rFonts w:ascii="Arial" w:eastAsia="Arial" w:hAnsi="Arial" w:cs="Arial"/>
                <w:b/>
                <w:bCs/>
                <w:noProof/>
                <w:sz w:val="24"/>
                <w:szCs w:val="24"/>
              </w:rPr>
              <mc:AlternateContent>
                <mc:Choice Requires="wpi">
                  <w:drawing>
                    <wp:anchor distT="0" distB="0" distL="114300" distR="114300" simplePos="0" relativeHeight="251661314" behindDoc="0" locked="0" layoutInCell="1" allowOverlap="1" wp14:anchorId="195F7443" wp14:editId="26BD5714">
                      <wp:simplePos x="0" y="0"/>
                      <wp:positionH relativeFrom="column">
                        <wp:posOffset>457762</wp:posOffset>
                      </wp:positionH>
                      <wp:positionV relativeFrom="paragraph">
                        <wp:posOffset>262677</wp:posOffset>
                      </wp:positionV>
                      <wp:extent cx="360" cy="360"/>
                      <wp:effectExtent l="38100" t="38100" r="38100" b="38100"/>
                      <wp:wrapNone/>
                      <wp:docPr id="20" name="Ink 20"/>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49D4F0CB" id="Ink 20" o:spid="_x0000_s1026" type="#_x0000_t75" style="position:absolute;margin-left:35.7pt;margin-top:20.35pt;width:.75pt;height:.75pt;z-index:25166131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5Gb19AQAAKAMAAA4AAABkcnMvZTJvRG9jLnhtbJxSy27CMBC8V+o/&#10;WL6XEEAIRSQciipxKOXQfoDr2MRq7I3WDoG/7yaQkraqKnGx9mHPzux4uTrakh0UegMu5fFozJly&#10;EnLj9il/e316WHDmg3C5KMGplJ+U56vs/m7ZVImaQAFlrpARiPNJU6W8CKFKosjLQlnhR1ApR00N&#10;aEWgFPdRjqIhdFtGk/F4HjWAeYUglfdUXZ+bPOvwtVYyvGjtVWBlymfTCdELfYAUzBdUeb8EUbYU&#10;yR5FVRh5oSRuYGSFcUTgC2otgmA1ml9Q1kgEDzqMJNgItDZSdXpIWTz+oWzjPlpV8UzWmEhwQbmw&#10;Exj63XWNW0bYkjbQPENO7og6AL8g0nr+N+NMeg2ytsTn7AiqUgT6Dr4wlecME5OnHDd5fOXvDo9X&#10;BTu86toedsja+61TTljiRMIZZWROL377/TV1okvrL9yjRts6QnTZMeWEfWrPznB1DExScTqnsqR6&#10;Gwwwz2/7CYPN09hvHg/zltLgg2efAAAA//8DAFBLAwQUAAYACAAAACEAhtJ3tbwBAABfBAAAEAAA&#10;AGRycy9pbmsvaW5rMS54bWy0k01v4yAQhu+V+h8QPcfGxKlTq05PG2mlXWnVD6l7dG0aoxqIAMfJ&#10;v98xJsRV0z21FwQD8zLz8HJ7txct2jFtuJIFTiKCEZOVqrncFPjpcT1bYmRsKeuyVZIV+MAMvltd&#10;Xtxy+SbaHEYECtIMM9EWuLF2m8dx3/dRP4+U3sSUkHn8U779/oVXPqtmr1xyC1eaY6hS0rK9HcRy&#10;Xhe4snsSzoP2g+p0xcL2ENHV6YTVZcXWSovSBsWmlJK1SJYC6n7GyB62MOFwz4ZpjASHhmc0StIs&#10;Xf64gUC5L/Bk3UGJBioROD6v+fcbNNcfNYey5jS7zjDyJdVsN9QUO+b5573/0WrLtOXshHmE4jcO&#10;qBrXjs8ISjOj2m54G4x2ZdsBsoQQsIW/O4nPAPmoB2y+VA+4fKo3Le49Gt/elIOHFix1fFrLBQOj&#10;i23wmDUgPIQfrHbfgRJKZ4TOEvJIbvL0OqdZtFimk6fwLj5qvujONEHvRZ/86nYCtbGznte2CdBJ&#10;ROgiUJ8yP5fbML5p7H+TfeMuO3jnzE90dkK+k3v2WuAr9xmRyxwDrhWCEkTTRbZ4Z8QgDYRX/wAA&#10;AP//AwBQSwMEFAAGAAgAAAAhACo1IjzbAAAABwEAAA8AAABkcnMvZG93bnJldi54bWxMjsFOwzAQ&#10;RO9I/IO1SNyok6giJcSpChKXckCUcnfjJQ7E62A7bfh7lhM9jmb05tXr2Q3iiCH2nhTkiwwEUutN&#10;T52C/dvTzQpETJqMHjyhgh+MsG4uL2pdGX+iVzzuUicYQrHSCmxKYyVlbC06HRd+ROLuwwenE8fQ&#10;SRP0ieFukEWW3Uqne+IHq0d8tNh+7San4KGf7Gf7Xbr9Zl69v8htGPLts1LXV/PmHkTCOf2P4U+f&#10;1aFhp4OfyEQxKCjzJS8VLLMSBPdlcQfiwLkoQDa1PPdvfg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UuRm9fQEAACgDAAAOAAAAAAAAAAAAAAAAADwCAABk&#10;cnMvZTJvRG9jLnhtbFBLAQItABQABgAIAAAAIQCG0ne1vAEAAF8EAAAQAAAAAAAAAAAAAAAAAOUD&#10;AABkcnMvaW5rL2luazEueG1sUEsBAi0AFAAGAAgAAAAhACo1IjzbAAAABwEAAA8AAAAAAAAAAAAA&#10;AAAAzwUAAGRycy9kb3ducmV2LnhtbFBLAQItABQABgAIAAAAIQB5GLydvwAAACEBAAAZAAAAAAAA&#10;AAAAAAAAANcGAABkcnMvX3JlbHMvZTJvRG9jLnhtbC5yZWxzUEsFBgAAAAAGAAYAeAEAAM0HAAAA&#10;AA==&#10;">
                      <v:imagedata r:id="rId11" o:title=""/>
                    </v:shape>
                  </w:pict>
                </mc:Fallback>
              </mc:AlternateContent>
            </w:r>
          </w:p>
        </w:tc>
        <w:tc>
          <w:tcPr>
            <w:tcW w:w="45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5FE81DAC" w14:textId="77777777" w:rsidR="006C5BF9" w:rsidRDefault="00F33866">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p>
        </w:tc>
        <w:tc>
          <w:tcPr>
            <w:tcW w:w="5163"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66C72D71" w14:textId="77777777" w:rsidR="006C5BF9" w:rsidRDefault="00F33866">
            <w:pPr>
              <w:tabs>
                <w:tab w:val="left" w:pos="2130"/>
              </w:tabs>
              <w:spacing w:after="0" w:line="22" w:lineRule="atLeast"/>
            </w:pPr>
            <w:r>
              <w:rPr>
                <w:rFonts w:ascii="Arial" w:eastAsia="DengXian" w:hAnsi="Arial" w:cs="Arial"/>
                <w:sz w:val="24"/>
                <w:szCs w:val="24"/>
              </w:rPr>
              <w:t>Government of relevant foreign country or territory (</w:t>
            </w:r>
            <w:r>
              <w:rPr>
                <w:rFonts w:ascii="Arial" w:eastAsia="DengXian" w:hAnsi="Arial" w:cs="Arial"/>
                <w:i/>
                <w:iCs/>
                <w:sz w:val="24"/>
                <w:szCs w:val="24"/>
              </w:rPr>
              <w:t>Interested Party</w:t>
            </w:r>
            <w:r>
              <w:rPr>
                <w:rFonts w:ascii="Arial" w:eastAsia="DengXian" w:hAnsi="Arial" w:cs="Arial"/>
                <w:sz w:val="24"/>
                <w:szCs w:val="24"/>
              </w:rPr>
              <w:t>)</w:t>
            </w:r>
          </w:p>
        </w:tc>
      </w:tr>
      <w:tr w:rsidR="006C5BF9" w14:paraId="00EB0300" w14:textId="77777777">
        <w:tc>
          <w:tcPr>
            <w:tcW w:w="3879" w:type="dxa"/>
            <w:tcBorders>
              <w:right w:val="single" w:sz="4" w:space="0" w:color="000000"/>
            </w:tcBorders>
            <w:shd w:val="clear" w:color="auto" w:fill="auto"/>
            <w:tcMar>
              <w:top w:w="0" w:type="dxa"/>
              <w:left w:w="108" w:type="dxa"/>
              <w:bottom w:w="0" w:type="dxa"/>
              <w:right w:w="108" w:type="dxa"/>
            </w:tcMar>
          </w:tcPr>
          <w:p w14:paraId="36C40607" w14:textId="77777777" w:rsidR="006C5BF9" w:rsidRDefault="006C5BF9">
            <w:pPr>
              <w:tabs>
                <w:tab w:val="left" w:pos="2130"/>
              </w:tabs>
              <w:spacing w:after="0" w:line="22" w:lineRule="atLeast"/>
              <w:rPr>
                <w:rFonts w:ascii="Arial" w:eastAsia="Arial" w:hAnsi="Arial" w:cs="Arial"/>
                <w:b/>
                <w:bCs/>
                <w:sz w:val="24"/>
                <w:szCs w:val="24"/>
              </w:rPr>
            </w:pPr>
          </w:p>
        </w:tc>
        <w:tc>
          <w:tcPr>
            <w:tcW w:w="45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19281D61" w14:textId="77777777" w:rsidR="006C5BF9" w:rsidRDefault="00F33866">
            <w:pPr>
              <w:tabs>
                <w:tab w:val="left" w:pos="2130"/>
              </w:tabs>
              <w:spacing w:after="0" w:line="22" w:lineRule="atLeast"/>
            </w:pPr>
            <w:r>
              <w:rPr>
                <w:rFonts w:ascii="MS Gothic" w:eastAsia="MS Gothic" w:hAnsi="MS Gothic" w:cs="Arial"/>
                <w:sz w:val="24"/>
                <w:szCs w:val="24"/>
              </w:rPr>
              <w:t>☐</w:t>
            </w:r>
          </w:p>
        </w:tc>
        <w:tc>
          <w:tcPr>
            <w:tcW w:w="5163"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32FBCCC2" w14:textId="77777777" w:rsidR="006C5BF9" w:rsidRDefault="00F33866">
            <w:pPr>
              <w:tabs>
                <w:tab w:val="left" w:pos="2130"/>
              </w:tabs>
              <w:spacing w:after="0" w:line="22" w:lineRule="atLeast"/>
            </w:pPr>
            <w:r>
              <w:rPr>
                <w:rFonts w:ascii="Arial" w:eastAsia="DengXian" w:hAnsi="Arial" w:cs="Arial"/>
                <w:sz w:val="24"/>
                <w:szCs w:val="24"/>
              </w:rPr>
              <w:t>Trade or business association representing overseas exporters or UK importers of the good(s) subject to review (</w:t>
            </w:r>
            <w:r>
              <w:rPr>
                <w:rFonts w:ascii="Arial" w:eastAsia="DengXian" w:hAnsi="Arial" w:cs="Arial"/>
                <w:i/>
                <w:iCs/>
                <w:sz w:val="24"/>
                <w:szCs w:val="24"/>
              </w:rPr>
              <w:t>Interested Party</w:t>
            </w:r>
            <w:r>
              <w:rPr>
                <w:rFonts w:ascii="Arial" w:eastAsia="DengXian" w:hAnsi="Arial" w:cs="Arial"/>
                <w:sz w:val="24"/>
                <w:szCs w:val="24"/>
              </w:rPr>
              <w:t>)</w:t>
            </w:r>
          </w:p>
        </w:tc>
      </w:tr>
      <w:tr w:rsidR="006C5BF9" w14:paraId="0762988F" w14:textId="77777777">
        <w:tc>
          <w:tcPr>
            <w:tcW w:w="3879" w:type="dxa"/>
            <w:tcBorders>
              <w:right w:val="single" w:sz="4" w:space="0" w:color="000000"/>
            </w:tcBorders>
            <w:shd w:val="clear" w:color="auto" w:fill="auto"/>
            <w:tcMar>
              <w:top w:w="0" w:type="dxa"/>
              <w:left w:w="108" w:type="dxa"/>
              <w:bottom w:w="0" w:type="dxa"/>
              <w:right w:w="108" w:type="dxa"/>
            </w:tcMar>
          </w:tcPr>
          <w:p w14:paraId="52DEC647" w14:textId="77777777" w:rsidR="006C5BF9" w:rsidRDefault="006C5BF9">
            <w:pPr>
              <w:tabs>
                <w:tab w:val="left" w:pos="2130"/>
              </w:tabs>
              <w:spacing w:after="0" w:line="22" w:lineRule="atLeast"/>
              <w:rPr>
                <w:rFonts w:ascii="Arial" w:eastAsia="Arial" w:hAnsi="Arial" w:cs="Arial"/>
                <w:b/>
                <w:bCs/>
                <w:sz w:val="24"/>
                <w:szCs w:val="24"/>
              </w:rPr>
            </w:pPr>
          </w:p>
        </w:tc>
        <w:tc>
          <w:tcPr>
            <w:tcW w:w="456" w:type="dxa"/>
            <w:tcBorders>
              <w:top w:val="single" w:sz="4" w:space="0" w:color="FFFFFF"/>
              <w:left w:val="single" w:sz="4" w:space="0" w:color="000000"/>
              <w:bottom w:val="single" w:sz="4" w:space="0" w:color="000000"/>
              <w:right w:val="single" w:sz="4" w:space="0" w:color="FFFFFF"/>
            </w:tcBorders>
            <w:shd w:val="clear" w:color="auto" w:fill="auto"/>
            <w:tcMar>
              <w:top w:w="0" w:type="dxa"/>
              <w:left w:w="108" w:type="dxa"/>
              <w:bottom w:w="0" w:type="dxa"/>
              <w:right w:w="108" w:type="dxa"/>
            </w:tcMar>
          </w:tcPr>
          <w:p w14:paraId="4769833C" w14:textId="77777777" w:rsidR="006C5BF9" w:rsidRDefault="00F33866">
            <w:pPr>
              <w:tabs>
                <w:tab w:val="left" w:pos="2130"/>
              </w:tabs>
              <w:spacing w:after="0" w:line="22" w:lineRule="atLeast"/>
            </w:pPr>
            <w:r>
              <w:rPr>
                <w:rFonts w:ascii="MS Gothic" w:eastAsia="MS Gothic" w:hAnsi="MS Gothic" w:cs="Arial"/>
                <w:sz w:val="24"/>
                <w:szCs w:val="24"/>
              </w:rPr>
              <w:t>☐</w:t>
            </w:r>
          </w:p>
        </w:tc>
        <w:tc>
          <w:tcPr>
            <w:tcW w:w="5163" w:type="dxa"/>
            <w:tcBorders>
              <w:top w:val="single" w:sz="4" w:space="0" w:color="FFFFFF"/>
              <w:left w:val="single" w:sz="4" w:space="0" w:color="FFFFFF"/>
              <w:bottom w:val="single" w:sz="4" w:space="0" w:color="000000"/>
              <w:right w:val="single" w:sz="4" w:space="0" w:color="000000"/>
            </w:tcBorders>
            <w:shd w:val="clear" w:color="auto" w:fill="auto"/>
            <w:tcMar>
              <w:top w:w="0" w:type="dxa"/>
              <w:left w:w="10" w:type="dxa"/>
              <w:bottom w:w="0" w:type="dxa"/>
              <w:right w:w="10" w:type="dxa"/>
            </w:tcMar>
          </w:tcPr>
          <w:p w14:paraId="35DC7A40" w14:textId="77777777" w:rsidR="006C5BF9" w:rsidRDefault="00F33866">
            <w:pPr>
              <w:tabs>
                <w:tab w:val="left" w:pos="2130"/>
              </w:tabs>
              <w:spacing w:after="0" w:line="22" w:lineRule="atLeast"/>
            </w:pPr>
            <w:r>
              <w:rPr>
                <w:rFonts w:ascii="Arial" w:eastAsia="DengXian" w:hAnsi="Arial" w:cs="Arial"/>
                <w:sz w:val="24"/>
                <w:szCs w:val="24"/>
              </w:rPr>
              <w:t>Trade or business association representing UK producers of like goods or directly competitive goods (</w:t>
            </w:r>
            <w:r>
              <w:rPr>
                <w:rFonts w:ascii="Arial" w:eastAsia="DengXian" w:hAnsi="Arial" w:cs="Arial"/>
                <w:i/>
                <w:iCs/>
                <w:sz w:val="24"/>
                <w:szCs w:val="24"/>
              </w:rPr>
              <w:t>Interested Party</w:t>
            </w:r>
            <w:r>
              <w:rPr>
                <w:rFonts w:ascii="Arial" w:eastAsia="DengXian" w:hAnsi="Arial" w:cs="Arial"/>
                <w:sz w:val="24"/>
                <w:szCs w:val="24"/>
              </w:rPr>
              <w:t>)</w:t>
            </w:r>
          </w:p>
          <w:p w14:paraId="664AC0D7" w14:textId="77777777" w:rsidR="006C5BF9" w:rsidRDefault="00F33866">
            <w:pPr>
              <w:tabs>
                <w:tab w:val="left" w:pos="2130"/>
              </w:tabs>
              <w:spacing w:after="0" w:line="22" w:lineRule="atLeast"/>
            </w:pPr>
            <w:r>
              <w:rPr>
                <w:rFonts w:ascii="MS Gothic" w:eastAsia="MS Gothic" w:hAnsi="MS Gothic" w:cs="Arial"/>
                <w:sz w:val="24"/>
                <w:szCs w:val="24"/>
              </w:rPr>
              <w:t>☐</w:t>
            </w:r>
            <w:r>
              <w:rPr>
                <w:rFonts w:ascii="Arial" w:eastAsia="DengXian" w:hAnsi="Arial" w:cs="Arial"/>
                <w:sz w:val="24"/>
                <w:szCs w:val="24"/>
              </w:rPr>
              <w:t xml:space="preserve"> UK Producer</w:t>
            </w:r>
          </w:p>
          <w:p w14:paraId="5CD4DEE8" w14:textId="77777777" w:rsidR="006C5BF9" w:rsidRDefault="00F33866">
            <w:pPr>
              <w:tabs>
                <w:tab w:val="left" w:pos="2130"/>
              </w:tabs>
              <w:spacing w:after="0" w:line="22" w:lineRule="atLeast"/>
            </w:pPr>
            <w:r>
              <w:rPr>
                <w:rFonts w:ascii="MS Gothic" w:eastAsia="MS Gothic" w:hAnsi="MS Gothic" w:cs="Arial"/>
                <w:sz w:val="24"/>
                <w:szCs w:val="24"/>
              </w:rPr>
              <w:t>☐</w:t>
            </w:r>
            <w:r>
              <w:rPr>
                <w:rFonts w:ascii="Arial" w:eastAsia="DengXian" w:hAnsi="Arial" w:cs="Arial"/>
                <w:sz w:val="24"/>
                <w:szCs w:val="24"/>
              </w:rPr>
              <w:t xml:space="preserve"> Importer</w:t>
            </w:r>
          </w:p>
          <w:p w14:paraId="6D784C36" w14:textId="77777777" w:rsidR="006C5BF9" w:rsidRDefault="00F33866">
            <w:pPr>
              <w:tabs>
                <w:tab w:val="left" w:pos="2130"/>
              </w:tabs>
              <w:spacing w:after="0" w:line="22" w:lineRule="atLeast"/>
            </w:pPr>
            <w:r>
              <w:rPr>
                <w:rFonts w:ascii="MS Gothic" w:eastAsia="MS Gothic" w:hAnsi="MS Gothic" w:cs="Arial"/>
                <w:sz w:val="24"/>
                <w:szCs w:val="24"/>
              </w:rPr>
              <w:t>☐</w:t>
            </w:r>
            <w:r>
              <w:rPr>
                <w:rFonts w:ascii="Arial" w:eastAsia="DengXian" w:hAnsi="Arial" w:cs="Arial"/>
                <w:sz w:val="24"/>
                <w:szCs w:val="24"/>
              </w:rPr>
              <w:t xml:space="preserve"> Overseas Exporter</w:t>
            </w:r>
          </w:p>
          <w:p w14:paraId="3B109CF8" w14:textId="77777777" w:rsidR="006C5BF9" w:rsidRDefault="006C5BF9">
            <w:pPr>
              <w:tabs>
                <w:tab w:val="left" w:pos="2130"/>
              </w:tabs>
              <w:spacing w:after="0" w:line="22" w:lineRule="atLeast"/>
              <w:rPr>
                <w:rFonts w:ascii="MS Gothic" w:eastAsia="MS Gothic" w:hAnsi="MS Gothic" w:cs="Arial"/>
                <w:sz w:val="24"/>
                <w:szCs w:val="24"/>
              </w:rPr>
            </w:pPr>
          </w:p>
        </w:tc>
      </w:tr>
    </w:tbl>
    <w:p w14:paraId="6C835DD8" w14:textId="77777777" w:rsidR="006C5BF9" w:rsidRDefault="006C5BF9">
      <w:bookmarkStart w:id="0" w:name="_Toc32829438"/>
    </w:p>
    <w:p w14:paraId="06B414A5" w14:textId="77777777" w:rsidR="006C5BF9" w:rsidRDefault="00F33866">
      <w:pPr>
        <w:spacing w:after="0" w:line="22" w:lineRule="atLeast"/>
      </w:pPr>
      <w:r>
        <w:rPr>
          <w:rFonts w:ascii="Arial" w:eastAsia="Arial" w:hAnsi="Arial" w:cs="Arial"/>
          <w:color w:val="000000"/>
          <w:sz w:val="24"/>
          <w:szCs w:val="24"/>
        </w:rPr>
        <w:t xml:space="preserve">When you have completed this form, indicate the </w:t>
      </w:r>
      <w:r>
        <w:rPr>
          <w:rFonts w:ascii="Arial" w:eastAsia="Arial" w:hAnsi="Arial" w:cs="Arial"/>
          <w:b/>
          <w:bCs/>
          <w:color w:val="000000"/>
          <w:sz w:val="24"/>
          <w:szCs w:val="24"/>
        </w:rPr>
        <w:t>confidentiality</w:t>
      </w:r>
      <w:r>
        <w:rPr>
          <w:rFonts w:ascii="Arial" w:eastAsia="Arial" w:hAnsi="Arial" w:cs="Arial"/>
          <w:color w:val="000000"/>
          <w:sz w:val="24"/>
          <w:szCs w:val="24"/>
        </w:rPr>
        <w:t xml:space="preserve"> of this document by placing an X in the relevant box below: </w:t>
      </w:r>
    </w:p>
    <w:p w14:paraId="4588A414" w14:textId="77777777" w:rsidR="006C5BF9" w:rsidRDefault="006C5BF9">
      <w:pPr>
        <w:spacing w:after="0" w:line="22" w:lineRule="atLeast"/>
        <w:rPr>
          <w:rFonts w:ascii="Arial" w:eastAsia="Arial" w:hAnsi="Arial" w:cs="Arial"/>
          <w:color w:val="000000"/>
          <w:sz w:val="24"/>
          <w:szCs w:val="24"/>
        </w:rPr>
      </w:pPr>
    </w:p>
    <w:p w14:paraId="260B7E91" w14:textId="36747A21" w:rsidR="006C5BF9" w:rsidRDefault="00F33866">
      <w:pPr>
        <w:spacing w:after="0" w:line="22" w:lineRule="atLeast"/>
      </w:pPr>
      <w:r>
        <w:rPr>
          <w:rFonts w:ascii="Segoe UI Symbol" w:eastAsia="Segoe UI Symbol" w:hAnsi="Segoe UI Symbol" w:cs="Segoe UI Symbol"/>
          <w:b/>
          <w:bCs/>
          <w:color w:val="000000"/>
          <w:sz w:val="24"/>
          <w:szCs w:val="24"/>
        </w:rPr>
        <w:t>☐</w:t>
      </w:r>
      <w:r>
        <w:rPr>
          <w:rFonts w:ascii="Arial" w:eastAsia="Arial" w:hAnsi="Arial" w:cs="Arial"/>
          <w:color w:val="000000"/>
          <w:sz w:val="24"/>
          <w:szCs w:val="24"/>
        </w:rPr>
        <w:t xml:space="preserve"> Confidential</w:t>
      </w:r>
    </w:p>
    <w:p w14:paraId="2203385A" w14:textId="2C88BBFC" w:rsidR="006C5BF9" w:rsidRDefault="009E0867">
      <w:pPr>
        <w:spacing w:after="0" w:line="22" w:lineRule="atLeast"/>
      </w:pPr>
      <w:r>
        <w:rPr>
          <w:rFonts w:ascii="Segoe UI Symbol" w:eastAsia="Segoe UI Symbol" w:hAnsi="Segoe UI Symbol" w:cs="Segoe UI Symbol"/>
          <w:b/>
          <w:bCs/>
          <w:noProof/>
          <w:color w:val="000000"/>
          <w:sz w:val="24"/>
          <w:szCs w:val="24"/>
        </w:rPr>
        <mc:AlternateContent>
          <mc:Choice Requires="wpi">
            <w:drawing>
              <wp:anchor distT="0" distB="0" distL="114300" distR="114300" simplePos="0" relativeHeight="251664386" behindDoc="0" locked="0" layoutInCell="1" allowOverlap="1" wp14:anchorId="7D96DF85" wp14:editId="2AE981B6">
                <wp:simplePos x="0" y="0"/>
                <wp:positionH relativeFrom="column">
                  <wp:posOffset>24765</wp:posOffset>
                </wp:positionH>
                <wp:positionV relativeFrom="paragraph">
                  <wp:posOffset>59055</wp:posOffset>
                </wp:positionV>
                <wp:extent cx="86400" cy="94275"/>
                <wp:effectExtent l="38100" t="38100" r="46990" b="39370"/>
                <wp:wrapNone/>
                <wp:docPr id="34" name="Ink 34"/>
                <wp:cNvGraphicFramePr/>
                <a:graphic xmlns:a="http://schemas.openxmlformats.org/drawingml/2006/main">
                  <a:graphicData uri="http://schemas.microsoft.com/office/word/2010/wordprocessingInk">
                    <w14:contentPart bwMode="auto" r:id="rId12">
                      <w14:nvContentPartPr>
                        <w14:cNvContentPartPr/>
                      </w14:nvContentPartPr>
                      <w14:xfrm>
                        <a:off x="0" y="0"/>
                        <a:ext cx="86400" cy="94275"/>
                      </w14:xfrm>
                    </w14:contentPart>
                  </a:graphicData>
                </a:graphic>
              </wp:anchor>
            </w:drawing>
          </mc:Choice>
          <mc:Fallback>
            <w:pict>
              <v:shape w14:anchorId="64441483" id="Ink 34" o:spid="_x0000_s1026" type="#_x0000_t75" style="position:absolute;margin-left:1.6pt;margin-top:4.3pt;width:7.5pt;height:8.1pt;z-index:25166438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fX9uJAQAALAMAAA4AAABkcnMvZTJvRG9jLnhtbJxSy27CMBC8V+o/&#10;WL6XJJBSGpFwKKrEoZRD+wGuYxOrsTdaGwJ/3w2PAq2qSlyi3R17MrPj8WRja7ZW6A24nCe9mDPl&#10;JJTGLXP+/vZ8N+LMB+FKUYNTOd8qzyfF7c24bTLVhwrqUiEjEueztsl5FUKTRZGXlbLC96BRjkAN&#10;aEWgFpdRiaIldltH/TgeRi1g2SBI5T1Np3uQFzt+rZUMr1p7FVid83TQJ3mhKxKShV0xpMkHFcNk&#10;wKNiLLIliqYy8iBJXKHICuNIwDfVVATBVmh+UVkjETzo0JNgI9DaSLXzQ86S+IezmfvsXCWpXGEm&#10;wQXlwkJgOO5uB1zzC1vTBtoXKCkdsQrAD4y0nv/D2IueglxZ0rNPBFUtAj0HX5nG05ozU+YcZ2Vy&#10;0u/WTycHCzz5mq8XyLrzg5QzJyxpIuOMOgrnaH5+eZuQ6AD9xbvRaLtESC7b5Jwy33bfXeBqE5ik&#10;4WiYxgRIQh7T/sN9hx559/eP3dn26chFzud9d/3skRdfAAAA//8DAFBLAwQUAAYACAAAACEAS6A/&#10;j3ACAABBBgAAEAAAAGRycy9pbmsvaW5rMS54bWy0U0tv2zAMvg/YfxC0Qy+RLcmPxEGdnlZgwIYN&#10;awdsR9dREqO2HMjK69+PlB9x1rTYYYMTSiKpj+RH6vbuWJVkr0xT1DqlwuOUKJ3Xy0KvU/rj8Z7N&#10;KGlsppdZWWuV0pNq6N3i/bvbQj9X5RwkAQTd4K4qU7qxdjv3/cPh4B0CrzZrX3Ie+J/085fPdNHd&#10;WqpVoQsLIZteldfaqqNFsHmxTGluj3zwB+yHemdyNZhRY/KzhzVZru5rU2V2QNxkWquS6KyCvH9S&#10;Yk9b2BQQZ60MJVUBBTPpiXAazj4moMiOKR2dd5BiA5lU1L+O+es/YN6/xMS0AjmNp5R0KS3VHnPy&#10;Hefz12v/ZuqtMrZQZ5pbUjrDieTt2fHTEmVUU5c77A0l+6zcAWWCcxiLLrbwrxDyEg+4+ad4wMur&#10;eOPkLqnpyhvz0JE2jFTfWltUCga92g4zZhsARvWDNe45SC4l45IJ/siTeSTmMvSSKBi1opviHvPJ&#10;7JrNgPdkzvPqLANrbWWHYmk3A+nc4zIaWB9zfu3uRhXrjX3zcle4uz3MzpWX6MaJdJV8V6uUfnCP&#10;kbibrcKVEhNBZBhNo8mNuOE3fEI5fhNO4AMpUDIn3947fyacq2hdOwgEQjUsrWzxQIWwkkg0YBbo&#10;N2UiwjNExjNnaIU/yoQEeAN8A1hYFOJPBHF08Yj6vv0tBW46vq5WjbLwSpI49qBlCxlCBtOeGhZe&#10;coNpQEqYjJNdeb0KzX3FuOIBl9Z5TCqLSYz2kGDVTEoSIGrMZuieMBkQ6UIxASCAMiNiImImgehk&#10;1gcZN6hrwQXHLMEof7B0fkOL3wAAAP//AwBQSwMEFAAGAAgAAAAhAH7mNEPYAAAABQEAAA8AAABk&#10;cnMvZG93bnJldi54bWxMjsFOwzAQRO9I/IO1SNyoQ6iqELKpqgJnREHluo23SWi8jmKnCX+Pe4Lj&#10;aEZvXrGebafOPPjWCcL9IgHFUjnTSo3w+fF6l4HygcRQ54QRftjDury+Kig3bpJ3Pu9CrSJEfE4I&#10;TQh9rrWvGrbkF65nid3RDZZCjEOtzUBThNtOp0my0pZaiQ8N9bxtuDrtRouQ2OX0RfuNeTtyvf1+&#10;fD6N1f4F8fZm3jyBCjyHvzFc9KM6lNHp4EYxXnUID2kcImQrUJc2i/GAkC4z0GWh/9uXv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Aun1/biQEAACwDAAAO&#10;AAAAAAAAAAAAAAAAADwCAABkcnMvZTJvRG9jLnhtbFBLAQItABQABgAIAAAAIQBLoD+PcAIAAEEG&#10;AAAQAAAAAAAAAAAAAAAAAPEDAABkcnMvaW5rL2luazEueG1sUEsBAi0AFAAGAAgAAAAhAH7mNEPY&#10;AAAABQEAAA8AAAAAAAAAAAAAAAAAjwYAAGRycy9kb3ducmV2LnhtbFBLAQItABQABgAIAAAAIQB5&#10;GLydvwAAACEBAAAZAAAAAAAAAAAAAAAAAJQHAABkcnMvX3JlbHMvZTJvRG9jLnhtbC5yZWxzUEsF&#10;BgAAAAAGAAYAeAEAAIoIAAAAAA==&#10;">
                <v:imagedata r:id="rId13" o:title=""/>
              </v:shape>
            </w:pict>
          </mc:Fallback>
        </mc:AlternateContent>
      </w:r>
      <w:r w:rsidR="00F33866">
        <w:rPr>
          <w:rFonts w:ascii="Segoe UI Symbol" w:eastAsia="Segoe UI Symbol" w:hAnsi="Segoe UI Symbol" w:cs="Segoe UI Symbol"/>
          <w:b/>
          <w:bCs/>
          <w:color w:val="000000"/>
          <w:sz w:val="24"/>
          <w:szCs w:val="24"/>
        </w:rPr>
        <w:t>☐</w:t>
      </w:r>
      <w:r w:rsidR="00F33866">
        <w:rPr>
          <w:rFonts w:ascii="Arial" w:eastAsia="Arial" w:hAnsi="Arial" w:cs="Arial"/>
          <w:color w:val="000000"/>
          <w:sz w:val="24"/>
          <w:szCs w:val="24"/>
        </w:rPr>
        <w:t xml:space="preserve"> </w:t>
      </w:r>
      <w:proofErr w:type="gramStart"/>
      <w:r w:rsidR="00F33866">
        <w:rPr>
          <w:rFonts w:ascii="Arial" w:eastAsia="Arial" w:hAnsi="Arial" w:cs="Arial"/>
          <w:color w:val="000000"/>
          <w:sz w:val="24"/>
          <w:szCs w:val="24"/>
        </w:rPr>
        <w:t>Non-Confidential</w:t>
      </w:r>
      <w:proofErr w:type="gramEnd"/>
      <w:r w:rsidR="00F33866">
        <w:rPr>
          <w:rFonts w:ascii="Arial" w:eastAsia="Arial" w:hAnsi="Arial" w:cs="Arial"/>
          <w:color w:val="000000"/>
          <w:sz w:val="24"/>
          <w:szCs w:val="24"/>
        </w:rPr>
        <w:t xml:space="preserve"> – will be made publicly available</w:t>
      </w:r>
    </w:p>
    <w:p w14:paraId="70958698" w14:textId="77777777" w:rsidR="006C5BF9" w:rsidRDefault="006C5BF9">
      <w:pPr>
        <w:spacing w:after="0" w:line="22" w:lineRule="atLeast"/>
        <w:rPr>
          <w:rFonts w:ascii="Arial" w:eastAsia="Arial" w:hAnsi="Arial" w:cs="Arial"/>
          <w:color w:val="000000"/>
          <w:sz w:val="24"/>
          <w:szCs w:val="24"/>
        </w:rPr>
      </w:pPr>
    </w:p>
    <w:p w14:paraId="33597460" w14:textId="77777777" w:rsidR="006C5BF9" w:rsidRDefault="00F33866">
      <w:pPr>
        <w:spacing w:after="0" w:line="22" w:lineRule="atLeast"/>
      </w:pPr>
      <w:r>
        <w:rPr>
          <w:rFonts w:ascii="Arial" w:eastAsia="Arial" w:hAnsi="Arial" w:cs="Arial"/>
          <w:color w:val="000000"/>
          <w:sz w:val="24"/>
          <w:szCs w:val="24"/>
        </w:rPr>
        <w:t xml:space="preserve">Please note that you will have to provide </w:t>
      </w:r>
      <w:r>
        <w:rPr>
          <w:rFonts w:ascii="Arial" w:eastAsia="Arial" w:hAnsi="Arial" w:cs="Arial"/>
          <w:b/>
          <w:bCs/>
          <w:color w:val="000000"/>
          <w:sz w:val="24"/>
          <w:szCs w:val="24"/>
        </w:rPr>
        <w:t>two copies of your response</w:t>
      </w:r>
      <w:r>
        <w:rPr>
          <w:rFonts w:ascii="Arial" w:eastAsia="Arial" w:hAnsi="Arial" w:cs="Arial"/>
          <w:color w:val="000000"/>
          <w:sz w:val="24"/>
          <w:szCs w:val="24"/>
        </w:rPr>
        <w:t xml:space="preserve"> – a </w:t>
      </w:r>
      <w:r>
        <w:rPr>
          <w:rFonts w:ascii="Arial" w:eastAsia="Arial" w:hAnsi="Arial" w:cs="Arial"/>
          <w:b/>
          <w:bCs/>
          <w:color w:val="000000"/>
          <w:sz w:val="24"/>
          <w:szCs w:val="24"/>
        </w:rPr>
        <w:t xml:space="preserve">Confidential </w:t>
      </w:r>
      <w:r>
        <w:rPr>
          <w:rFonts w:ascii="Arial" w:eastAsia="Arial" w:hAnsi="Arial" w:cs="Arial"/>
          <w:color w:val="000000"/>
          <w:sz w:val="24"/>
          <w:szCs w:val="24"/>
        </w:rPr>
        <w:t xml:space="preserve">and a </w:t>
      </w:r>
      <w:r>
        <w:rPr>
          <w:rFonts w:ascii="Arial" w:eastAsia="Arial" w:hAnsi="Arial" w:cs="Arial"/>
          <w:b/>
          <w:bCs/>
          <w:color w:val="000000"/>
          <w:sz w:val="24"/>
          <w:szCs w:val="24"/>
        </w:rPr>
        <w:t xml:space="preserve">Non-Confidential version. </w:t>
      </w:r>
      <w:r>
        <w:rPr>
          <w:rFonts w:ascii="Arial" w:eastAsia="Arial" w:hAnsi="Arial" w:cs="Arial"/>
          <w:color w:val="000000"/>
          <w:sz w:val="24"/>
          <w:szCs w:val="24"/>
        </w:rPr>
        <w:t>Both copies should be returned to the TRA using the Trade Remedies Service (</w:t>
      </w:r>
      <w:hyperlink r:id="rId14" w:history="1">
        <w:r>
          <w:rPr>
            <w:rStyle w:val="Hyperlink"/>
            <w:rFonts w:ascii="Arial" w:eastAsia="Arial" w:hAnsi="Arial" w:cs="Arial"/>
            <w:sz w:val="24"/>
            <w:szCs w:val="24"/>
          </w:rPr>
          <w:t>www.trade-remedies.service.gov.uk</w:t>
        </w:r>
      </w:hyperlink>
      <w:r>
        <w:rPr>
          <w:rFonts w:ascii="Arial" w:eastAsia="Arial" w:hAnsi="Arial" w:cs="Arial"/>
          <w:color w:val="000000"/>
          <w:sz w:val="24"/>
          <w:szCs w:val="24"/>
        </w:rPr>
        <w:t xml:space="preserve">) by </w:t>
      </w:r>
      <w:r>
        <w:rPr>
          <w:rFonts w:ascii="Arial" w:eastAsia="Arial" w:hAnsi="Arial" w:cs="Arial"/>
          <w:b/>
          <w:bCs/>
          <w:color w:val="000000"/>
          <w:sz w:val="24"/>
          <w:szCs w:val="24"/>
        </w:rPr>
        <w:t>11 February 2022</w:t>
      </w:r>
      <w:r>
        <w:rPr>
          <w:rFonts w:ascii="Arial" w:eastAsia="Arial" w:hAnsi="Arial" w:cs="Arial"/>
          <w:color w:val="000000"/>
          <w:sz w:val="24"/>
          <w:szCs w:val="24"/>
        </w:rPr>
        <w:t>.</w:t>
      </w:r>
    </w:p>
    <w:p w14:paraId="09D243CC" w14:textId="77777777" w:rsidR="006C5BF9" w:rsidRDefault="006C5BF9"/>
    <w:p w14:paraId="627F9012" w14:textId="77777777" w:rsidR="006C5BF9" w:rsidRDefault="00F33866">
      <w:pPr>
        <w:pStyle w:val="TOCHeading"/>
        <w:jc w:val="center"/>
      </w:pPr>
      <w:bookmarkStart w:id="1" w:name="_Toc53525176"/>
      <w:bookmarkStart w:id="2" w:name="_Toc78880218"/>
      <w:r>
        <w:rPr>
          <w:rFonts w:ascii="Arial" w:hAnsi="Arial" w:cs="Arial"/>
          <w:b/>
          <w:bCs/>
          <w:color w:val="auto"/>
        </w:rPr>
        <w:lastRenderedPageBreak/>
        <w:t>Table of Contents</w:t>
      </w:r>
      <w:bookmarkEnd w:id="1"/>
      <w:bookmarkEnd w:id="2"/>
    </w:p>
    <w:p w14:paraId="52C6EDC3" w14:textId="77777777" w:rsidR="006C5BF9" w:rsidRDefault="00F33866">
      <w:pPr>
        <w:pStyle w:val="TOCHeading"/>
        <w:tabs>
          <w:tab w:val="right" w:leader="dot" w:pos="9360"/>
        </w:tabs>
        <w:jc w:val="center"/>
      </w:pPr>
      <w:r>
        <w:fldChar w:fldCharType="begin"/>
      </w:r>
      <w:r>
        <w:instrText xml:space="preserve"> TOC \o "1-3" \u \h </w:instrText>
      </w:r>
      <w:r>
        <w:fldChar w:fldCharType="separate"/>
      </w:r>
    </w:p>
    <w:p w14:paraId="349C28E8" w14:textId="77777777" w:rsidR="006C5BF9" w:rsidRDefault="006B4C43">
      <w:pPr>
        <w:pStyle w:val="TOC1"/>
        <w:tabs>
          <w:tab w:val="right" w:leader="dot" w:pos="9016"/>
        </w:tabs>
      </w:pPr>
      <w:hyperlink w:anchor="_Toc78880218" w:history="1">
        <w:r w:rsidR="00F33866">
          <w:rPr>
            <w:rStyle w:val="Hyperlink"/>
            <w:rFonts w:ascii="Arial" w:hAnsi="Arial" w:cs="Arial"/>
            <w:b/>
            <w:bCs/>
            <w:sz w:val="24"/>
            <w:szCs w:val="24"/>
          </w:rPr>
          <w:t>Table of Contents</w:t>
        </w:r>
        <w:r w:rsidR="00F33866">
          <w:rPr>
            <w:rFonts w:ascii="Arial" w:hAnsi="Arial" w:cs="Arial"/>
            <w:b/>
            <w:bCs/>
            <w:sz w:val="24"/>
            <w:szCs w:val="24"/>
          </w:rPr>
          <w:tab/>
          <w:t>3</w:t>
        </w:r>
      </w:hyperlink>
    </w:p>
    <w:p w14:paraId="65DA28AA" w14:textId="77777777" w:rsidR="006C5BF9" w:rsidRDefault="006B4C43">
      <w:pPr>
        <w:pStyle w:val="TOC1"/>
        <w:tabs>
          <w:tab w:val="right" w:leader="dot" w:pos="9016"/>
        </w:tabs>
      </w:pPr>
      <w:hyperlink w:anchor="_Toc78880219" w:history="1">
        <w:r w:rsidR="00F33866">
          <w:rPr>
            <w:rStyle w:val="Hyperlink"/>
            <w:rFonts w:ascii="Arial" w:hAnsi="Arial" w:cs="Arial"/>
            <w:b/>
            <w:bCs/>
            <w:sz w:val="24"/>
            <w:szCs w:val="24"/>
          </w:rPr>
          <w:t>Instructions</w:t>
        </w:r>
        <w:r w:rsidR="00F33866">
          <w:rPr>
            <w:rFonts w:ascii="Arial" w:hAnsi="Arial" w:cs="Arial"/>
            <w:b/>
            <w:bCs/>
            <w:sz w:val="24"/>
            <w:szCs w:val="24"/>
          </w:rPr>
          <w:tab/>
          <w:t>4</w:t>
        </w:r>
      </w:hyperlink>
    </w:p>
    <w:p w14:paraId="7D570088" w14:textId="77777777" w:rsidR="006C5BF9" w:rsidRDefault="006B4C43">
      <w:pPr>
        <w:pStyle w:val="TOC3"/>
        <w:tabs>
          <w:tab w:val="right" w:leader="dot" w:pos="9016"/>
        </w:tabs>
      </w:pPr>
      <w:hyperlink w:anchor="_Toc78880220" w:history="1">
        <w:r w:rsidR="00F33866">
          <w:rPr>
            <w:rStyle w:val="Hyperlink"/>
            <w:rFonts w:ascii="Arial" w:hAnsi="Arial" w:cs="Arial"/>
            <w:b/>
            <w:bCs/>
            <w:sz w:val="24"/>
            <w:szCs w:val="24"/>
          </w:rPr>
          <w:t>I – Who should complete this form?</w:t>
        </w:r>
        <w:r w:rsidR="00F33866">
          <w:rPr>
            <w:rFonts w:ascii="Arial" w:hAnsi="Arial" w:cs="Arial"/>
            <w:b/>
            <w:bCs/>
            <w:sz w:val="24"/>
            <w:szCs w:val="24"/>
          </w:rPr>
          <w:tab/>
          <w:t>4</w:t>
        </w:r>
      </w:hyperlink>
    </w:p>
    <w:p w14:paraId="0DBC6E80" w14:textId="77777777" w:rsidR="006C5BF9" w:rsidRDefault="006B4C43">
      <w:pPr>
        <w:pStyle w:val="TOC3"/>
        <w:tabs>
          <w:tab w:val="right" w:leader="dot" w:pos="9016"/>
        </w:tabs>
      </w:pPr>
      <w:hyperlink w:anchor="_Toc78880222" w:history="1">
        <w:r w:rsidR="00F33866">
          <w:rPr>
            <w:rStyle w:val="Hyperlink"/>
            <w:rFonts w:ascii="Arial" w:hAnsi="Arial" w:cs="Arial"/>
            <w:b/>
            <w:bCs/>
            <w:sz w:val="24"/>
            <w:szCs w:val="24"/>
            <w:lang w:eastAsia="zh-CN"/>
          </w:rPr>
          <w:t>II – Note about confidentiality</w:t>
        </w:r>
        <w:r w:rsidR="00F33866">
          <w:rPr>
            <w:rFonts w:ascii="Arial" w:hAnsi="Arial" w:cs="Arial"/>
            <w:b/>
            <w:bCs/>
            <w:sz w:val="24"/>
            <w:szCs w:val="24"/>
          </w:rPr>
          <w:tab/>
          <w:t>4</w:t>
        </w:r>
      </w:hyperlink>
    </w:p>
    <w:p w14:paraId="10E7D92E" w14:textId="77777777" w:rsidR="006C5BF9" w:rsidRDefault="006B4C43">
      <w:pPr>
        <w:pStyle w:val="TOC1"/>
        <w:tabs>
          <w:tab w:val="right" w:leader="dot" w:pos="9016"/>
        </w:tabs>
      </w:pPr>
      <w:hyperlink w:anchor="_Toc78880223" w:history="1">
        <w:r w:rsidR="00F33866">
          <w:rPr>
            <w:rStyle w:val="Hyperlink"/>
            <w:rFonts w:ascii="Arial" w:hAnsi="Arial" w:cs="Arial"/>
            <w:b/>
            <w:bCs/>
            <w:sz w:val="24"/>
            <w:szCs w:val="24"/>
          </w:rPr>
          <w:t>Section A – Your organisation’s interest in the case</w:t>
        </w:r>
        <w:r w:rsidR="00F33866">
          <w:rPr>
            <w:rFonts w:ascii="Arial" w:hAnsi="Arial" w:cs="Arial"/>
            <w:b/>
            <w:bCs/>
            <w:sz w:val="24"/>
            <w:szCs w:val="24"/>
          </w:rPr>
          <w:tab/>
          <w:t>5</w:t>
        </w:r>
      </w:hyperlink>
    </w:p>
    <w:p w14:paraId="2983616D" w14:textId="77777777" w:rsidR="006C5BF9" w:rsidRDefault="006B4C43">
      <w:pPr>
        <w:pStyle w:val="TOC1"/>
        <w:tabs>
          <w:tab w:val="right" w:leader="dot" w:pos="9016"/>
        </w:tabs>
      </w:pPr>
      <w:hyperlink w:anchor="_Toc78880224" w:history="1">
        <w:r w:rsidR="00F33866">
          <w:rPr>
            <w:rStyle w:val="Hyperlink"/>
            <w:rFonts w:ascii="Arial" w:hAnsi="Arial" w:cs="Arial"/>
            <w:b/>
            <w:bCs/>
            <w:sz w:val="24"/>
            <w:szCs w:val="24"/>
          </w:rPr>
          <w:t>Section B – Additional information</w:t>
        </w:r>
        <w:r w:rsidR="00F33866">
          <w:rPr>
            <w:rFonts w:ascii="Arial" w:hAnsi="Arial" w:cs="Arial"/>
            <w:b/>
            <w:bCs/>
            <w:sz w:val="24"/>
            <w:szCs w:val="24"/>
          </w:rPr>
          <w:tab/>
          <w:t>6</w:t>
        </w:r>
      </w:hyperlink>
    </w:p>
    <w:p w14:paraId="303D506A" w14:textId="77777777" w:rsidR="006C5BF9" w:rsidRDefault="006B4C43">
      <w:pPr>
        <w:pStyle w:val="TOC1"/>
        <w:tabs>
          <w:tab w:val="right" w:leader="dot" w:pos="9016"/>
        </w:tabs>
      </w:pPr>
      <w:hyperlink w:anchor="_Toc78880225" w:history="1">
        <w:r w:rsidR="00F33866">
          <w:rPr>
            <w:rStyle w:val="Hyperlink"/>
            <w:rFonts w:ascii="Arial" w:hAnsi="Arial" w:cs="Arial"/>
            <w:b/>
            <w:bCs/>
            <w:sz w:val="24"/>
            <w:szCs w:val="24"/>
          </w:rPr>
          <w:t>Section C – Certification</w:t>
        </w:r>
        <w:r w:rsidR="00F33866">
          <w:rPr>
            <w:rFonts w:ascii="Arial" w:hAnsi="Arial" w:cs="Arial"/>
            <w:b/>
            <w:bCs/>
            <w:sz w:val="24"/>
            <w:szCs w:val="24"/>
          </w:rPr>
          <w:tab/>
          <w:t>7</w:t>
        </w:r>
      </w:hyperlink>
    </w:p>
    <w:p w14:paraId="3B42C6BA" w14:textId="77777777" w:rsidR="006C5BF9" w:rsidRDefault="00F33866">
      <w:r>
        <w:fldChar w:fldCharType="end"/>
      </w:r>
    </w:p>
    <w:p w14:paraId="0BCEADB5" w14:textId="77777777" w:rsidR="006C5BF9" w:rsidRDefault="006C5BF9"/>
    <w:p w14:paraId="12EAADF5" w14:textId="77777777" w:rsidR="006C5BF9" w:rsidRDefault="006C5BF9">
      <w:pPr>
        <w:pStyle w:val="Heading3"/>
        <w:rPr>
          <w:sz w:val="32"/>
        </w:rPr>
      </w:pPr>
    </w:p>
    <w:p w14:paraId="50204221" w14:textId="77777777" w:rsidR="006C5BF9" w:rsidRDefault="006C5BF9">
      <w:pPr>
        <w:pageBreakBefore/>
        <w:suppressAutoHyphens w:val="0"/>
        <w:rPr>
          <w:rFonts w:ascii="Arial" w:eastAsia="Times New Roman" w:hAnsi="Arial"/>
          <w:b/>
          <w:sz w:val="32"/>
          <w:szCs w:val="26"/>
        </w:rPr>
      </w:pPr>
    </w:p>
    <w:p w14:paraId="0095D9B0" w14:textId="77777777" w:rsidR="006C5BF9" w:rsidRDefault="00F33866">
      <w:pPr>
        <w:pStyle w:val="Heading1"/>
        <w:rPr>
          <w:rFonts w:ascii="Arial" w:hAnsi="Arial" w:cs="Arial"/>
          <w:b/>
          <w:bCs/>
          <w:color w:val="auto"/>
        </w:rPr>
      </w:pPr>
      <w:bookmarkStart w:id="3" w:name="_Toc32519544"/>
      <w:bookmarkStart w:id="4" w:name="_Toc53524891"/>
      <w:bookmarkStart w:id="5" w:name="_Toc78880219"/>
      <w:r>
        <w:rPr>
          <w:rFonts w:ascii="Arial" w:hAnsi="Arial" w:cs="Arial"/>
          <w:b/>
          <w:bCs/>
          <w:color w:val="auto"/>
        </w:rPr>
        <w:t>Instructions</w:t>
      </w:r>
      <w:bookmarkEnd w:id="3"/>
      <w:bookmarkEnd w:id="4"/>
      <w:bookmarkEnd w:id="5"/>
    </w:p>
    <w:p w14:paraId="0FCCE56B" w14:textId="77777777" w:rsidR="006C5BF9" w:rsidRDefault="006C5BF9"/>
    <w:p w14:paraId="428A015B" w14:textId="77777777" w:rsidR="006C5BF9" w:rsidRDefault="00F33866">
      <w:pPr>
        <w:pStyle w:val="Heading3"/>
      </w:pPr>
      <w:bookmarkStart w:id="6" w:name="_Toc78880220"/>
      <w:r>
        <w:t>I – Who should complete this form?</w:t>
      </w:r>
      <w:bookmarkEnd w:id="6"/>
    </w:p>
    <w:p w14:paraId="4362C9FA" w14:textId="77777777" w:rsidR="006C5BF9" w:rsidRDefault="006C5BF9">
      <w:pPr>
        <w:keepNext/>
        <w:keepLines/>
        <w:spacing w:before="40" w:after="0"/>
        <w:outlineLvl w:val="1"/>
        <w:rPr>
          <w:rFonts w:ascii="Arial" w:eastAsia="Times New Roman" w:hAnsi="Arial" w:cs="Arial"/>
          <w:color w:val="000000"/>
          <w:sz w:val="24"/>
          <w:szCs w:val="24"/>
          <w:lang w:eastAsia="en-GB"/>
        </w:rPr>
      </w:pPr>
    </w:p>
    <w:p w14:paraId="3FEB49BF" w14:textId="77777777" w:rsidR="006C5BF9" w:rsidRDefault="00F33866">
      <w:pPr>
        <w:keepNext/>
        <w:keepLines/>
        <w:spacing w:before="40" w:after="0"/>
        <w:outlineLvl w:val="1"/>
        <w:rPr>
          <w:rFonts w:ascii="Arial" w:eastAsia="Times New Roman" w:hAnsi="Arial" w:cs="Arial"/>
          <w:color w:val="000000"/>
          <w:sz w:val="24"/>
          <w:szCs w:val="24"/>
          <w:lang w:eastAsia="en-GB"/>
        </w:rPr>
      </w:pPr>
      <w:bookmarkStart w:id="7" w:name="_Toc78880221"/>
      <w:r>
        <w:rPr>
          <w:rFonts w:ascii="Arial" w:eastAsia="Times New Roman" w:hAnsi="Arial" w:cs="Arial"/>
          <w:color w:val="000000"/>
          <w:sz w:val="24"/>
          <w:szCs w:val="24"/>
          <w:lang w:eastAsia="en-GB"/>
        </w:rPr>
        <w:t xml:space="preserve">You should complete this form if you </w:t>
      </w:r>
      <w:proofErr w:type="gramStart"/>
      <w:r>
        <w:rPr>
          <w:rFonts w:ascii="Arial" w:eastAsia="Times New Roman" w:hAnsi="Arial" w:cs="Arial"/>
          <w:color w:val="000000"/>
          <w:sz w:val="24"/>
          <w:szCs w:val="24"/>
          <w:lang w:eastAsia="en-GB"/>
        </w:rPr>
        <w:t>are would like</w:t>
      </w:r>
      <w:proofErr w:type="gramEnd"/>
      <w:r>
        <w:rPr>
          <w:rFonts w:ascii="Arial" w:eastAsia="Times New Roman" w:hAnsi="Arial" w:cs="Arial"/>
          <w:color w:val="000000"/>
          <w:sz w:val="24"/>
          <w:szCs w:val="24"/>
          <w:lang w:eastAsia="en-GB"/>
        </w:rPr>
        <w:t xml:space="preserve"> to register your interest in this case.</w:t>
      </w:r>
      <w:bookmarkEnd w:id="7"/>
    </w:p>
    <w:p w14:paraId="4078FAA1" w14:textId="77777777" w:rsidR="006C5BF9" w:rsidRDefault="006C5BF9">
      <w:pPr>
        <w:keepNext/>
        <w:keepLines/>
        <w:spacing w:before="40" w:after="0"/>
        <w:outlineLvl w:val="1"/>
        <w:rPr>
          <w:rFonts w:ascii="Arial" w:eastAsia="Times New Roman" w:hAnsi="Arial" w:cs="Arial"/>
          <w:color w:val="000000"/>
          <w:sz w:val="24"/>
          <w:szCs w:val="24"/>
          <w:lang w:eastAsia="en-GB"/>
        </w:rPr>
      </w:pPr>
    </w:p>
    <w:p w14:paraId="7C33CEF2" w14:textId="77777777" w:rsidR="006C5BF9" w:rsidRDefault="00F33866">
      <w:pPr>
        <w:pStyle w:val="Heading3"/>
        <w:rPr>
          <w:rFonts w:cs="Arial"/>
          <w:lang w:eastAsia="zh-CN"/>
        </w:rPr>
      </w:pPr>
      <w:bookmarkStart w:id="8" w:name="_Toc32519549"/>
      <w:bookmarkStart w:id="9" w:name="_Toc53524892"/>
      <w:bookmarkStart w:id="10" w:name="_Toc53524939"/>
      <w:bookmarkStart w:id="11" w:name="_Toc53525039"/>
      <w:bookmarkStart w:id="12" w:name="_Toc78880222"/>
      <w:r>
        <w:rPr>
          <w:rFonts w:cs="Arial"/>
          <w:lang w:eastAsia="zh-CN"/>
        </w:rPr>
        <w:t>II – Note about confidentiality</w:t>
      </w:r>
      <w:bookmarkEnd w:id="8"/>
      <w:bookmarkEnd w:id="9"/>
      <w:bookmarkEnd w:id="10"/>
      <w:bookmarkEnd w:id="11"/>
      <w:bookmarkEnd w:id="12"/>
    </w:p>
    <w:p w14:paraId="6A971FA9" w14:textId="77777777" w:rsidR="006C5BF9" w:rsidRDefault="00F33866">
      <w:pPr>
        <w:pStyle w:val="NormalWeb"/>
        <w:rPr>
          <w:rFonts w:ascii="Arial" w:hAnsi="Arial" w:cs="Arial"/>
          <w:color w:val="000000"/>
        </w:rPr>
      </w:pPr>
      <w:r>
        <w:rPr>
          <w:rFonts w:ascii="Arial" w:hAnsi="Arial" w:cs="Arial"/>
          <w:color w:val="000000"/>
        </w:rPr>
        <w:t>You will need to submit one confidential version and one non-confidential version of this document. Please ensure that each page of information you provide is clearly marked either “Confidential” or “Non-Confidential” in the header. It is your responsibility to ensure that the non-confidential version does not contain any confidential information.</w:t>
      </w:r>
    </w:p>
    <w:p w14:paraId="42A67913" w14:textId="77777777" w:rsidR="006C5BF9" w:rsidRDefault="00F33866">
      <w:pPr>
        <w:pStyle w:val="NormalWeb"/>
      </w:pPr>
      <w:r>
        <w:rPr>
          <w:rFonts w:ascii="Arial" w:hAnsi="Arial" w:cs="Arial"/>
          <w:color w:val="000000"/>
        </w:rPr>
        <w:t xml:space="preserve">Please see </w:t>
      </w:r>
      <w:hyperlink r:id="rId15" w:anchor="how-we-handle-confidential-information" w:history="1">
        <w:r>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document.</w:t>
      </w:r>
    </w:p>
    <w:p w14:paraId="077FB036" w14:textId="77777777" w:rsidR="006C5BF9" w:rsidRDefault="00F33866">
      <w:pPr>
        <w:pStyle w:val="NormalWeb"/>
        <w:rPr>
          <w:rFonts w:ascii="Arial" w:hAnsi="Arial" w:cs="Arial"/>
          <w:color w:val="000000"/>
        </w:rPr>
      </w:pPr>
      <w:r>
        <w:rPr>
          <w:rFonts w:ascii="Arial" w:hAnsi="Arial" w:cs="Arial"/>
          <w:color w:val="000000"/>
        </w:rPr>
        <w:t>All information provided to the Trade Remedies Authority (TRA) in confidence will be treated accordingly and only used for this investigation (except in limited circumstance as permitted by regulation 17 of the Trade Remedies (Increase in Imports Causing Serious Injury to UK Producers) (EU Exit) Regulations 2019) and will be stored in protected systems.</w:t>
      </w:r>
    </w:p>
    <w:p w14:paraId="4897C715" w14:textId="77777777" w:rsidR="006C5BF9" w:rsidRDefault="00F33866">
      <w:pPr>
        <w:pStyle w:val="NormalWeb"/>
      </w:pPr>
      <w:r>
        <w:rPr>
          <w:rFonts w:ascii="Arial" w:hAnsi="Arial" w:cs="Arial"/>
          <w:color w:val="000000"/>
        </w:rPr>
        <w:t xml:space="preserve">The non-confidential version of your submission will be placed on the public file, which is available at </w:t>
      </w:r>
      <w:hyperlink r:id="rId16" w:history="1">
        <w:r>
          <w:rPr>
            <w:rStyle w:val="Hyperlink"/>
            <w:rFonts w:ascii="Arial" w:hAnsi="Arial" w:cs="Arial"/>
          </w:rPr>
          <w:t>www.trade-remedies.service.gov.uk/public/cases</w:t>
        </w:r>
      </w:hyperlink>
      <w:r>
        <w:rPr>
          <w:rFonts w:ascii="Arial" w:hAnsi="Arial" w:cs="Arial"/>
          <w:color w:val="000000"/>
        </w:rPr>
        <w:t>.</w:t>
      </w:r>
    </w:p>
    <w:p w14:paraId="01BD44B4" w14:textId="77777777" w:rsidR="006C5BF9" w:rsidRDefault="006C5BF9">
      <w:pPr>
        <w:keepNext/>
        <w:keepLines/>
        <w:spacing w:before="40" w:after="0"/>
        <w:outlineLvl w:val="1"/>
        <w:rPr>
          <w:rFonts w:ascii="Arial" w:eastAsia="Times New Roman" w:hAnsi="Arial"/>
          <w:b/>
          <w:sz w:val="32"/>
          <w:szCs w:val="26"/>
        </w:rPr>
      </w:pPr>
    </w:p>
    <w:p w14:paraId="55015939" w14:textId="77777777" w:rsidR="006C5BF9" w:rsidRDefault="006C5BF9">
      <w:pPr>
        <w:pageBreakBefore/>
        <w:suppressAutoHyphens w:val="0"/>
        <w:rPr>
          <w:rFonts w:ascii="Arial" w:eastAsia="Times New Roman" w:hAnsi="Arial"/>
          <w:b/>
          <w:sz w:val="32"/>
          <w:szCs w:val="26"/>
        </w:rPr>
      </w:pPr>
    </w:p>
    <w:p w14:paraId="2FC8C384" w14:textId="77777777" w:rsidR="006C5BF9" w:rsidRDefault="00F33866">
      <w:pPr>
        <w:pStyle w:val="Heading1"/>
        <w:rPr>
          <w:rFonts w:ascii="Arial" w:hAnsi="Arial" w:cs="Arial"/>
          <w:b/>
          <w:bCs/>
          <w:color w:val="auto"/>
        </w:rPr>
      </w:pPr>
      <w:bookmarkStart w:id="13" w:name="_Toc53524893"/>
      <w:bookmarkStart w:id="14" w:name="_Toc78880223"/>
      <w:r>
        <w:rPr>
          <w:rFonts w:ascii="Arial" w:hAnsi="Arial" w:cs="Arial"/>
          <w:b/>
          <w:bCs/>
          <w:color w:val="auto"/>
        </w:rPr>
        <w:t xml:space="preserve">Section A – Your </w:t>
      </w:r>
      <w:bookmarkEnd w:id="0"/>
      <w:r>
        <w:rPr>
          <w:rFonts w:ascii="Arial" w:hAnsi="Arial" w:cs="Arial"/>
          <w:b/>
          <w:bCs/>
          <w:color w:val="auto"/>
        </w:rPr>
        <w:t xml:space="preserve">organisation’s interest in the </w:t>
      </w:r>
      <w:bookmarkEnd w:id="13"/>
      <w:bookmarkEnd w:id="14"/>
      <w:r>
        <w:rPr>
          <w:rFonts w:ascii="Arial" w:hAnsi="Arial" w:cs="Arial"/>
          <w:b/>
          <w:bCs/>
          <w:color w:val="auto"/>
        </w:rPr>
        <w:t>review</w:t>
      </w:r>
    </w:p>
    <w:p w14:paraId="44016755" w14:textId="77777777" w:rsidR="006C5BF9" w:rsidRDefault="006C5BF9">
      <w:pPr>
        <w:spacing w:after="0" w:line="22" w:lineRule="atLeast"/>
        <w:rPr>
          <w:rFonts w:eastAsia="Arial" w:cs="Arial"/>
          <w:sz w:val="24"/>
          <w:szCs w:val="24"/>
        </w:rPr>
      </w:pPr>
    </w:p>
    <w:p w14:paraId="04E6138E" w14:textId="77777777" w:rsidR="006C5BF9" w:rsidRDefault="00F33866">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review, please complete the text boxes below. You should use this form if you are an interested party or contributor including foreign government. For a definition of goods subject to review, please refer to the Notice of Initiation. </w:t>
      </w:r>
    </w:p>
    <w:p w14:paraId="0988E2BD" w14:textId="77777777" w:rsidR="006C5BF9" w:rsidRDefault="006C5BF9">
      <w:pPr>
        <w:spacing w:after="0" w:line="22" w:lineRule="atLeast"/>
        <w:rPr>
          <w:rFonts w:ascii="Arial" w:eastAsia="Arial" w:hAnsi="Arial" w:cs="Arial"/>
          <w:sz w:val="24"/>
          <w:szCs w:val="24"/>
        </w:rPr>
      </w:pPr>
    </w:p>
    <w:p w14:paraId="636F3052" w14:textId="77777777" w:rsidR="006C5BF9" w:rsidRDefault="00F33866">
      <w:pPr>
        <w:spacing w:after="0" w:line="22" w:lineRule="atLeast"/>
        <w:rPr>
          <w:rFonts w:ascii="Arial" w:eastAsia="Arial" w:hAnsi="Arial" w:cs="Arial"/>
          <w:sz w:val="24"/>
          <w:szCs w:val="24"/>
        </w:rPr>
      </w:pPr>
      <w:r>
        <w:rPr>
          <w:rFonts w:ascii="Arial" w:eastAsia="Arial" w:hAnsi="Arial" w:cs="Arial"/>
          <w:sz w:val="24"/>
          <w:szCs w:val="24"/>
        </w:rPr>
        <w:t>Please describe your role with regards to the goods subject to review:</w:t>
      </w:r>
    </w:p>
    <w:p w14:paraId="3B9D9474" w14:textId="77777777" w:rsidR="006C5BF9" w:rsidRDefault="00F33866">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30825E8A" wp14:editId="1471A00A">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F9F5676" w14:textId="7D52608B" w:rsidR="006C5BF9" w:rsidRDefault="003B2588">
                            <w:pPr>
                              <w:rPr>
                                <w:rFonts w:cs="Arial"/>
                                <w:i/>
                                <w:color w:val="808080"/>
                              </w:rPr>
                            </w:pPr>
                            <w:r>
                              <w:rPr>
                                <w:rFonts w:cs="Arial"/>
                              </w:rPr>
                              <w:t xml:space="preserve">Black Country Consortium Ltd provides the strategic and delivery capacity of the Black Country Local Enterprise Partnership (LEP), covering the four local authority areas of Wolverhampton, Walsall, </w:t>
                            </w:r>
                            <w:proofErr w:type="gramStart"/>
                            <w:r>
                              <w:rPr>
                                <w:rFonts w:cs="Arial"/>
                              </w:rPr>
                              <w:t>Sandwell</w:t>
                            </w:r>
                            <w:proofErr w:type="gramEnd"/>
                            <w:r>
                              <w:rPr>
                                <w:rFonts w:cs="Arial"/>
                              </w:rPr>
                              <w:t xml:space="preserve"> and Dudley. We take an industry-led, evidence focused approach to economic development strategy and action, representing local businesses to grasp opportunities and mitigate issues. We also lead the metals and materials sector at the regional (West Midlands Combined Authority) level via a West Midlands Metals and Materials Forum. The Forum brings together businesses, trade associations and universities from what is a critically important sector in the region. The issue of current steel safeguarding measures was raised at the Metals and Materials Forum among other local channels, with businesses raising the need for representation and change</w:t>
                            </w:r>
                            <w:r>
                              <w:rPr>
                                <w:rFonts w:cs="Arial"/>
                              </w:rPr>
                              <w:t>.</w:t>
                            </w:r>
                          </w:p>
                          <w:p w14:paraId="4EC4EEDE" w14:textId="77777777" w:rsidR="006C5BF9" w:rsidRDefault="006C5BF9">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30825E8A"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d+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A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Mvpk4/eAAAABwEAAA8AAABkcnMv&#10;ZG93bnJldi54bWxMjzFPwzAUhHck/oP1kFgQdQolTUNeqpSKpUwUho5u/Egi4ucQO63595gJxtOd&#10;7r4r1sH04kSj6ywjzGcJCOLa6o4bhPe359sMhPOKteotE8I3OViXlxeFyrU98yud9r4RsYRdrhBa&#10;74dcSle3ZJSb2YE4eh92NMpHOTZSj+ocy00v75IklUZ1HBdaNdBTS/XnfjIIh/CyTDeb7YMOvtp9&#10;bbOp6g83iNdXoXoE4Sn4vzD84kd0KCPT0U6snegR4hGPsEiXIKKbrbIFiCPCfbqagywL+Z+//AEA&#10;AP//AwBQSwECLQAUAAYACAAAACEAtoM4kv4AAADhAQAAEwAAAAAAAAAAAAAAAAAAAAAAW0NvbnRl&#10;bnRfVHlwZXNdLnhtbFBLAQItABQABgAIAAAAIQA4/SH/1gAAAJQBAAALAAAAAAAAAAAAAAAAAC8B&#10;AABfcmVscy8ucmVsc1BLAQItABQABgAIAAAAIQAXYocd+AEAAPkDAAAOAAAAAAAAAAAAAAAAAC4C&#10;AABkcnMvZTJvRG9jLnhtbFBLAQItABQABgAIAAAAIQDL6ZOP3gAAAAcBAAAPAAAAAAAAAAAAAAAA&#10;AFIEAABkcnMvZG93bnJldi54bWxQSwUGAAAAAAQABADzAAAAXQUAAAAA&#10;" strokeweight=".26467mm">
                <v:textbox>
                  <w:txbxContent>
                    <w:p w14:paraId="6F9F5676" w14:textId="7D52608B" w:rsidR="006C5BF9" w:rsidRDefault="003B2588">
                      <w:pPr>
                        <w:rPr>
                          <w:rFonts w:cs="Arial"/>
                          <w:i/>
                          <w:color w:val="808080"/>
                        </w:rPr>
                      </w:pPr>
                      <w:r>
                        <w:rPr>
                          <w:rFonts w:cs="Arial"/>
                        </w:rPr>
                        <w:t xml:space="preserve">Black Country Consortium Ltd provides the strategic and delivery capacity of the Black Country Local Enterprise Partnership (LEP), covering the four local authority areas of Wolverhampton, Walsall, </w:t>
                      </w:r>
                      <w:proofErr w:type="gramStart"/>
                      <w:r>
                        <w:rPr>
                          <w:rFonts w:cs="Arial"/>
                        </w:rPr>
                        <w:t>Sandwell</w:t>
                      </w:r>
                      <w:proofErr w:type="gramEnd"/>
                      <w:r>
                        <w:rPr>
                          <w:rFonts w:cs="Arial"/>
                        </w:rPr>
                        <w:t xml:space="preserve"> and Dudley. We take an industry-led, evidence focused approach to economic development strategy and action, representing local businesses to grasp opportunities and mitigate issues. We also lead the metals and materials sector at the regional (West Midlands Combined Authority) level via a West Midlands Metals and Materials Forum. The Forum brings together businesses, trade associations and universities from what is a critically important sector in the region. The issue of current steel safeguarding measures was raised at the Metals and Materials Forum among other local channels, with businesses raising the need for representation and change</w:t>
                      </w:r>
                      <w:r>
                        <w:rPr>
                          <w:rFonts w:cs="Arial"/>
                        </w:rPr>
                        <w:t>.</w:t>
                      </w:r>
                    </w:p>
                    <w:p w14:paraId="4EC4EEDE" w14:textId="77777777" w:rsidR="006C5BF9" w:rsidRDefault="006C5BF9">
                      <w:pPr>
                        <w:rPr>
                          <w:rFonts w:cs="Arial"/>
                        </w:rPr>
                      </w:pPr>
                    </w:p>
                  </w:txbxContent>
                </v:textbox>
                <w10:wrap type="square" anchorx="margin"/>
              </v:shape>
            </w:pict>
          </mc:Fallback>
        </mc:AlternateContent>
      </w:r>
    </w:p>
    <w:p w14:paraId="2754F7BD" w14:textId="77777777" w:rsidR="006C5BF9" w:rsidRDefault="006C5BF9">
      <w:pPr>
        <w:spacing w:line="22" w:lineRule="atLeast"/>
        <w:rPr>
          <w:rFonts w:ascii="Arial" w:hAnsi="Arial" w:cs="Arial"/>
          <w:sz w:val="24"/>
          <w:szCs w:val="24"/>
        </w:rPr>
      </w:pPr>
    </w:p>
    <w:p w14:paraId="01B0E016" w14:textId="77777777" w:rsidR="006C5BF9" w:rsidRDefault="00F33866">
      <w:pPr>
        <w:spacing w:line="22" w:lineRule="atLeast"/>
      </w:pPr>
      <w:r>
        <w:rPr>
          <w:rFonts w:ascii="Arial" w:hAnsi="Arial" w:cs="Arial"/>
          <w:sz w:val="24"/>
          <w:szCs w:val="24"/>
        </w:rPr>
        <w:t>Please describe your interest in this review:</w:t>
      </w:r>
    </w:p>
    <w:p w14:paraId="799157F9" w14:textId="77777777" w:rsidR="006C5BF9" w:rsidRDefault="00F33866">
      <w:pPr>
        <w:spacing w:line="22" w:lineRule="atLeast"/>
      </w:pPr>
      <w:r>
        <w:rPr>
          <w:noProof/>
        </w:rPr>
        <mc:AlternateContent>
          <mc:Choice Requires="wps">
            <w:drawing>
              <wp:anchor distT="0" distB="0" distL="114300" distR="114300" simplePos="0" relativeHeight="251658241" behindDoc="0" locked="0" layoutInCell="1" allowOverlap="1" wp14:anchorId="6615532E" wp14:editId="1F8433AF">
                <wp:simplePos x="0" y="0"/>
                <wp:positionH relativeFrom="margin">
                  <wp:align>left</wp:align>
                </wp:positionH>
                <wp:positionV relativeFrom="paragraph">
                  <wp:posOffset>196211</wp:posOffset>
                </wp:positionV>
                <wp:extent cx="5704840" cy="2431415"/>
                <wp:effectExtent l="0" t="0" r="10160" b="26035"/>
                <wp:wrapSquare wrapText="bothSides"/>
                <wp:docPr id="3" name="Text Box 4"/>
                <wp:cNvGraphicFramePr/>
                <a:graphic xmlns:a="http://schemas.openxmlformats.org/drawingml/2006/main">
                  <a:graphicData uri="http://schemas.microsoft.com/office/word/2010/wordprocessingShape">
                    <wps:wsp>
                      <wps:cNvSpPr txBox="1"/>
                      <wps:spPr>
                        <a:xfrm>
                          <a:off x="0" y="0"/>
                          <a:ext cx="5704840" cy="2431472"/>
                        </a:xfrm>
                        <a:prstGeom prst="rect">
                          <a:avLst/>
                        </a:prstGeom>
                        <a:solidFill>
                          <a:srgbClr val="FFFFFF"/>
                        </a:solidFill>
                        <a:ln w="9528">
                          <a:solidFill>
                            <a:srgbClr val="000000"/>
                          </a:solidFill>
                          <a:prstDash val="solid"/>
                        </a:ln>
                      </wps:spPr>
                      <wps:txbx>
                        <w:txbxContent>
                          <w:p w14:paraId="347FDBDC" w14:textId="25C0C253" w:rsidR="006C5BF9" w:rsidRDefault="001326B4">
                            <w:pPr>
                              <w:rPr>
                                <w:rFonts w:cs="Arial"/>
                              </w:rPr>
                            </w:pPr>
                            <w:r>
                              <w:rPr>
                                <w:rFonts w:cs="Arial"/>
                              </w:rPr>
                              <w:t xml:space="preserve">Given the importance of the metals and materials industry locally, and our role as sector lead at the West Midlands level, part of the LEP / Consortium’s role is to represent the interest of business. This is particularly pertinent when multiple firms report a policy issue, backed up by clear evidence. Our aim as an organisation is to drive economic growth and prosperity in the Black Country, steering the success of key sectors such as manufacturing. Therefore, a key issue such as steel safeguarding is something we must look to address for the good of our business base </w:t>
                            </w:r>
                            <w:proofErr w:type="gramStart"/>
                            <w:r>
                              <w:rPr>
                                <w:rFonts w:cs="Arial"/>
                              </w:rPr>
                              <w:t>in order to</w:t>
                            </w:r>
                            <w:proofErr w:type="gramEnd"/>
                            <w:r>
                              <w:rPr>
                                <w:rFonts w:cs="Arial"/>
                              </w:rPr>
                              <w:t xml:space="preserve"> protect investment, jobs and productivity. We have also worked closely with other representative bodies including Black Country Chamber of Commerce and the Confederation for British Metalforming regarding this case. These efforts so far have involved political engagement locally through a briefing note and letter, </w:t>
                            </w:r>
                            <w:r>
                              <w:rPr>
                                <w:rFonts w:cs="Arial"/>
                              </w:rPr>
                              <w:t>and via submission to the</w:t>
                            </w:r>
                            <w:r>
                              <w:rPr>
                                <w:rFonts w:cs="Arial"/>
                              </w:rPr>
                              <w:t xml:space="preserve"> TRA’s “reconsideration” </w:t>
                            </w:r>
                            <w:r>
                              <w:rPr>
                                <w:rFonts w:cs="Arial"/>
                              </w:rPr>
                              <w:t xml:space="preserve">(Case TF0006) – including reference to Category 4 steel goods (metallic coated sheets): </w:t>
                            </w:r>
                            <w:r>
                              <w:rPr>
                                <w:rFonts w:cs="Arial"/>
                              </w:rPr>
                              <w:t xml:space="preserve"> </w:t>
                            </w:r>
                            <w:hyperlink r:id="rId17" w:history="1">
                              <w:r w:rsidRPr="00012E0B">
                                <w:rPr>
                                  <w:rStyle w:val="Hyperlink"/>
                                  <w:rFonts w:cs="Arial"/>
                                </w:rPr>
                                <w:t>https://www.gov.uk/government/news/tra-to-reconsider-findings-of-steel-safeguard-transition-review</w:t>
                              </w:r>
                            </w:hyperlink>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6615532E" id="Text Box 4" o:spid="_x0000_s1027" type="#_x0000_t202" style="position:absolute;margin-left:0;margin-top:15.45pt;width:449.2pt;height:191.45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1Q+gEAAAAEAAAOAAAAZHJzL2Uyb0RvYy54bWysU1Fv2yAQfp+0/4B4X+y4zpJaIdXWKNOk&#10;apuU7gdgDDESBgYkdvbrd2A3Tbc9VeUBc/edP+6+O9Z3Q6fQiTsvjSZ4Pssx4pqZRuoDwT8fdx9W&#10;GPlAdUOV0ZzgM/f4bvP+3bq3FS9Ma1TDHQIS7aveEtyGYKss86zlHfUzY7kGUBjX0QCmO2SNoz2w&#10;dyor8vxj1hvXWGcY9x682xHEm8QvBGfhuxCeB6QIhtxC2l3a67hnmzWtDo7aVrIpDfqKLDoqNVx6&#10;odrSQNHRyX+oOsmc8UaEGTNdZoSQjKcaoJp5/lc1+5ZanmoBcby9yOTfjpZ9O/1wSDYE32CkaQct&#10;euRDQJ/NgMqoTm99BUF7C2FhADd0+cnvwRmLHoTr4hfKQYCDzueLtpGMgXOxzMtVCRADrChv5uWy&#10;iDzZ8+/W+fCFmw7FA8EOmpc0pacHH8bQp5B4mzdKNjupVDLcob5XDp0oNHqX1sT+Ikxp1BN8uyhW&#10;ifkF5q8p8rT+RxFT2FLfjlclhilMaSgn6jXqEk9hqIek7kWz2jRnkBKeDJTYGvcbox7Gj2D/60gd&#10;x0h91dDf23kZxQrJKBfLAgx3jdTXCNUMqAgOGI3H+zDOOAyZpeFB7y2LHYlKafPpGIyQSdGY45jR&#10;lDqMWerJ9CTiHF/bKer54W7+AAAA//8DAFBLAwQUAAYACAAAACEAXouBy94AAAAHAQAADwAAAGRy&#10;cy9kb3ducmV2LnhtbEyPP0/DMBTEdyS+g/WQWBB1SktxQ16qlIqlTLQdOrrxI4nwnxA7rfn2mAnG&#10;053uflesotHsTIPvnEWYTjJgZGunOtsgHPav9wKYD9IqqZ0lhG/ysCqvrwqZK3ex73TehYalEutz&#10;idCG0Oec+7olI/3E9WST9+EGI0OSQ8PVIC+p3Gj+kGULbmRn00Ire3ppqf7cjQbhGN+eFuv15lHF&#10;UG2/NmKs9PEO8fYmVs/AAsXwF4Zf/IQOZWI6udEqzzRCOhIQZtkSWHLFUsyBnRDm05kAXhb8P3/5&#10;AwAA//8DAFBLAQItABQABgAIAAAAIQC2gziS/gAAAOEBAAATAAAAAAAAAAAAAAAAAAAAAABbQ29u&#10;dGVudF9UeXBlc10ueG1sUEsBAi0AFAAGAAgAAAAhADj9If/WAAAAlAEAAAsAAAAAAAAAAAAAAAAA&#10;LwEAAF9yZWxzLy5yZWxzUEsBAi0AFAAGAAgAAAAhAOEOHVD6AQAAAAQAAA4AAAAAAAAAAAAAAAAA&#10;LgIAAGRycy9lMm9Eb2MueG1sUEsBAi0AFAAGAAgAAAAhAF6LgcveAAAABwEAAA8AAAAAAAAAAAAA&#10;AAAAVAQAAGRycy9kb3ducmV2LnhtbFBLBQYAAAAABAAEAPMAAABfBQAAAAA=&#10;" strokeweight=".26467mm">
                <v:textbox>
                  <w:txbxContent>
                    <w:p w14:paraId="347FDBDC" w14:textId="25C0C253" w:rsidR="006C5BF9" w:rsidRDefault="001326B4">
                      <w:pPr>
                        <w:rPr>
                          <w:rFonts w:cs="Arial"/>
                        </w:rPr>
                      </w:pPr>
                      <w:r>
                        <w:rPr>
                          <w:rFonts w:cs="Arial"/>
                        </w:rPr>
                        <w:t xml:space="preserve">Given the importance of the metals and materials industry locally, and our role as sector lead at the West Midlands level, part of the LEP / Consortium’s role is to represent the interest of business. This is particularly pertinent when multiple firms report a policy issue, backed up by clear evidence. Our aim as an organisation is to drive economic growth and prosperity in the Black Country, steering the success of key sectors such as manufacturing. Therefore, a key issue such as steel safeguarding is something we must look to address for the good of our business base </w:t>
                      </w:r>
                      <w:proofErr w:type="gramStart"/>
                      <w:r>
                        <w:rPr>
                          <w:rFonts w:cs="Arial"/>
                        </w:rPr>
                        <w:t>in order to</w:t>
                      </w:r>
                      <w:proofErr w:type="gramEnd"/>
                      <w:r>
                        <w:rPr>
                          <w:rFonts w:cs="Arial"/>
                        </w:rPr>
                        <w:t xml:space="preserve"> protect investment, jobs and productivity. We have also worked closely with other representative bodies including Black Country Chamber of Commerce and the Confederation for British Metalforming regarding this case. These efforts so far have involved political engagement locally through a briefing note and letter, </w:t>
                      </w:r>
                      <w:r>
                        <w:rPr>
                          <w:rFonts w:cs="Arial"/>
                        </w:rPr>
                        <w:t>and via submission to the</w:t>
                      </w:r>
                      <w:r>
                        <w:rPr>
                          <w:rFonts w:cs="Arial"/>
                        </w:rPr>
                        <w:t xml:space="preserve"> TRA’s “reconsideration” </w:t>
                      </w:r>
                      <w:r>
                        <w:rPr>
                          <w:rFonts w:cs="Arial"/>
                        </w:rPr>
                        <w:t xml:space="preserve">(Case TF0006) – including reference to Category 4 steel goods (metallic coated sheets): </w:t>
                      </w:r>
                      <w:r>
                        <w:rPr>
                          <w:rFonts w:cs="Arial"/>
                        </w:rPr>
                        <w:t xml:space="preserve"> </w:t>
                      </w:r>
                      <w:hyperlink r:id="rId18" w:history="1">
                        <w:r w:rsidRPr="00012E0B">
                          <w:rPr>
                            <w:rStyle w:val="Hyperlink"/>
                            <w:rFonts w:cs="Arial"/>
                          </w:rPr>
                          <w:t>https://www.gov.uk/government/news/tra-to-reconsider-findings-of-steel-safeguard-transition-review</w:t>
                        </w:r>
                      </w:hyperlink>
                    </w:p>
                  </w:txbxContent>
                </v:textbox>
                <w10:wrap type="square" anchorx="margin"/>
              </v:shape>
            </w:pict>
          </mc:Fallback>
        </mc:AlternateContent>
      </w:r>
    </w:p>
    <w:p w14:paraId="57E8DD33" w14:textId="77777777" w:rsidR="006C5BF9" w:rsidRDefault="006C5BF9"/>
    <w:p w14:paraId="1B7AD41B" w14:textId="77777777" w:rsidR="006C5BF9" w:rsidRDefault="006C5BF9">
      <w:pPr>
        <w:suppressAutoHyphens w:val="0"/>
        <w:rPr>
          <w:rFonts w:ascii="Arial" w:eastAsia="Times New Roman" w:hAnsi="Arial"/>
          <w:b/>
          <w:sz w:val="32"/>
          <w:szCs w:val="26"/>
        </w:rPr>
      </w:pPr>
      <w:bookmarkStart w:id="15" w:name="_Toc32519559"/>
    </w:p>
    <w:p w14:paraId="5227DCD6" w14:textId="77777777" w:rsidR="006C5BF9" w:rsidRDefault="00F33866">
      <w:pPr>
        <w:pStyle w:val="Heading1"/>
        <w:pageBreakBefore/>
        <w:rPr>
          <w:rFonts w:ascii="Arial" w:hAnsi="Arial" w:cs="Arial"/>
          <w:b/>
          <w:bCs/>
          <w:color w:val="auto"/>
        </w:rPr>
      </w:pPr>
      <w:bookmarkStart w:id="16" w:name="_Toc53524894"/>
      <w:bookmarkStart w:id="17" w:name="_Toc78880224"/>
      <w:r>
        <w:rPr>
          <w:rFonts w:ascii="Arial" w:hAnsi="Arial" w:cs="Arial"/>
          <w:b/>
          <w:bCs/>
          <w:color w:val="auto"/>
        </w:rPr>
        <w:lastRenderedPageBreak/>
        <w:t>Section B – Additional information</w:t>
      </w:r>
      <w:bookmarkEnd w:id="15"/>
      <w:bookmarkEnd w:id="16"/>
      <w:bookmarkEnd w:id="17"/>
      <w:r>
        <w:rPr>
          <w:rFonts w:ascii="Arial" w:hAnsi="Arial" w:cs="Arial"/>
          <w:b/>
          <w:bCs/>
          <w:color w:val="auto"/>
        </w:rPr>
        <w:t xml:space="preserve"> </w:t>
      </w:r>
    </w:p>
    <w:p w14:paraId="5E4FCD17" w14:textId="77777777" w:rsidR="006C5BF9" w:rsidRDefault="006C5BF9">
      <w:pPr>
        <w:spacing w:after="0" w:line="22" w:lineRule="atLeast"/>
        <w:rPr>
          <w:rFonts w:ascii="Arial" w:hAnsi="Arial" w:cs="Arial"/>
          <w:sz w:val="24"/>
        </w:rPr>
      </w:pPr>
    </w:p>
    <w:p w14:paraId="367BD2E8" w14:textId="77777777" w:rsidR="006C5BF9" w:rsidRDefault="00F33866">
      <w:pPr>
        <w:spacing w:after="0"/>
      </w:pPr>
      <w:r>
        <w:rPr>
          <w:rFonts w:ascii="Arial" w:hAnsi="Arial" w:cs="Arial"/>
          <w:sz w:val="24"/>
          <w:szCs w:val="24"/>
        </w:rPr>
        <w:t>Use the box at the end of this section to provide any other relevant information which you think would be useful to help our review.</w:t>
      </w:r>
    </w:p>
    <w:p w14:paraId="4756E92B" w14:textId="77777777" w:rsidR="006C5BF9" w:rsidRDefault="006C5BF9">
      <w:pPr>
        <w:spacing w:after="0"/>
        <w:rPr>
          <w:rFonts w:ascii="Arial" w:hAnsi="Arial" w:cs="Arial"/>
          <w:sz w:val="24"/>
          <w:szCs w:val="24"/>
        </w:rPr>
      </w:pPr>
    </w:p>
    <w:p w14:paraId="6C3BFD1F" w14:textId="77777777" w:rsidR="006C5BF9" w:rsidRDefault="00F33866">
      <w:pPr>
        <w:spacing w:after="0" w:line="22" w:lineRule="atLeast"/>
      </w:pPr>
      <w:r>
        <w:rPr>
          <w:rFonts w:ascii="Arial" w:hAnsi="Arial" w:cs="Arial"/>
          <w:b/>
          <w:noProof/>
          <w:sz w:val="24"/>
        </w:rPr>
        <mc:AlternateContent>
          <mc:Choice Requires="wps">
            <w:drawing>
              <wp:anchor distT="0" distB="0" distL="114300" distR="114300" simplePos="0" relativeHeight="251658242" behindDoc="0" locked="0" layoutInCell="1" allowOverlap="1" wp14:anchorId="3718E3C0" wp14:editId="50E60B59">
                <wp:simplePos x="0" y="0"/>
                <wp:positionH relativeFrom="margin">
                  <wp:align>right</wp:align>
                </wp:positionH>
                <wp:positionV relativeFrom="paragraph">
                  <wp:posOffset>218441</wp:posOffset>
                </wp:positionV>
                <wp:extent cx="5704841" cy="2047241"/>
                <wp:effectExtent l="0" t="0" r="10159" b="10159"/>
                <wp:wrapSquare wrapText="bothSides"/>
                <wp:docPr id="4"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8F7B606" w14:textId="7D29E519" w:rsidR="006C5BF9" w:rsidRDefault="00D1185D">
                            <w:pPr>
                              <w:spacing w:after="0"/>
                              <w:rPr>
                                <w:rFonts w:cs="Arial"/>
                              </w:rPr>
                            </w:pPr>
                            <w:r>
                              <w:rPr>
                                <w:rFonts w:cs="Arial"/>
                              </w:rPr>
                              <w:t>N/A</w:t>
                            </w:r>
                          </w:p>
                        </w:txbxContent>
                      </wps:txbx>
                      <wps:bodyPr vert="horz" wrap="square" lIns="91440" tIns="45720" rIns="91440" bIns="45720" anchor="t" anchorCtr="0" compatLnSpc="0">
                        <a:noAutofit/>
                      </wps:bodyPr>
                    </wps:wsp>
                  </a:graphicData>
                </a:graphic>
              </wp:anchor>
            </w:drawing>
          </mc:Choice>
          <mc:Fallback>
            <w:pict>
              <v:shape w14:anchorId="3718E3C0" id="Text Box 2" o:spid="_x0000_s1028" type="#_x0000_t202" style="position:absolute;margin-left:398pt;margin-top:17.2pt;width:449.2pt;height:161.2pt;z-index:25165824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G/+QEAAAAEAAAOAAAAZHJzL2Uyb0RvYy54bWysU9uO0zAQfUfiHyy/06RRSrtR3RVsVYS0&#10;AqQuH+A6dmPJN2y3Sfl6xk622wWeEH5wPJcczzkzXt8PWqEz90FaQ/B8VmLEDbOtNEeCvz/t3q0w&#10;CpGaliprOMEXHvD95u2bde8aXtnOqpZ7BCAmNL0juIvRNUURWMc1DTPruIGgsF7TCKY/Fq2nPaBr&#10;VVRl+b7orW+dt4yHAN7tGMSbjC8EZ/GrEIFHpAiG2mLefd4PaS82a9ocPXWdZFMZ9B+q0FQauPQK&#10;taWRopOXf0BpybwNVsQZs7qwQkjGMwdgMy9/Y7PvqOOZC4gT3FWm8P9g2ZfzN49kS3CNkaEaWvTE&#10;h4g+2gFVSZ3ehQaS9g7S4gBu6PKzP4AzkR6E1+kLdBDEQefLVdsExsC5WJb1qp5jxCBWlfWyAgPw&#10;i5ffnQ/xE7capQPBHpqXNaXnxxDH1OeUdFuwSrY7qVQ2/PHwoDw6U2j0Lq8J/VWaMqgn+G5RrTLy&#10;q1i4hSjz+htEKmFLQzdelRGmNGWATtJr1CWd4nAYsrpXLQ+2vYCU8GSAYmf9T4x6GD+Cw48T9Rwj&#10;9dlAf+/mdZ3mNRv1YlmB4W8jh9sINQygCI4YjceHOM44DJmj8dHsHUsdSUoZ++EUrZBZ0VTjWNFU&#10;OoxZ7sn0JNIc39o56+Xhbn4BAAD//wMAUEsDBBQABgAIAAAAIQAvcJ7+3gAAAAcBAAAPAAAAZHJz&#10;L2Rvd25yZXYueG1sTI8xT8MwEIV3JP6DdUgsiDpAG0yIU6VULGWi7dDRjU0SYZ9D7LTm33NMsN27&#10;d3rvu3KZnGUnM4beo4S7WQbMYON1j62E/e71VgALUaFW1qOR8G0CLKvLi1IV2p/x3Zy2sWUUgqFQ&#10;EroYh4Lz0HTGqTDzg0HyPvzoVCQ5tlyP6kzhzvL7LMu5Uz1SQ6cG89KZ5nM7OQmH9PaYr1brhU6x&#10;3nytxVTbw42U11epfgYWTYp/x/CLT+hQEdPRT6gDsxLokSjhYT4HRq54EjQcabHIBfCq5P/5qx8A&#10;AAD//wMAUEsBAi0AFAAGAAgAAAAhALaDOJL+AAAA4QEAABMAAAAAAAAAAAAAAAAAAAAAAFtDb250&#10;ZW50X1R5cGVzXS54bWxQSwECLQAUAAYACAAAACEAOP0h/9YAAACUAQAACwAAAAAAAAAAAAAAAAAv&#10;AQAAX3JlbHMvLnJlbHNQSwECLQAUAAYACAAAACEA6NsBv/kBAAAABAAADgAAAAAAAAAAAAAAAAAu&#10;AgAAZHJzL2Uyb0RvYy54bWxQSwECLQAUAAYACAAAACEAL3Ce/t4AAAAHAQAADwAAAAAAAAAAAAAA&#10;AABTBAAAZHJzL2Rvd25yZXYueG1sUEsFBgAAAAAEAAQA8wAAAF4FAAAAAA==&#10;" strokeweight=".26467mm">
                <v:textbox>
                  <w:txbxContent>
                    <w:p w14:paraId="38F7B606" w14:textId="7D29E519" w:rsidR="006C5BF9" w:rsidRDefault="00D1185D">
                      <w:pPr>
                        <w:spacing w:after="0"/>
                        <w:rPr>
                          <w:rFonts w:cs="Arial"/>
                        </w:rPr>
                      </w:pPr>
                      <w:r>
                        <w:rPr>
                          <w:rFonts w:cs="Arial"/>
                        </w:rPr>
                        <w:t>N/A</w:t>
                      </w:r>
                    </w:p>
                  </w:txbxContent>
                </v:textbox>
                <w10:wrap type="square" anchorx="margin"/>
              </v:shape>
            </w:pict>
          </mc:Fallback>
        </mc:AlternateContent>
      </w:r>
    </w:p>
    <w:p w14:paraId="546A7AAF" w14:textId="77777777" w:rsidR="006C5BF9" w:rsidRDefault="006C5BF9">
      <w:pPr>
        <w:suppressAutoHyphens w:val="0"/>
        <w:rPr>
          <w:rFonts w:ascii="Arial" w:eastAsia="Times New Roman" w:hAnsi="Arial"/>
          <w:b/>
          <w:sz w:val="32"/>
          <w:szCs w:val="26"/>
        </w:rPr>
      </w:pPr>
      <w:bookmarkStart w:id="18" w:name="_Toc32519560"/>
    </w:p>
    <w:bookmarkEnd w:id="18"/>
    <w:p w14:paraId="13BC0E6E" w14:textId="64649E94" w:rsidR="006C5BF9" w:rsidRDefault="006C5BF9">
      <w:pPr>
        <w:jc w:val="right"/>
      </w:pPr>
    </w:p>
    <w:sectPr w:rsidR="006C5BF9">
      <w:headerReference w:type="default" r:id="rId19"/>
      <w:footerReference w:type="default" r:id="rId2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FB837" w14:textId="77777777" w:rsidR="00101110" w:rsidRDefault="00F33866">
      <w:pPr>
        <w:spacing w:after="0"/>
      </w:pPr>
      <w:r>
        <w:separator/>
      </w:r>
    </w:p>
  </w:endnote>
  <w:endnote w:type="continuationSeparator" w:id="0">
    <w:p w14:paraId="5A32987E" w14:textId="77777777" w:rsidR="00101110" w:rsidRDefault="00F338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4EFA" w14:textId="77777777" w:rsidR="00A15729" w:rsidRDefault="006B4C43">
    <w:pPr>
      <w:pStyle w:val="Footer"/>
    </w:pPr>
  </w:p>
  <w:p w14:paraId="34AC8F6F" w14:textId="77777777" w:rsidR="00A15729" w:rsidRDefault="006B4C4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FA622" w14:textId="77777777" w:rsidR="00101110" w:rsidRDefault="00F33866">
      <w:pPr>
        <w:spacing w:after="0"/>
      </w:pPr>
      <w:r>
        <w:rPr>
          <w:color w:val="000000"/>
        </w:rPr>
        <w:separator/>
      </w:r>
    </w:p>
  </w:footnote>
  <w:footnote w:type="continuationSeparator" w:id="0">
    <w:p w14:paraId="00AC8EE9" w14:textId="77777777" w:rsidR="00101110" w:rsidRDefault="00F338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A15729" w14:paraId="0E6A57FC"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0BA700F" w14:textId="77777777" w:rsidR="00A15729" w:rsidRDefault="00F33866">
          <w:pPr>
            <w:spacing w:before="20" w:after="20"/>
            <w:textAlignment w:val="auto"/>
          </w:pPr>
          <w:bookmarkStart w:id="19" w:name="_Hlk43194599"/>
          <w:r>
            <w:rPr>
              <w:rFonts w:cs="Arial"/>
              <w:noProof/>
              <w:sz w:val="24"/>
              <w:szCs w:val="24"/>
            </w:rPr>
            <w:drawing>
              <wp:inline distT="0" distB="0" distL="0" distR="0" wp14:anchorId="0AA2660C" wp14:editId="13319149">
                <wp:extent cx="1434538" cy="810048"/>
                <wp:effectExtent l="0" t="0" r="0" b="9102"/>
                <wp:docPr id="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B69C8EA" w14:textId="77777777" w:rsidR="00A15729" w:rsidRDefault="00F33866">
          <w:pPr>
            <w:spacing w:after="0"/>
            <w:jc w:val="center"/>
            <w:textAlignment w:val="auto"/>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44D8E34" w14:textId="77777777" w:rsidR="00A15729" w:rsidRDefault="006B4C43">
          <w:pPr>
            <w:pStyle w:val="NoSpacing"/>
            <w:jc w:val="right"/>
            <w:rPr>
              <w:rFonts w:ascii="Arial" w:hAnsi="Arial"/>
              <w:sz w:val="19"/>
              <w:szCs w:val="19"/>
            </w:rPr>
          </w:pPr>
        </w:p>
        <w:p w14:paraId="1E552886" w14:textId="77777777" w:rsidR="00A15729" w:rsidRDefault="00F33866">
          <w:pPr>
            <w:pStyle w:val="NoSpacing"/>
            <w:jc w:val="right"/>
            <w:rPr>
              <w:rFonts w:ascii="Arial" w:hAnsi="Arial"/>
              <w:sz w:val="19"/>
              <w:szCs w:val="19"/>
            </w:rPr>
          </w:pPr>
          <w:bookmarkStart w:id="20" w:name="_Hlk43194575"/>
          <w:r>
            <w:rPr>
              <w:rFonts w:ascii="Arial" w:hAnsi="Arial"/>
              <w:sz w:val="19"/>
              <w:szCs w:val="19"/>
            </w:rPr>
            <w:t>Trade Remedies Authority</w:t>
          </w:r>
        </w:p>
        <w:p w14:paraId="44006908" w14:textId="77777777" w:rsidR="00A15729" w:rsidRDefault="00F33866">
          <w:pPr>
            <w:tabs>
              <w:tab w:val="left" w:pos="2133"/>
            </w:tabs>
            <w:spacing w:after="0" w:line="276" w:lineRule="auto"/>
            <w:ind w:left="7" w:firstLine="141"/>
            <w:textAlignment w:val="auto"/>
          </w:pPr>
          <w:r>
            <w:rPr>
              <w:rFonts w:ascii="Segoe UI Symbol" w:eastAsia="MS Gothic" w:hAnsi="Segoe UI Symbol" w:cs="Segoe UI Symbol"/>
              <w:b/>
              <w:color w:val="FF0000"/>
              <w:sz w:val="18"/>
              <w:szCs w:val="24"/>
            </w:rPr>
            <w:t>☐</w:t>
          </w:r>
          <w:r>
            <w:rPr>
              <w:rFonts w:ascii="Arial" w:hAnsi="Arial" w:cs="Arial"/>
              <w:color w:val="FF0000"/>
              <w:sz w:val="18"/>
              <w:szCs w:val="24"/>
            </w:rPr>
            <w:t xml:space="preserve"> Confidential</w:t>
          </w:r>
          <w:r>
            <w:rPr>
              <w:rFonts w:ascii="Arial" w:hAnsi="Arial" w:cs="Arial"/>
              <w:color w:val="FF0000"/>
              <w:sz w:val="18"/>
              <w:szCs w:val="24"/>
            </w:rPr>
            <w:tab/>
          </w:r>
          <w:r>
            <w:rPr>
              <w:rFonts w:ascii="Segoe UI Symbol" w:eastAsia="MS Gothic" w:hAnsi="Segoe UI Symbol" w:cs="Segoe UI Symbol"/>
              <w:b/>
              <w:color w:val="FF0000"/>
              <w:sz w:val="18"/>
              <w:szCs w:val="24"/>
            </w:rPr>
            <w:t>☐</w:t>
          </w:r>
          <w:r>
            <w:rPr>
              <w:rFonts w:ascii="Arial" w:hAnsi="Arial" w:cs="Arial"/>
              <w:color w:val="FF0000"/>
              <w:sz w:val="18"/>
              <w:szCs w:val="24"/>
            </w:rPr>
            <w:t xml:space="preserve"> </w:t>
          </w:r>
          <w:proofErr w:type="gramStart"/>
          <w:r>
            <w:rPr>
              <w:rFonts w:ascii="Arial" w:hAnsi="Arial" w:cs="Arial"/>
              <w:color w:val="FF0000"/>
              <w:sz w:val="18"/>
              <w:szCs w:val="24"/>
            </w:rPr>
            <w:t>Non-Confidential</w:t>
          </w:r>
          <w:proofErr w:type="gramEnd"/>
        </w:p>
        <w:bookmarkEnd w:id="20"/>
        <w:p w14:paraId="5ECA3544" w14:textId="77777777" w:rsidR="00A15729" w:rsidRDefault="006B4C43">
          <w:pPr>
            <w:tabs>
              <w:tab w:val="left" w:pos="2133"/>
            </w:tabs>
            <w:spacing w:after="0" w:line="276" w:lineRule="auto"/>
            <w:ind w:left="7" w:firstLine="141"/>
            <w:textAlignment w:val="auto"/>
            <w:rPr>
              <w:rFonts w:ascii="Arial" w:hAnsi="Arial" w:cs="Arial"/>
              <w:color w:val="FF0000"/>
              <w:sz w:val="18"/>
              <w:szCs w:val="24"/>
            </w:rPr>
          </w:pPr>
        </w:p>
      </w:tc>
    </w:tr>
    <w:bookmarkEnd w:id="19"/>
  </w:tbl>
  <w:p w14:paraId="20BE0FB4" w14:textId="77777777" w:rsidR="00A15729" w:rsidRDefault="006B4C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BF9"/>
    <w:rsid w:val="00101110"/>
    <w:rsid w:val="001326B4"/>
    <w:rsid w:val="00260960"/>
    <w:rsid w:val="003A3DED"/>
    <w:rsid w:val="003B2588"/>
    <w:rsid w:val="003F2D28"/>
    <w:rsid w:val="006B4C43"/>
    <w:rsid w:val="006C5BF9"/>
    <w:rsid w:val="00857B1D"/>
    <w:rsid w:val="009E0867"/>
    <w:rsid w:val="00A140B2"/>
    <w:rsid w:val="00C90C88"/>
    <w:rsid w:val="00D1185D"/>
    <w:rsid w:val="00F33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C1BB1"/>
  <w15:docId w15:val="{00FE96C3-FD00-416A-85FE-5C19FA13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sz w:val="20"/>
      <w:szCs w:val="20"/>
    </w:rPr>
  </w:style>
  <w:style w:type="character" w:styleId="Hyperlink">
    <w:name w:val="Hyperlink"/>
    <w:basedOn w:val="DefaultParagraphFont"/>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rPr>
      <w:lang w:val="en-US"/>
    </w:rPr>
  </w:style>
  <w:style w:type="paragraph" w:styleId="TOC3">
    <w:name w:val="toc 3"/>
    <w:basedOn w:val="Normal"/>
    <w:next w:val="Normal"/>
    <w:autoRedefine/>
    <w:pPr>
      <w:spacing w:after="100"/>
      <w:ind w:left="440"/>
    </w:pPr>
  </w:style>
  <w:style w:type="paragraph" w:styleId="TOC2">
    <w:name w:val="toc 2"/>
    <w:basedOn w:val="Normal"/>
    <w:next w:val="Normal"/>
    <w:autoRedefine/>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FollowedHyperlink">
    <w:name w:val="FollowedHyperlink"/>
    <w:basedOn w:val="DefaultParagraphFont"/>
    <w:rPr>
      <w:color w:val="954F72"/>
      <w:u w:val="single"/>
    </w:rPr>
  </w:style>
  <w:style w:type="paragraph" w:styleId="NoSpacing">
    <w:name w:val="No Spacing"/>
    <w:pPr>
      <w:spacing w:after="0"/>
      <w:textAlignment w:val="auto"/>
    </w:pPr>
    <w:rPr>
      <w:rFonts w:cs="Arial"/>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en-GB"/>
    </w:rPr>
  </w:style>
  <w:style w:type="paragraph" w:styleId="TOC1">
    <w:name w:val="toc 1"/>
    <w:basedOn w:val="Normal"/>
    <w:next w:val="Normal"/>
    <w:autoRedefine/>
    <w:pPr>
      <w:spacing w:after="100"/>
    </w:pPr>
  </w:style>
  <w:style w:type="paragraph" w:customStyle="1" w:styleId="paragraph">
    <w:name w:val="paragraph"/>
    <w:basedOn w:val="Normal"/>
    <w:pPr>
      <w:suppressAutoHyphens w:val="0"/>
      <w:spacing w:before="100" w:after="100"/>
      <w:textAlignment w:val="auto"/>
    </w:pPr>
    <w:rPr>
      <w:rFonts w:ascii="Times New Roman" w:eastAsia="Times New Roman" w:hAnsi="Times New Roman"/>
      <w:sz w:val="24"/>
      <w:szCs w:val="24"/>
      <w:lang w:eastAsia="en-GB"/>
    </w:rPr>
  </w:style>
  <w:style w:type="character" w:customStyle="1" w:styleId="eop">
    <w:name w:val="eop"/>
    <w:basedOn w:val="DefaultParagraphFont"/>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image" Target="media/image4.png"/><Relationship Id="rId18" Type="http://schemas.openxmlformats.org/officeDocument/2006/relationships/hyperlink" Target="https://www.gov.uk/government/news/tra-to-reconsider-findings-of-steel-safeguard-transition-review"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ustomXml" Target="ink/ink4.xml"/><Relationship Id="rId17" Type="http://schemas.openxmlformats.org/officeDocument/2006/relationships/hyperlink" Target="https://www.gov.uk/government/news/tra-to-reconsider-findings-of-steel-safeguard-transition-review" TargetMode="External"/><Relationship Id="rId25"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hyperlink" Target="http://www.trade-remedies.service.gov.uk/public/cases"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image" Target="media/image3.png"/><Relationship Id="rId24" Type="http://schemas.openxmlformats.org/officeDocument/2006/relationships/customXml" Target="../customXml/item2.xml"/><Relationship Id="rId5" Type="http://schemas.openxmlformats.org/officeDocument/2006/relationships/endnotes" Target="endnotes.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customXml" Target="../customXml/item1.xml"/><Relationship Id="rId10" Type="http://schemas.openxmlformats.org/officeDocument/2006/relationships/customXml" Target="ink/ink3.xm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www.trade-remedies.service.gov.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10T09:46:21.995"/>
    </inkml:context>
    <inkml:brush xml:id="br0">
      <inkml:brushProperty name="width" value="0.025" units="cm"/>
      <inkml:brushProperty name="height" value="0.025" units="cm"/>
    </inkml:brush>
  </inkml:definitions>
  <inkml:trace contextRef="#ctx0" brushRef="#br0">270 0 24575,'-2'0'0,"0"1"0,-1-1 0,1 1 0,0-1 0,0 1 0,-1 0 0,1 0 0,0 0 0,0 0 0,0 0 0,0 0 0,0 0 0,0 1 0,0-1 0,-1 3 0,-27 29 0,11-9 0,-16 7 0,23-20 0,1-1 0,0 2 0,0-1 0,-15 23 0,17-22-227,0 1-1,-1-1 1,-1-1-1,0 0 1,-19 15-1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10T09:46:17.985"/>
    </inkml:context>
    <inkml:brush xml:id="br0">
      <inkml:brushProperty name="width" value="0.025" units="cm"/>
      <inkml:brushProperty name="height" value="0.025" units="cm"/>
    </inkml:brush>
  </inkml:definitions>
  <inkml:trace contextRef="#ctx0" brushRef="#br0">0 0 24575,'1'4'0,"1"0"0,-1-1 0,1 1 0,-1-1 0,1 1 0,0-1 0,5 6 0,12 17 0,-12-15 0,0-1 0,1 0 0,0-1 0,1 0 0,0 0 0,11 7 0,64 55 0,-57-47 0,-7-9 59,8 7-1483</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10T09:46:27.584"/>
    </inkml:context>
    <inkml:brush xml:id="br0">
      <inkml:brushProperty name="width" value="0.025" units="cm"/>
      <inkml:brushProperty name="height" value="0.025" units="cm"/>
    </inkml:brush>
  </inkml:definitions>
  <inkml:trace contextRef="#ctx0" brushRef="#br0">0 1 24575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10T09:51:24.953"/>
    </inkml:context>
    <inkml:brush xml:id="br0">
      <inkml:brushProperty name="width" value="0.025" units="cm"/>
      <inkml:brushProperty name="height" value="0.025" units="cm"/>
    </inkml:brush>
  </inkml:definitions>
  <inkml:trace contextRef="#ctx0" brushRef="#br0">6 1 24575,'1'0'0,"0"0"0,0 0 0,0 1 0,0-1 0,0 1 0,0-1 0,0 1 0,0-1 0,0 1 0,0 0 0,-1-1 0,1 1 0,0 0 0,0 0 0,-1 0 0,1 0 0,0-1 0,-1 1 0,2 2 0,11 24 0,-7-15 0,10 14 0,0-2 0,2 0 0,29 31 0,11 3 0,-54-54-1365</inkml:trace>
  <inkml:trace contextRef="#ctx0" brushRef="#br0" timeOffset="1966.25">240 17 24575,'-4'0'0,"0"0"0,0 1 0,0 0 0,1 0 0,-1 0 0,0 0 0,1 1 0,-1 0 0,1-1 0,-1 1 0,1 0 0,0 1 0,0-1 0,-6 6 0,-4 5 0,-22 30 0,6-8 0,19-23 20,0 0-1,-11 18 1,16-21-198,-1 0 0,0-1 0,0 1 0,-1-1 0,0-1 0,-1 1 0,-9 6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45F7CC32-7E96-4C0C-A9EC-25822943D588}"/>
</file>

<file path=customXml/itemProps2.xml><?xml version="1.0" encoding="utf-8"?>
<ds:datastoreItem xmlns:ds="http://schemas.openxmlformats.org/officeDocument/2006/customXml" ds:itemID="{1488E89F-40BD-47FB-A2A2-10995B6315E1}"/>
</file>

<file path=customXml/itemProps3.xml><?xml version="1.0" encoding="utf-8"?>
<ds:datastoreItem xmlns:ds="http://schemas.openxmlformats.org/officeDocument/2006/customXml" ds:itemID="{8DE0F495-153A-4C36-9D2C-EB5F3D32A21F}"/>
</file>

<file path=docProps/app.xml><?xml version="1.0" encoding="utf-8"?>
<Properties xmlns="http://schemas.openxmlformats.org/officeDocument/2006/extended-properties" xmlns:vt="http://schemas.openxmlformats.org/officeDocument/2006/docPropsVTypes">
  <Template>Normal</Template>
  <TotalTime>1</TotalTime>
  <Pages>5</Pages>
  <Words>598</Words>
  <Characters>3415</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Corkhill</dc:creator>
  <cp:keywords>rainbow trout;contributor;registration;form</cp:keywords>
  <dc:description/>
  <cp:lastModifiedBy>Charlie Hopkirk</cp:lastModifiedBy>
  <cp:revision>4</cp:revision>
  <dcterms:created xsi:type="dcterms:W3CDTF">2022-02-10T09:50:00Z</dcterms:created>
  <dcterms:modified xsi:type="dcterms:W3CDTF">2022-02-10T09:51:00Z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2020-02-25T16:32:40.8512898Z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d4e94372-4f0c-4850-bead-860ded74752f</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CaseCountry">
    <vt:lpwstr>64;#Turkey|3c7b2978-4a67-4476-a02e-947172b3e112</vt:lpwstr>
  </property>
  <property fmtid="{D5CDD505-2E9C-101B-9397-08002B2CF9AE}" pid="16" name="DocumentType">
    <vt:lpwstr>8;#Form|0cef77b9-7726-48e2-9d2f-1d4a02d6d716</vt:lpwstr>
  </property>
  <property fmtid="{D5CDD505-2E9C-101B-9397-08002B2CF9AE}" pid="17" name="CaseType">
    <vt:lpwstr>63;#Transition Anti-Subsidy Review|2fe39b6d-2b65-4d5c-a526-3c7bd73b88ec</vt:lpwstr>
  </property>
  <property fmtid="{D5CDD505-2E9C-101B-9397-08002B2CF9AE}" pid="18" name="xd_Signature">
    <vt:bool>false</vt:bool>
  </property>
  <property fmtid="{D5CDD505-2E9C-101B-9397-08002B2CF9AE}" pid="19" name="CaseProduct">
    <vt:lpwstr>20;#Rainbow Trout|1d62c353-a942-4663-a68b-e435987a1144</vt:lpwstr>
  </property>
  <property fmtid="{D5CDD505-2E9C-101B-9397-08002B2CF9AE}" pid="20" name="SharedWithUsers">
    <vt:lpwstr>76;#Vincent Gibson</vt:lpwstr>
  </property>
  <property fmtid="{D5CDD505-2E9C-101B-9397-08002B2CF9AE}" pid="21" name="_docset_NoMedatataSyncRequired">
    <vt:lpwstr>False</vt:lpwstr>
  </property>
  <property fmtid="{D5CDD505-2E9C-101B-9397-08002B2CF9AE}" pid="22" name="RelatedCountry">
    <vt:lpwstr/>
  </property>
  <property fmtid="{D5CDD505-2E9C-101B-9397-08002B2CF9AE}" pid="23" name="OperationalTheme">
    <vt:lpwstr>26;#Template|7d6a4491-3447-474e-a4e3-66958963e4db</vt:lpwstr>
  </property>
  <property fmtid="{D5CDD505-2E9C-101B-9397-08002B2CF9AE}" pid="24" name="Order">
    <vt:r8>2320900</vt:r8>
  </property>
  <property fmtid="{D5CDD505-2E9C-101B-9397-08002B2CF9AE}" pid="25" name="Area">
    <vt:lpwstr>Template</vt:lpwstr>
  </property>
  <property fmtid="{D5CDD505-2E9C-101B-9397-08002B2CF9AE}" pid="26" name="InvestigationType">
    <vt:lpwstr>47;#Transition Review|19ff3320-df49-40cf-b7b7-c89bdac4685c;#45;#D＆S Investigation|5a76c464-9570-4bcc-9337-bae86c0f7d14;#75;#Templates|e2efe624-fe4f-432e-ae05-8257c17f4e34</vt:lpwstr>
  </property>
  <property fmtid="{D5CDD505-2E9C-101B-9397-08002B2CF9AE}" pid="27" name="InvestigationArea">
    <vt:lpwstr>74;#PSQ|65c6fcf8-b6a7-4f93-896b-1b52a565c1a0</vt:lpwstr>
  </property>
</Properties>
</file>