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8"/>
                <w:rFonts w:eastAsia="Arial" w:cs="Arial"/>
                <w:szCs w:val="24"/>
              </w:rPr>
              <w:t>TS0038@traderemedies.gov.uk</w:t>
            </w:r>
            <w:r>
              <w:rPr>
                <w:rStyle w:val="18"/>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hint="default" w:eastAsia="宋体" w:cs="Arial"/>
                <w:color w:val="FF0000"/>
                <w:szCs w:val="24"/>
                <w:lang w:val="en-US" w:eastAsia="zh-CN"/>
              </w:rPr>
            </w:pPr>
            <w:r>
              <w:rPr>
                <w:rFonts w:hint="eastAsia" w:eastAsia="宋体" w:cs="Arial"/>
                <w:color w:val="FF0000"/>
                <w:szCs w:val="24"/>
                <w:lang w:val="en-US" w:eastAsia="zh-CN"/>
              </w:rPr>
              <w:t>HANGZHOU TOP MECHANICAL AND ELECTRICAL TECHNOLOGY CO., 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8"/>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8"/>
            </w:rPr>
            <w:t>Instructions</w:t>
          </w:r>
          <w:r>
            <w:tab/>
          </w:r>
          <w:r>
            <w:fldChar w:fldCharType="begin"/>
          </w:r>
          <w:r>
            <w:instrText xml:space="preserve"> PAGEREF _Toc135639601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8"/>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8"/>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8"/>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8"/>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8"/>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8"/>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8"/>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8"/>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8"/>
            </w:rPr>
            <w:t>B1 – Production</w:t>
          </w:r>
          <w:r>
            <w:tab/>
          </w:r>
          <w:r>
            <w:fldChar w:fldCharType="begin"/>
          </w:r>
          <w:r>
            <w:instrText xml:space="preserve"> PAGEREF _Toc135639610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8"/>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8"/>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8"/>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8"/>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8"/>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8"/>
            </w:rPr>
            <w:t>D2 – Scope</w:t>
          </w:r>
          <w:r>
            <w:tab/>
          </w:r>
          <w:r>
            <w:fldChar w:fldCharType="begin"/>
          </w:r>
          <w:r>
            <w:instrText xml:space="preserve"> PAGEREF _Toc135639616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8"/>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8"/>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8"/>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b/>
          <w:sz w:val="18"/>
          <w:szCs w:val="18"/>
        </w:rPr>
      </w:pPr>
      <w:r>
        <w:rPr>
          <w:rStyle w:val="39"/>
          <w:rFonts w:ascii="Arial" w:hAnsi="Arial" w:cs="Arial"/>
          <w:b/>
        </w:rPr>
        <w:t xml:space="preserve"> </w:t>
      </w:r>
    </w:p>
    <w:p>
      <w:pPr>
        <w:pStyle w:val="37"/>
        <w:spacing w:before="0" w:beforeAutospacing="0" w:after="0" w:afterAutospacing="0"/>
        <w:textAlignment w:val="baseline"/>
        <w:rPr>
          <w:rStyle w:val="39"/>
          <w:rFonts w:ascii="Arial" w:hAnsi="Arial" w:cs="Arial"/>
          <w:b/>
          <w:sz w:val="28"/>
          <w:szCs w:val="32"/>
        </w:rPr>
      </w:pPr>
      <w:r>
        <w:rPr>
          <w:rStyle w:val="38"/>
          <w:rFonts w:ascii="Arial" w:hAnsi="Arial" w:cs="Arial" w:eastAsiaTheme="minorEastAsia"/>
          <w:b/>
          <w:sz w:val="28"/>
          <w:szCs w:val="32"/>
        </w:rPr>
        <w:t>Goods subject to review</w:t>
      </w:r>
      <w:r>
        <w:rPr>
          <w:rStyle w:val="39"/>
          <w:rFonts w:ascii="Arial" w:hAnsi="Arial" w:cs="Arial"/>
          <w:b/>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87 11 60 10 00 and 87 11 60 90 10</w:t>
      </w:r>
      <w:r>
        <w:rPr>
          <w:rStyle w:val="38"/>
          <w:rFonts w:ascii="Arial" w:hAnsi="Arial" w:cs="Arial" w:eastAsiaTheme="minorEastAsia"/>
        </w:rPr>
        <w:t xml:space="preserve">. 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39601"/>
      <w:r>
        <w:rPr>
          <w:rStyle w:val="38"/>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39"/>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39604"/>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w:t>
      </w:r>
      <w:r>
        <w:rPr>
          <w:rStyle w:val="38"/>
          <w:rFonts w:cs="Arial"/>
          <w:color w:val="000000"/>
          <w:shd w:val="clear" w:color="auto" w:fill="FFFFFF"/>
        </w:rPr>
        <w:t>you are 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8"/>
          <w:rFonts w:cs="Arial"/>
          <w:b/>
          <w:bCs/>
          <w:shd w:val="clear" w:color="auto" w:fill="FFFFFF"/>
        </w:rPr>
        <w:t>TS0038@traderemedies.gov.uk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w:t>
      </w:r>
      <w:r>
        <w:rPr>
          <w:rStyle w:val="38"/>
          <w:rFonts w:cs="Arial"/>
          <w:color w:val="000000"/>
          <w:shd w:val="clear" w:color="auto" w:fill="FFFFFF"/>
        </w:rPr>
        <w:t>to above 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scope of t</w:t>
      </w:r>
      <w:r>
        <w:rPr>
          <w:rStyle w:val="18"/>
          <w:color w:val="4472C4" w:themeColor="accent1"/>
          <w14:textFill>
            <w14:solidFill>
              <w14:schemeClr w14:val="accent1"/>
            </w14:solidFill>
          </w14:textFill>
        </w:rPr>
        <w:t xml:space="preserve">his </w:t>
      </w:r>
      <w:r>
        <w:rPr>
          <w:rStyle w:val="18"/>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szCs w:val="24"/>
          <w:lang w:eastAsia="en-GB"/>
        </w:rPr>
        <w:t xml:space="preserve"> 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hint="eastAsia" w:eastAsia="宋体" w:cs="Arial"/>
                                <w:i/>
                                <w:color w:val="7F7F7F" w:themeColor="background1" w:themeShade="80"/>
                                <w:lang w:eastAsia="zh-CN"/>
                              </w:rPr>
                              <w:t xml:space="preserve"> </w:t>
                            </w:r>
                            <w:r>
                              <w:rPr>
                                <w:rFonts w:hint="eastAsia" w:eastAsia="宋体" w:cs="Arial"/>
                                <w:i/>
                                <w:color w:val="7F7F7F" w:themeColor="background1" w:themeShade="80"/>
                                <w:lang w:val="en-US" w:eastAsia="zh-CN"/>
                              </w:rPr>
                              <w:t>Not applicable</w:t>
                            </w:r>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r>
                        <w:rPr>
                          <w:rFonts w:hint="eastAsia" w:eastAsia="宋体" w:cs="Arial"/>
                          <w:i/>
                          <w:color w:val="7F7F7F" w:themeColor="background1" w:themeShade="80"/>
                          <w:lang w:eastAsia="zh-CN"/>
                        </w:rPr>
                        <w:t xml:space="preserve"> </w:t>
                      </w:r>
                      <w:r>
                        <w:rPr>
                          <w:rFonts w:hint="eastAsia" w:eastAsia="宋体" w:cs="Arial"/>
                          <w:i/>
                          <w:color w:val="7F7F7F" w:themeColor="background1" w:themeShade="80"/>
                          <w:lang w:val="en-US" w:eastAsia="zh-CN"/>
                        </w:rPr>
                        <w:t>Not applicable</w:t>
                      </w:r>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i/>
                                <w:color w:val="7F7F7F" w:themeColor="background1" w:themeShade="80"/>
                                <w:lang w:val="en-US" w:eastAsia="zh-CN"/>
                              </w:rPr>
                            </w:pPr>
                            <w:r>
                              <w:rPr>
                                <w:rFonts w:hint="eastAsia" w:eastAsia="宋体" w:cs="Arial"/>
                                <w:i/>
                                <w:color w:val="7F7F7F" w:themeColor="background1" w:themeShade="80"/>
                                <w:lang w:eastAsia="zh-CN"/>
                              </w:rPr>
                              <w:t xml:space="preserve"> </w:t>
                            </w:r>
                            <w:r>
                              <w:rPr>
                                <w:rFonts w:hint="eastAsia" w:eastAsia="宋体" w:cs="Arial"/>
                                <w:i/>
                                <w:color w:val="7F7F7F" w:themeColor="background1" w:themeShade="80"/>
                                <w:lang w:val="en-US" w:eastAsia="zh-CN"/>
                              </w:rPr>
                              <w:t xml:space="preserve">Hangzhou Top Mechanical and Electrical Technology Co., Ltd. </w:t>
                            </w:r>
                            <w:r>
                              <w:rPr>
                                <w:rFonts w:hint="eastAsia" w:eastAsia="宋体" w:cs="Arial"/>
                                <w:i/>
                                <w:color w:val="7F7F7F" w:themeColor="background1" w:themeShade="80"/>
                                <w:lang w:eastAsia="zh-CN"/>
                              </w:rPr>
                              <w:t xml:space="preserve">is a Chinese exporter of the goods subject to review. </w:t>
                            </w:r>
                            <w:r>
                              <w:rPr>
                                <w:rFonts w:hint="eastAsia" w:eastAsia="宋体" w:cs="Arial"/>
                                <w:i/>
                                <w:color w:val="7F7F7F" w:themeColor="background1" w:themeShade="80"/>
                                <w:lang w:val="en-US" w:eastAsia="zh-CN"/>
                              </w:rPr>
                              <w:t>We haven</w:t>
                            </w:r>
                            <w:r>
                              <w:rPr>
                                <w:rFonts w:hint="default" w:eastAsia="宋体" w:cs="Arial"/>
                                <w:i/>
                                <w:color w:val="7F7F7F" w:themeColor="background1" w:themeShade="80"/>
                                <w:lang w:val="en-US" w:eastAsia="zh-CN"/>
                              </w:rPr>
                              <w:t>’</w:t>
                            </w:r>
                            <w:r>
                              <w:rPr>
                                <w:rFonts w:hint="eastAsia" w:eastAsia="宋体" w:cs="Arial"/>
                                <w:i/>
                                <w:color w:val="7F7F7F" w:themeColor="background1" w:themeShade="80"/>
                                <w:lang w:val="en-US" w:eastAsia="zh-CN"/>
                              </w:rPr>
                              <w:t>t exported to the UK before but hope to have the cooperation in the future.</w:t>
                            </w:r>
                          </w:p>
                          <w:p>
                            <w:pPr>
                              <w:rPr>
                                <w:rFonts w:cs="Arial"/>
                              </w:rPr>
                            </w:pP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hint="default" w:eastAsia="宋体" w:cs="Arial"/>
                          <w:i/>
                          <w:color w:val="7F7F7F" w:themeColor="background1" w:themeShade="80"/>
                          <w:lang w:val="en-US" w:eastAsia="zh-CN"/>
                        </w:rPr>
                      </w:pPr>
                      <w:r>
                        <w:rPr>
                          <w:rFonts w:hint="eastAsia" w:eastAsia="宋体" w:cs="Arial"/>
                          <w:i/>
                          <w:color w:val="7F7F7F" w:themeColor="background1" w:themeShade="80"/>
                          <w:lang w:eastAsia="zh-CN"/>
                        </w:rPr>
                        <w:t xml:space="preserve"> </w:t>
                      </w:r>
                      <w:r>
                        <w:rPr>
                          <w:rFonts w:hint="eastAsia" w:eastAsia="宋体" w:cs="Arial"/>
                          <w:i/>
                          <w:color w:val="7F7F7F" w:themeColor="background1" w:themeShade="80"/>
                          <w:lang w:val="en-US" w:eastAsia="zh-CN"/>
                        </w:rPr>
                        <w:t xml:space="preserve">Hangzhou Top Mechanical and Electrical Technology Co., Ltd. </w:t>
                      </w:r>
                      <w:r>
                        <w:rPr>
                          <w:rFonts w:hint="eastAsia" w:eastAsia="宋体" w:cs="Arial"/>
                          <w:i/>
                          <w:color w:val="7F7F7F" w:themeColor="background1" w:themeShade="80"/>
                          <w:lang w:eastAsia="zh-CN"/>
                        </w:rPr>
                        <w:t xml:space="preserve">is a Chinese exporter of the goods subject to review. </w:t>
                      </w:r>
                      <w:r>
                        <w:rPr>
                          <w:rFonts w:hint="eastAsia" w:eastAsia="宋体" w:cs="Arial"/>
                          <w:i/>
                          <w:color w:val="7F7F7F" w:themeColor="background1" w:themeShade="80"/>
                          <w:lang w:val="en-US" w:eastAsia="zh-CN"/>
                        </w:rPr>
                        <w:t>We haven</w:t>
                      </w:r>
                      <w:r>
                        <w:rPr>
                          <w:rFonts w:hint="default" w:eastAsia="宋体" w:cs="Arial"/>
                          <w:i/>
                          <w:color w:val="7F7F7F" w:themeColor="background1" w:themeShade="80"/>
                          <w:lang w:val="en-US" w:eastAsia="zh-CN"/>
                        </w:rPr>
                        <w:t>’</w:t>
                      </w:r>
                      <w:r>
                        <w:rPr>
                          <w:rFonts w:hint="eastAsia" w:eastAsia="宋体" w:cs="Arial"/>
                          <w:i/>
                          <w:color w:val="7F7F7F" w:themeColor="background1" w:themeShade="80"/>
                          <w:lang w:val="en-US" w:eastAsia="zh-CN"/>
                        </w:rPr>
                        <w:t>t exported to the UK before but hope to have the cooperation in the future.</w:t>
                      </w:r>
                    </w:p>
                    <w:p>
                      <w:pPr>
                        <w:rPr>
                          <w:rFonts w:cs="Arial"/>
                        </w:rPr>
                      </w:pPr>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Style w:val="18"/>
          <w:rFonts w:cs="Arial"/>
          <w:shd w:val="clear" w:color="auto" w:fill="FFFFFF"/>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after="0" w:line="22" w:lineRule="atLeast"/>
        <w:rPr>
          <w:rStyle w:val="18"/>
          <w:rFonts w:cs="Arial"/>
          <w:shd w:val="clear" w:color="auto" w:fill="FFFFFF"/>
        </w:rPr>
      </w:pPr>
    </w:p>
    <w:p>
      <w:pPr>
        <w:spacing w:line="22" w:lineRule="atLeast"/>
        <w:rPr>
          <w:rFonts w:cs="Arial"/>
          <w:b/>
          <w:bCs/>
          <w:color w:val="0070C0"/>
          <w:lang w:val="en-US" w:eastAsia="zh-CN"/>
        </w:rPr>
      </w:pPr>
      <w:r>
        <w:rPr>
          <w:rFonts w:eastAsia="Arial" w:cs="Arial"/>
          <w:b/>
          <w:bCs/>
          <w:color w:val="0070C0"/>
        </w:rPr>
        <w:t xml:space="preserve">Not applicable. </w:t>
      </w:r>
      <w:r>
        <w:rPr>
          <w:rFonts w:hint="eastAsia" w:eastAsia="宋体" w:cs="Arial"/>
          <w:b/>
          <w:bCs/>
          <w:color w:val="0070C0"/>
          <w:lang w:val="en-US" w:eastAsia="zh-CN"/>
        </w:rPr>
        <w:t>Hangzhou Top Mechanical and Electrical Technology Co., Ltd.</w:t>
      </w:r>
      <w:r>
        <w:rPr>
          <w:rFonts w:cs="Arial"/>
          <w:b/>
          <w:bCs/>
          <w:color w:val="0070C0"/>
        </w:rPr>
        <w:t xml:space="preserve"> has no associated parties involved in the production and sales of goods subject to review or like goods during the POI</w:t>
      </w:r>
      <w:r>
        <w:rPr>
          <w:rFonts w:cs="Arial"/>
          <w:b/>
          <w:bCs/>
          <w:color w:val="0070C0"/>
          <w:lang w:val="en-US" w:eastAsia="zh-CN"/>
        </w:rPr>
        <w:t>.</w:t>
      </w:r>
    </w:p>
    <w:p>
      <w:pPr>
        <w:spacing w:line="22" w:lineRule="atLeast"/>
        <w:rPr>
          <w:rFonts w:cs="Arial"/>
          <w:b/>
          <w:bCs/>
          <w:color w:val="0070C0"/>
          <w:lang w:val="en-US" w:eastAsia="zh-CN"/>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w:t>
      </w:r>
      <w:r>
        <w:rPr>
          <w:rStyle w:val="38"/>
          <w:rFonts w:cs="Arial"/>
          <w:shd w:val="clear" w:color="auto" w:fill="FFFFFF"/>
        </w:rPr>
        <w:t xml:space="preserve">sales (domestic), sales (export), further processing of the goods subject to review or </w:t>
      </w:r>
      <w:r>
        <w:t>like goods</w:t>
      </w:r>
      <w:r>
        <w:rPr>
          <w:rStyle w:val="38"/>
          <w:rFonts w:cs="Arial"/>
          <w:color w:val="000000"/>
          <w:shd w:val="clear" w:color="auto" w:fill="FFFFFF"/>
        </w:rPr>
        <w:t xml:space="preserve">. </w:t>
      </w:r>
      <w:r>
        <w:rPr>
          <w:rStyle w:val="39"/>
          <w:rFonts w:cs="Arial"/>
          <w:color w:val="000000"/>
          <w:shd w:val="clear" w:color="auto" w:fill="FFFFFF"/>
        </w:rPr>
        <w:t xml:space="preserve"> </w:t>
      </w:r>
    </w:p>
    <w:p>
      <w:pPr>
        <w:spacing w:after="0" w:line="22" w:lineRule="atLeast"/>
        <w:rPr>
          <w:rFonts w:eastAsia="Arial" w:cs="Arial"/>
        </w:rPr>
      </w:pPr>
    </w:p>
    <w:tbl>
      <w:tblPr>
        <w:tblStyle w:val="1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744"/>
        <w:gridCol w:w="1890"/>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93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017"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5"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938" w:type="pct"/>
          </w:tcPr>
          <w:p>
            <w:pPr>
              <w:spacing w:after="0" w:line="22" w:lineRule="atLeast"/>
              <w:rPr>
                <w:rFonts w:eastAsia="Arial" w:cs="Arial"/>
                <w:i/>
                <w:iCs/>
                <w:szCs w:val="24"/>
              </w:rPr>
            </w:pPr>
          </w:p>
        </w:tc>
        <w:tc>
          <w:tcPr>
            <w:tcW w:w="1017" w:type="pct"/>
          </w:tcPr>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5"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938" w:type="pct"/>
          </w:tcPr>
          <w:p>
            <w:pPr>
              <w:spacing w:after="0" w:line="22" w:lineRule="atLeast"/>
              <w:rPr>
                <w:rFonts w:eastAsia="Arial" w:cs="Arial"/>
                <w:i/>
                <w:iCs/>
                <w:szCs w:val="24"/>
              </w:rPr>
            </w:pPr>
          </w:p>
        </w:tc>
        <w:tc>
          <w:tcPr>
            <w:tcW w:w="1017"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5" w:type="pct"/>
          </w:tcPr>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8"/>
          <w:rFonts w:cs="Arial"/>
          <w:bCs/>
          <w:shd w:val="clear" w:color="auto" w:fill="FFFFFF"/>
        </w:rPr>
        <w:t xml:space="preserve"> </w:t>
      </w:r>
      <w:r>
        <w:rPr>
          <w:bCs/>
        </w:rP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6"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1667" w:type="pct"/>
          </w:tcPr>
          <w:p>
            <w:pPr>
              <w:keepNext/>
              <w:keepLines/>
              <w:spacing w:after="0" w:line="22" w:lineRule="atLeast"/>
              <w:rPr>
                <w:rFonts w:cs="Arial"/>
                <w:szCs w:val="24"/>
                <w:u w:val="single"/>
              </w:rPr>
            </w:pPr>
            <w:r>
              <w:rPr>
                <w:rFonts w:hint="eastAsia" w:eastAsia="宋体" w:cs="Arial"/>
                <w:szCs w:val="24"/>
                <w:u w:val="single"/>
                <w:lang w:val="en-US" w:eastAsia="zh-CN"/>
              </w:rPr>
              <w:t>Non-confidential range: 70,000-840,000</w:t>
            </w:r>
          </w:p>
        </w:tc>
        <w:tc>
          <w:tcPr>
            <w:tcW w:w="1666" w:type="pct"/>
          </w:tcPr>
          <w:p>
            <w:pPr>
              <w:keepNext/>
              <w:keepLines/>
              <w:spacing w:after="0" w:line="22" w:lineRule="atLeast"/>
              <w:rPr>
                <w:rFonts w:cs="Arial"/>
                <w:szCs w:val="24"/>
                <w:u w:val="single"/>
              </w:rPr>
            </w:pPr>
            <w:r>
              <w:rPr>
                <w:rFonts w:hint="eastAsia" w:eastAsia="宋体" w:cs="Arial"/>
                <w:szCs w:val="24"/>
                <w:u w:val="single"/>
                <w:lang w:val="en-US" w:eastAsia="zh-CN"/>
              </w:rPr>
              <w:t>Non-confidential range: 25,000-30,000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1667" w:type="pct"/>
          </w:tcPr>
          <w:p>
            <w:pPr>
              <w:keepNext/>
              <w:keepLines/>
              <w:spacing w:after="0" w:line="22" w:lineRule="atLeast"/>
              <w:rPr>
                <w:rFonts w:cs="Arial"/>
                <w:szCs w:val="24"/>
                <w:u w:val="single"/>
              </w:rPr>
            </w:pPr>
            <w:r>
              <w:rPr>
                <w:rFonts w:hint="eastAsia" w:eastAsia="宋体" w:cs="Arial"/>
                <w:szCs w:val="24"/>
                <w:u w:val="single"/>
                <w:lang w:val="en-US" w:eastAsia="zh-CN"/>
              </w:rPr>
              <w:t>Non-confidential range: 1,260,000-1,400,000</w:t>
            </w:r>
          </w:p>
        </w:tc>
        <w:tc>
          <w:tcPr>
            <w:tcW w:w="1666" w:type="pct"/>
          </w:tcPr>
          <w:p>
            <w:pPr>
              <w:keepNext/>
              <w:keepLines/>
              <w:spacing w:after="0" w:line="22" w:lineRule="atLeast"/>
              <w:rPr>
                <w:rFonts w:cs="Arial"/>
                <w:szCs w:val="24"/>
                <w:u w:val="single"/>
              </w:rPr>
            </w:pPr>
            <w:r>
              <w:rPr>
                <w:rFonts w:hint="eastAsia" w:eastAsia="宋体" w:cs="Arial"/>
                <w:szCs w:val="24"/>
                <w:u w:val="single"/>
                <w:lang w:val="en-US" w:eastAsia="zh-CN"/>
              </w:rPr>
              <w:t>Non-confidential range: 45,000-50,000</w:t>
            </w:r>
            <w:bookmarkStart w:id="38" w:name="_GoBack"/>
            <w:bookmarkEnd w:id="38"/>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3"/>
        <w:gridCol w:w="1743"/>
        <w:gridCol w:w="19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3"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6"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bl>
    <w:p/>
    <w:p>
      <w:pPr>
        <w:spacing w:line="22" w:lineRule="atLeast"/>
      </w:pPr>
    </w:p>
    <w:p>
      <w:pPr>
        <w:pStyle w:val="4"/>
      </w:pPr>
      <w:bookmarkStart w:id="18" w:name="_Toc135639612"/>
      <w:r>
        <w:t>B3 – Commodity codes</w:t>
      </w:r>
      <w:bookmarkEnd w:id="18"/>
    </w:p>
    <w:p/>
    <w:p>
      <w:pPr>
        <w:rPr>
          <w:rStyle w:val="38"/>
          <w:rFonts w:cs="Arial"/>
          <w:bCs/>
          <w:color w:val="FF0000"/>
          <w:shd w:val="clear" w:color="auto" w:fill="FFFFFF"/>
        </w:rPr>
      </w:pPr>
      <w:r>
        <w:t xml:space="preserve">Please provide details of the commodity code(s) you export the </w:t>
      </w:r>
      <w:r>
        <w:rPr>
          <w:rStyle w:val="38"/>
          <w:rFonts w:cs="Arial"/>
          <w:shd w:val="clear" w:color="auto" w:fill="FFFFFF"/>
        </w:rPr>
        <w:t>goods subject to review to the UK under in the box</w:t>
      </w:r>
      <w:r>
        <w:rPr>
          <w:rStyle w:val="38"/>
          <w:rFonts w:cs="Arial"/>
          <w:bCs/>
          <w:shd w:val="clear" w:color="auto" w:fill="FFFFFF"/>
        </w:rPr>
        <w:t xml:space="preserve"> below:</w:t>
      </w:r>
    </w:p>
    <w:p>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lang w:val="en-US"/>
                              </w:rPr>
                            </w:pPr>
                            <w:r>
                              <w:rPr>
                                <w:rFonts w:hint="eastAsia" w:eastAsia="宋体" w:cs="Arial"/>
                                <w:i/>
                                <w:color w:val="7F7F7F" w:themeColor="background1" w:themeShade="80"/>
                                <w:lang w:eastAsia="zh-CN"/>
                              </w:rPr>
                              <w:t xml:space="preserve"> </w:t>
                            </w:r>
                            <w:r>
                              <w:rPr>
                                <w:rFonts w:hint="eastAsia" w:eastAsia="宋体" w:cs="Arial"/>
                                <w:i/>
                                <w:color w:val="7F7F7F" w:themeColor="background1" w:themeShade="80"/>
                                <w:lang w:val="en-US" w:eastAsia="zh-CN"/>
                              </w:rPr>
                              <w:t>8711600010</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vxdcAAAAHAQAADwAAAAAAAAABACAAAAAiAAAAZHJzL2Rvd25yZXYueG1sUEsBAhQAFAAA&#10;AAgAh07iQLzL50EpAgAAfQQAAA4AAAAAAAAAAQAgAAAAJgEAAGRycy9lMm9Eb2MueG1sUEsFBgAA&#10;AAAGAAYAWQEAAMEFAAAAAA==&#10;">
                <v:fill on="t" focussize="0,0"/>
                <v:stroke color="#000000" miterlimit="8" joinstyle="miter"/>
                <v:imagedata o:title=""/>
                <o:lock v:ext="edit" aspectratio="f"/>
                <v:textbox>
                  <w:txbxContent>
                    <w:p>
                      <w:pPr>
                        <w:rPr>
                          <w:rFonts w:hint="default" w:cs="Arial"/>
                          <w:lang w:val="en-US"/>
                        </w:rPr>
                      </w:pPr>
                      <w:r>
                        <w:rPr>
                          <w:rFonts w:hint="eastAsia" w:eastAsia="宋体" w:cs="Arial"/>
                          <w:i/>
                          <w:color w:val="7F7F7F" w:themeColor="background1" w:themeShade="80"/>
                          <w:lang w:eastAsia="zh-CN"/>
                        </w:rPr>
                        <w:t xml:space="preserve"> </w:t>
                      </w:r>
                      <w:r>
                        <w:rPr>
                          <w:rFonts w:hint="eastAsia" w:eastAsia="宋体" w:cs="Arial"/>
                          <w:i/>
                          <w:color w:val="7F7F7F" w:themeColor="background1" w:themeShade="80"/>
                          <w:lang w:val="en-US" w:eastAsia="zh-CN"/>
                        </w:rPr>
                        <w:t>8711600010</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98925164"/>
      <w:bookmarkStart w:id="23" w:name="_Toc135639615"/>
      <w:bookmarkStart w:id="24" w:name="_Toc110433995"/>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spacing w:after="0" w:line="240" w:lineRule="auto"/>
        <w:rPr>
          <w:rFonts w:eastAsiaTheme="minorEastAsia"/>
          <w:szCs w:val="24"/>
        </w:rPr>
      </w:pPr>
    </w:p>
    <w:p>
      <w:pPr>
        <w:keepNext/>
        <w:keepLines/>
        <w:spacing w:before="40" w:after="0" w:line="240" w:lineRule="auto"/>
        <w:outlineLvl w:val="2"/>
        <w:rPr>
          <w:rFonts w:eastAsiaTheme="minorEastAsia"/>
          <w:szCs w:val="24"/>
        </w:rPr>
      </w:pPr>
      <w:r>
        <w:rPr>
          <w:rFonts w:hint="eastAsia"/>
          <w:b/>
          <w:bCs/>
          <w:color w:val="0070C0"/>
          <w:szCs w:val="24"/>
          <w:lang w:eastAsia="zh-CN"/>
        </w:rPr>
        <w:t>N</w:t>
      </w:r>
      <w:r>
        <w:rPr>
          <w:b/>
          <w:bCs/>
          <w:color w:val="0070C0"/>
          <w:szCs w:val="24"/>
          <w:lang w:eastAsia="zh-CN"/>
        </w:rPr>
        <w:t>one.</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98925166"/>
      <w:bookmarkStart w:id="26" w:name="_Toc110433997"/>
      <w:bookmarkStart w:id="27" w:name="_Toc13563961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r>
                              <w:rPr>
                                <w:rFonts w:hint="eastAsia" w:eastAsia="宋体" w:cs="Arial"/>
                                <w:i/>
                                <w:color w:val="7F7F7F" w:themeColor="background1" w:themeShade="80"/>
                                <w:sz w:val="22"/>
                                <w:lang w:eastAsia="zh-CN"/>
                              </w:rPr>
                              <w:t xml:space="preserve"> </w:t>
                            </w:r>
                            <w:r>
                              <w:rPr>
                                <w:rFonts w:hint="eastAsia" w:eastAsia="宋体" w:cs="Arial"/>
                                <w:i/>
                                <w:color w:val="7F7F7F" w:themeColor="background1" w:themeShade="80"/>
                                <w:sz w:val="22"/>
                                <w:lang w:val="en-US" w:eastAsia="zh-CN"/>
                              </w:rPr>
                              <w:t>Not applicable.</w:t>
                            </w:r>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r>
                        <w:rPr>
                          <w:rFonts w:hint="eastAsia" w:eastAsia="宋体" w:cs="Arial"/>
                          <w:i/>
                          <w:color w:val="7F7F7F" w:themeColor="background1" w:themeShade="80"/>
                          <w:sz w:val="22"/>
                          <w:lang w:eastAsia="zh-CN"/>
                        </w:rPr>
                        <w:t xml:space="preserve"> </w:t>
                      </w:r>
                      <w:r>
                        <w:rPr>
                          <w:rFonts w:hint="eastAsia" w:eastAsia="宋体" w:cs="Arial"/>
                          <w:i/>
                          <w:color w:val="7F7F7F" w:themeColor="background1" w:themeShade="80"/>
                          <w:sz w:val="22"/>
                          <w:lang w:val="en-US" w:eastAsia="zh-CN"/>
                        </w:rPr>
                        <w:t>Not applicable.</w:t>
                      </w:r>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110433998"/>
      <w:bookmarkStart w:id="29" w:name="_Toc135639617"/>
      <w:bookmarkStart w:id="30" w:name="_Toc98925167"/>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r>
                              <w:rPr>
                                <w:rFonts w:hint="eastAsia" w:eastAsia="宋体" w:cs="Arial"/>
                                <w:i/>
                                <w:color w:val="7F7F7F" w:themeColor="background1" w:themeShade="80"/>
                                <w:sz w:val="22"/>
                                <w:lang w:eastAsia="zh-CN"/>
                              </w:rPr>
                              <w:t xml:space="preserve"> </w:t>
                            </w:r>
                            <w:r>
                              <w:rPr>
                                <w:rFonts w:hint="eastAsia" w:eastAsia="宋体" w:cs="Arial"/>
                                <w:i/>
                                <w:color w:val="7F7F7F" w:themeColor="background1" w:themeShade="80"/>
                                <w:sz w:val="22"/>
                                <w:lang w:val="en-US" w:eastAsia="zh-CN"/>
                              </w:rPr>
                              <w:t>None.</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cs="Arial"/>
                          <w:sz w:val="22"/>
                        </w:rPr>
                      </w:pPr>
                      <w:r>
                        <w:rPr>
                          <w:rFonts w:hint="eastAsia" w:eastAsia="宋体" w:cs="Arial"/>
                          <w:i/>
                          <w:color w:val="7F7F7F" w:themeColor="background1" w:themeShade="80"/>
                          <w:sz w:val="22"/>
                          <w:lang w:eastAsia="zh-CN"/>
                        </w:rPr>
                        <w:t xml:space="preserve"> </w:t>
                      </w:r>
                      <w:r>
                        <w:rPr>
                          <w:rFonts w:hint="eastAsia" w:eastAsia="宋体" w:cs="Arial"/>
                          <w:i/>
                          <w:color w:val="7F7F7F" w:themeColor="background1" w:themeShade="80"/>
                          <w:sz w:val="22"/>
                          <w:lang w:val="en-US" w:eastAsia="zh-CN"/>
                        </w:rPr>
                        <w:t>None.</w:t>
                      </w: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98925169"/>
      <w:bookmarkStart w:id="32" w:name="_Toc135639618"/>
      <w:bookmarkStart w:id="33" w:name="_Toc110434000"/>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rPr>
          <w:rFonts w:eastAsia="Times New Roman" w:cs="Arial"/>
          <w:color w:val="0B0C0C"/>
          <w:szCs w:val="24"/>
          <w:lang w:eastAsia="en-GB"/>
        </w:rPr>
      </w:pPr>
      <w:r>
        <w:rPr>
          <w:rFonts w:cs="Arial"/>
          <w:b/>
          <w:bCs/>
          <w:iCs/>
          <w:color w:val="0070C0"/>
          <w:szCs w:val="24"/>
          <w:lang w:val="en-US"/>
        </w:rPr>
        <w:t>None.</w:t>
      </w:r>
    </w:p>
    <w:p>
      <w:pPr>
        <w:spacing w:after="0" w:line="240" w:lineRule="auto"/>
        <w:rPr>
          <w:rFonts w:eastAsiaTheme="minorEastAsia"/>
          <w:szCs w:val="24"/>
        </w:rPr>
      </w:pPr>
    </w:p>
    <w:tbl>
      <w:tblPr>
        <w:tblStyle w:val="15"/>
        <w:tblW w:w="52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310"/>
        <w:gridCol w:w="1626"/>
        <w:gridCol w:w="2190"/>
        <w:gridCol w:w="165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9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9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35639619"/>
      <w:bookmarkStart w:id="35" w:name="_Toc110434001"/>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r>
                              <w:rPr>
                                <w:rFonts w:hint="eastAsia" w:eastAsia="宋体" w:cs="Arial"/>
                                <w:i/>
                                <w:color w:val="7F7F7F" w:themeColor="background1" w:themeShade="80"/>
                                <w:sz w:val="22"/>
                                <w:lang w:eastAsia="zh-CN"/>
                              </w:rPr>
                              <w:t xml:space="preserve"> </w:t>
                            </w:r>
                            <w:r>
                              <w:rPr>
                                <w:rFonts w:hint="eastAsia" w:eastAsia="宋体" w:cs="Arial"/>
                                <w:i/>
                                <w:color w:val="7F7F7F" w:themeColor="background1" w:themeShade="80"/>
                                <w:sz w:val="22"/>
                                <w:lang w:val="en-US" w:eastAsia="zh-CN"/>
                              </w:rPr>
                              <w:t>None.</w:t>
                            </w: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cs="Arial"/>
                          <w:sz w:val="22"/>
                        </w:rPr>
                      </w:pPr>
                      <w:r>
                        <w:rPr>
                          <w:rFonts w:hint="eastAsia" w:eastAsia="宋体" w:cs="Arial"/>
                          <w:i/>
                          <w:color w:val="7F7F7F" w:themeColor="background1" w:themeShade="80"/>
                          <w:sz w:val="22"/>
                          <w:lang w:eastAsia="zh-CN"/>
                        </w:rPr>
                        <w:t xml:space="preserve"> </w:t>
                      </w:r>
                      <w:r>
                        <w:rPr>
                          <w:rFonts w:hint="eastAsia" w:eastAsia="宋体" w:cs="Arial"/>
                          <w:i/>
                          <w:color w:val="7F7F7F" w:themeColor="background1" w:themeShade="80"/>
                          <w:sz w:val="22"/>
                          <w:lang w:val="en-US" w:eastAsia="zh-CN"/>
                        </w:rPr>
                        <w:t>None.</w:t>
                      </w: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游明朝">
    <w:altName w:val="ksdb"/>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3"/>
            <w:ind w:firstLine="148"/>
            <w:rPr>
              <w:rFonts w:ascii="Arial" w:hAnsi="Arial" w:cs="Arial"/>
              <w:color w:val="FF0000"/>
              <w:sz w:val="18"/>
              <w:szCs w:val="24"/>
            </w:rPr>
          </w:pPr>
        </w:p>
      </w:tc>
    </w:tr>
    <w:bookmarkEnd w:id="36"/>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2YWViNjg1NjBhZThjNTY4ZDZhMTMwYzJiNjM1ZmYifQ=="/>
  </w:docVars>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23B0087B"/>
    <w:rsid w:val="44543D0D"/>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qFormat/>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30F72-7417-48E6-AE0C-1B81CF923EE9}">
  <ds:schemaRefs/>
</ds:datastoreItem>
</file>

<file path=customXml/itemProps3.xml><?xml version="1.0" encoding="utf-8"?>
<ds:datastoreItem xmlns:ds="http://schemas.openxmlformats.org/officeDocument/2006/customXml" ds:itemID="{B12B0E40-F7D5-4FFB-9A7D-8BB9919D55A7}"/>
</file>

<file path=customXml/itemProps4.xml><?xml version="1.0" encoding="utf-8"?>
<ds:datastoreItem xmlns:ds="http://schemas.openxmlformats.org/officeDocument/2006/customXml" ds:itemID="{77031060-4A8E-4745-8E93-1055D6FF401F}">
  <ds:schemaRefs/>
</ds:datastoreItem>
</file>

<file path=customXml/itemProps5.xml><?xml version="1.0" encoding="utf-8"?>
<ds:datastoreItem xmlns:ds="http://schemas.openxmlformats.org/officeDocument/2006/customXml" ds:itemID="{FB7B7C74-D0C3-433A-8D0D-DB2DE94CCECD}">
  <ds:schemaRefs/>
</ds:datastoreItem>
</file>

<file path=docProps/app.xml><?xml version="1.0" encoding="utf-8"?>
<Properties xmlns="http://schemas.openxmlformats.org/officeDocument/2006/extended-properties" xmlns:vt="http://schemas.openxmlformats.org/officeDocument/2006/docPropsVTypes">
  <Template>Normal</Template>
  <Pages>15</Pages>
  <Words>2147</Words>
  <Characters>11297</Characters>
  <Lines>111</Lines>
  <Paragraphs>31</Paragraphs>
  <TotalTime>1</TotalTime>
  <ScaleCrop>false</ScaleCrop>
  <LinksUpToDate>false</LinksUpToDate>
  <CharactersWithSpaces>13280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2023-06-13T01:09:13Z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C7A47766B9CF4FBB84465AC89114BD54_12</vt:lpwstr>
  </property>
</Properties>
</file>