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1322DD7C" w:rsidR="000E1DC1" w:rsidRPr="009B7A52" w:rsidRDefault="00640160" w:rsidP="00640160">
            <w:pPr>
              <w:tabs>
                <w:tab w:val="left" w:pos="2130"/>
              </w:tabs>
              <w:spacing w:after="0" w:line="22" w:lineRule="atLeast"/>
              <w:rPr>
                <w:rFonts w:ascii="Arial" w:eastAsia="Arial" w:hAnsi="Arial" w:cs="Arial"/>
                <w:sz w:val="24"/>
                <w:szCs w:val="24"/>
              </w:rPr>
            </w:pPr>
            <w:r w:rsidRPr="00640160">
              <w:rPr>
                <w:rFonts w:ascii="Arial" w:eastAsia="Arial" w:hAnsi="Arial" w:cs="Arial"/>
                <w:sz w:val="24"/>
                <w:szCs w:val="24"/>
              </w:rPr>
              <w:t>Black Country Consortium Ltd</w:t>
            </w:r>
          </w:p>
          <w:p w14:paraId="22051C13" w14:textId="4EB23C73" w:rsidR="00F61F4E" w:rsidRPr="009B7A52" w:rsidRDefault="00F61F4E">
            <w:pPr>
              <w:tabs>
                <w:tab w:val="left" w:pos="2130"/>
              </w:tabs>
              <w:spacing w:after="0" w:line="22" w:lineRule="atLeast"/>
              <w:rPr>
                <w:rFonts w:ascii="Arial" w:eastAsia="Arial" w:hAnsi="Arial" w:cs="Arial"/>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0" w:name="_Toc32829438"/>
    </w:p>
    <w:p w14:paraId="124B5807" w14:textId="476E09D3"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67A6ADC2" w14:textId="0064E89C" w:rsidR="00CB18CE" w:rsidRDefault="00CB18CE" w:rsidP="00CB18CE"/>
    <w:p w14:paraId="3A3C6930" w14:textId="34971DAD" w:rsidR="00CB18CE" w:rsidRDefault="00CB18CE" w:rsidP="00CB18CE"/>
    <w:p w14:paraId="245A48CC" w14:textId="36A77082" w:rsidR="00930D82" w:rsidRDefault="00930D82" w:rsidP="00CB18CE"/>
    <w:p w14:paraId="5094001F" w14:textId="77777777" w:rsidR="00930D82" w:rsidRDefault="00930D82" w:rsidP="00CB18CE"/>
    <w:p w14:paraId="1176FC13" w14:textId="1CB122CC" w:rsidR="00CB18CE" w:rsidRDefault="00CB18CE" w:rsidP="00CB18CE"/>
    <w:p w14:paraId="5290A0EF" w14:textId="117ACCD7" w:rsidR="00CB18CE" w:rsidRDefault="00CB18CE" w:rsidP="00CB18CE"/>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080D4566" w:rsidR="00CB18CE" w:rsidRPr="00382986" w:rsidRDefault="00101ED1"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w:t>
      </w:r>
      <w:r w:rsidR="00CB18CE" w:rsidRPr="00382986">
        <w:rPr>
          <w:rFonts w:ascii="Arial" w:eastAsia="Arial" w:hAnsi="Arial" w:cs="Arial"/>
          <w:color w:val="000000" w:themeColor="text1"/>
          <w:sz w:val="24"/>
          <w:szCs w:val="24"/>
        </w:rPr>
        <w:t>Confidential</w:t>
      </w:r>
    </w:p>
    <w:p w14:paraId="2F5D6092" w14:textId="6E6DDEE7" w:rsidR="00CB18CE" w:rsidRPr="00382986" w:rsidRDefault="00101ED1"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X</w:t>
      </w:r>
      <w:r w:rsidR="00CB18CE" w:rsidRPr="00382986">
        <w:rPr>
          <w:rFonts w:ascii="Arial" w:eastAsia="Arial" w:hAnsi="Arial" w:cs="Arial"/>
          <w:color w:val="000000" w:themeColor="text1"/>
          <w:sz w:val="24"/>
          <w:szCs w:val="24"/>
        </w:rPr>
        <w:t xml:space="preserve"> Non-</w:t>
      </w:r>
      <w:r w:rsidR="00FC4E56">
        <w:rPr>
          <w:rFonts w:ascii="Arial" w:eastAsia="Arial" w:hAnsi="Arial" w:cs="Arial"/>
          <w:color w:val="000000" w:themeColor="text1"/>
          <w:sz w:val="24"/>
          <w:szCs w:val="24"/>
        </w:rPr>
        <w:t>c</w:t>
      </w:r>
      <w:r w:rsidR="00CB18CE"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0"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1"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372E111F" w14:textId="24075EBD" w:rsidR="005044ED" w:rsidRPr="003B1BD7" w:rsidRDefault="00620E7C" w:rsidP="005044ED">
          <w:pPr>
            <w:pStyle w:val="TOCHeading"/>
            <w:jc w:val="center"/>
            <w:rPr>
              <w:rFonts w:ascii="Arial" w:hAnsi="Arial" w:cs="Arial"/>
              <w:b/>
              <w:bCs/>
              <w:color w:val="auto"/>
            </w:rPr>
          </w:pPr>
          <w:r w:rsidRPr="003B1BD7">
            <w:rPr>
              <w:rFonts w:ascii="Arial" w:hAnsi="Arial" w:cs="Arial"/>
              <w:b/>
              <w:bCs/>
              <w:color w:val="auto"/>
            </w:rPr>
            <w:t>Table of Contents</w:t>
          </w:r>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6A6028AD" w:rsidR="005044ED" w:rsidRPr="003B1BD7" w:rsidRDefault="005D2300">
          <w:pPr>
            <w:pStyle w:val="TOC1"/>
            <w:tabs>
              <w:tab w:val="right" w:leader="dot" w:pos="9016"/>
            </w:tabs>
            <w:rPr>
              <w:rFonts w:ascii="Arial" w:eastAsiaTheme="minorEastAsia" w:hAnsi="Arial" w:cs="Arial"/>
              <w:noProof/>
              <w:lang w:eastAsia="en-GB"/>
            </w:rPr>
          </w:pPr>
          <w:hyperlink w:anchor="_Toc53525177" w:history="1">
            <w:r w:rsidR="005044ED" w:rsidRPr="003B1BD7">
              <w:rPr>
                <w:rStyle w:val="Hyperlink"/>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0C26C855" w14:textId="1B3DEBB5" w:rsidR="005044ED" w:rsidRPr="003B1BD7" w:rsidRDefault="005D2300">
          <w:pPr>
            <w:pStyle w:val="TOC3"/>
            <w:tabs>
              <w:tab w:val="right" w:leader="dot" w:pos="9016"/>
            </w:tabs>
            <w:rPr>
              <w:rFonts w:ascii="Arial" w:eastAsiaTheme="minorEastAsia" w:hAnsi="Arial" w:cs="Arial"/>
              <w:noProof/>
              <w:lang w:eastAsia="en-GB"/>
            </w:rPr>
          </w:pPr>
          <w:hyperlink w:anchor="_Toc53525178" w:history="1">
            <w:r w:rsidR="005044ED" w:rsidRPr="003B1BD7">
              <w:rPr>
                <w:rStyle w:val="Hyperlink"/>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46E0095E" w14:textId="1365E5BB" w:rsidR="005044ED" w:rsidRPr="003B1BD7" w:rsidRDefault="005D2300">
          <w:pPr>
            <w:pStyle w:val="TOC1"/>
            <w:tabs>
              <w:tab w:val="right" w:leader="dot" w:pos="9016"/>
            </w:tabs>
            <w:rPr>
              <w:rFonts w:ascii="Arial" w:eastAsiaTheme="minorEastAsia" w:hAnsi="Arial" w:cs="Arial"/>
              <w:noProof/>
              <w:lang w:eastAsia="en-GB"/>
            </w:rPr>
          </w:pPr>
          <w:hyperlink w:anchor="_Toc53525179" w:history="1">
            <w:r w:rsidR="005044ED" w:rsidRPr="003B1BD7">
              <w:rPr>
                <w:rStyle w:val="Hyperlink"/>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5</w:t>
            </w:r>
            <w:r w:rsidR="005044ED" w:rsidRPr="003B1BD7">
              <w:rPr>
                <w:rFonts w:ascii="Arial" w:hAnsi="Arial" w:cs="Arial"/>
                <w:noProof/>
                <w:webHidden/>
              </w:rPr>
              <w:fldChar w:fldCharType="end"/>
            </w:r>
          </w:hyperlink>
        </w:p>
        <w:p w14:paraId="1BD44699" w14:textId="71C9821C" w:rsidR="005044ED" w:rsidRPr="003B1BD7" w:rsidRDefault="005D2300">
          <w:pPr>
            <w:pStyle w:val="TOC1"/>
            <w:tabs>
              <w:tab w:val="right" w:leader="dot" w:pos="9016"/>
            </w:tabs>
            <w:rPr>
              <w:rFonts w:ascii="Arial" w:eastAsiaTheme="minorEastAsia" w:hAnsi="Arial" w:cs="Arial"/>
              <w:noProof/>
              <w:lang w:eastAsia="en-GB"/>
            </w:rPr>
          </w:pPr>
          <w:hyperlink w:anchor="_Toc53525180" w:history="1">
            <w:r w:rsidR="005044ED" w:rsidRPr="003B1BD7">
              <w:rPr>
                <w:rStyle w:val="Hyperlink"/>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6</w:t>
            </w:r>
            <w:r w:rsidR="005044ED" w:rsidRPr="003B1BD7">
              <w:rPr>
                <w:rFonts w:ascii="Arial" w:hAnsi="Arial" w:cs="Arial"/>
                <w:noProof/>
                <w:webHidden/>
              </w:rPr>
              <w:fldChar w:fldCharType="end"/>
            </w:r>
          </w:hyperlink>
        </w:p>
        <w:p w14:paraId="39A52131" w14:textId="6F6425CB" w:rsidR="005044ED" w:rsidRPr="003B1BD7" w:rsidRDefault="005D2300">
          <w:pPr>
            <w:pStyle w:val="TOC1"/>
            <w:tabs>
              <w:tab w:val="right" w:leader="dot" w:pos="9016"/>
            </w:tabs>
            <w:rPr>
              <w:rFonts w:ascii="Arial" w:eastAsiaTheme="minorEastAsia" w:hAnsi="Arial" w:cs="Arial"/>
              <w:noProof/>
              <w:lang w:eastAsia="en-GB"/>
            </w:rPr>
          </w:pPr>
          <w:hyperlink w:anchor="_Toc53525181" w:history="1">
            <w:r w:rsidR="005044ED" w:rsidRPr="003B1BD7">
              <w:rPr>
                <w:rStyle w:val="Hyperlink"/>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7</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Heading1"/>
        <w:rPr>
          <w:rFonts w:ascii="Arial" w:hAnsi="Arial" w:cs="Arial"/>
          <w:b/>
          <w:bCs/>
          <w:color w:val="auto"/>
        </w:rPr>
      </w:pPr>
      <w:bookmarkStart w:id="2" w:name="_Toc32519544"/>
      <w:bookmarkStart w:id="3" w:name="_Toc53524891"/>
      <w:bookmarkStart w:id="4" w:name="_Toc53525177"/>
      <w:r w:rsidRPr="008A5F04">
        <w:rPr>
          <w:rFonts w:ascii="Arial" w:hAnsi="Arial" w:cs="Arial"/>
          <w:b/>
          <w:bCs/>
          <w:color w:val="auto"/>
        </w:rPr>
        <w:lastRenderedPageBreak/>
        <w:t>Instructions</w:t>
      </w:r>
      <w:bookmarkEnd w:id="2"/>
      <w:bookmarkEnd w:id="3"/>
      <w:bookmarkEnd w:id="4"/>
    </w:p>
    <w:p w14:paraId="4C317E80" w14:textId="7CFF39C6" w:rsidR="00CC077F" w:rsidRPr="003B1BD7" w:rsidRDefault="00CC077F" w:rsidP="00CC077F">
      <w:pPr>
        <w:pStyle w:val="Heading3"/>
        <w:rPr>
          <w:rFonts w:cs="Arial"/>
          <w:lang w:eastAsia="zh-CN"/>
        </w:rPr>
      </w:pPr>
      <w:bookmarkStart w:id="5" w:name="_Toc32519549"/>
      <w:bookmarkStart w:id="6" w:name="_Toc53524892"/>
      <w:bookmarkStart w:id="7" w:name="_Toc53524939"/>
      <w:bookmarkStart w:id="8" w:name="_Toc53525039"/>
      <w:bookmarkStart w:id="9" w:name="_Toc53525178"/>
      <w:r w:rsidRPr="003B1BD7">
        <w:rPr>
          <w:rFonts w:cs="Arial"/>
          <w:lang w:eastAsia="zh-CN"/>
        </w:rPr>
        <w:t>I – Note about confidentiality</w:t>
      </w:r>
      <w:bookmarkEnd w:id="5"/>
      <w:bookmarkEnd w:id="6"/>
      <w:bookmarkEnd w:id="7"/>
      <w:bookmarkEnd w:id="8"/>
      <w:bookmarkEnd w:id="9"/>
    </w:p>
    <w:p w14:paraId="430B0A92" w14:textId="321FC8FF" w:rsidR="0066455B" w:rsidRDefault="00CC077F" w:rsidP="00CC077F">
      <w:pPr>
        <w:pStyle w:val="NormalWeb"/>
        <w:rPr>
          <w:rFonts w:ascii="Arial" w:hAnsi="Arial" w:cs="Arial"/>
          <w:color w:val="000000"/>
        </w:rPr>
      </w:pPr>
      <w:bookmarkStart w:id="10" w:name="_Hlk4494759"/>
      <w:bookmarkEnd w:id="10"/>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NormalWeb"/>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NormalWeb"/>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1" w:anchor="how-we-handle-confidential-information" w:history="1">
        <w:r w:rsidR="00CC077F" w:rsidRPr="002302FA">
          <w:rPr>
            <w:rStyle w:val="Hyperlink"/>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2" w:history="1">
        <w:r w:rsidR="002F4565" w:rsidRPr="0060080E">
          <w:rPr>
            <w:rStyle w:val="Hyperlink"/>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1" w:name="_Toc53524893"/>
      <w:bookmarkStart w:id="12" w:name="_Toc5352517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1"/>
      <w:bookmarkEnd w:id="12"/>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3" w:history="1">
        <w:r w:rsidR="007259B0" w:rsidRPr="001878B9">
          <w:rPr>
            <w:rStyle w:val="Hyperlink"/>
            <w:rFonts w:ascii="Arial" w:eastAsia="Arial" w:hAnsi="Arial" w:cs="Arial"/>
            <w:sz w:val="24"/>
            <w:szCs w:val="24"/>
          </w:rPr>
          <w:t xml:space="preserve"> </w:t>
        </w:r>
        <w:r w:rsidR="008029F1" w:rsidRPr="001878B9">
          <w:rPr>
            <w:rStyle w:val="Hyperlink"/>
            <w:rFonts w:ascii="Arial" w:eastAsia="Arial" w:hAnsi="Arial" w:cs="Arial"/>
            <w:sz w:val="24"/>
            <w:szCs w:val="24"/>
          </w:rPr>
          <w:t xml:space="preserve">Reconsideration’s </w:t>
        </w:r>
        <w:r w:rsidR="007259B0" w:rsidRPr="001878B9">
          <w:rPr>
            <w:rStyle w:val="Hyperlink"/>
            <w:rFonts w:ascii="Arial" w:eastAsia="Arial" w:hAnsi="Arial" w:cs="Arial"/>
            <w:sz w:val="24"/>
            <w:szCs w:val="24"/>
          </w:rPr>
          <w:t>N</w:t>
        </w:r>
        <w:r w:rsidR="008029F1" w:rsidRPr="001878B9">
          <w:rPr>
            <w:rStyle w:val="Hyperlink"/>
            <w:rFonts w:ascii="Arial" w:eastAsia="Arial" w:hAnsi="Arial" w:cs="Arial"/>
            <w:sz w:val="24"/>
            <w:szCs w:val="24"/>
          </w:rPr>
          <w:t>otice of Initiation</w:t>
        </w:r>
      </w:hyperlink>
      <w:r w:rsidR="00743A07">
        <w:rPr>
          <w:rStyle w:val="Hyperlink"/>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ListParagraph"/>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372619C0">
                <wp:simplePos x="0" y="0"/>
                <wp:positionH relativeFrom="margin">
                  <wp:align>left</wp:align>
                </wp:positionH>
                <wp:positionV relativeFrom="paragraph">
                  <wp:posOffset>296549</wp:posOffset>
                </wp:positionV>
                <wp:extent cx="5704840" cy="2278380"/>
                <wp:effectExtent l="0" t="0" r="10160" b="26670"/>
                <wp:wrapSquare wrapText="bothSides"/>
                <wp:docPr id="2" name="Text Box 3"/>
                <wp:cNvGraphicFramePr/>
                <a:graphic xmlns:a="http://schemas.openxmlformats.org/drawingml/2006/main">
                  <a:graphicData uri="http://schemas.microsoft.com/office/word/2010/wordprocessingShape">
                    <wps:wsp>
                      <wps:cNvSpPr txBox="1"/>
                      <wps:spPr>
                        <a:xfrm>
                          <a:off x="0" y="0"/>
                          <a:ext cx="5704840" cy="2278380"/>
                        </a:xfrm>
                        <a:prstGeom prst="rect">
                          <a:avLst/>
                        </a:prstGeom>
                        <a:solidFill>
                          <a:srgbClr val="FFFFFF"/>
                        </a:solidFill>
                        <a:ln w="9528">
                          <a:solidFill>
                            <a:srgbClr val="000000"/>
                          </a:solidFill>
                          <a:prstDash val="solid"/>
                        </a:ln>
                      </wps:spPr>
                      <wps:txbx>
                        <w:txbxContent>
                          <w:p w14:paraId="22051BC0"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22051BC1" w14:textId="6862EC3C" w:rsidR="000E1DC1" w:rsidRDefault="00D1263B">
                            <w:pPr>
                              <w:rPr>
                                <w:rFonts w:cs="Arial"/>
                              </w:rPr>
                            </w:pPr>
                            <w:r>
                              <w:rPr>
                                <w:rFonts w:cs="Arial"/>
                              </w:rPr>
                              <w:t xml:space="preserve">Black Country Consortium Ltd provides the strategic and delivery capacity of the Black Country Local Enterprise Partnership (LEP), covering the four local authority areas of Wolverhampton, Walsall, </w:t>
                            </w:r>
                            <w:proofErr w:type="gramStart"/>
                            <w:r>
                              <w:rPr>
                                <w:rFonts w:cs="Arial"/>
                              </w:rPr>
                              <w:t>Sandwell</w:t>
                            </w:r>
                            <w:proofErr w:type="gramEnd"/>
                            <w:r>
                              <w:rPr>
                                <w:rFonts w:cs="Arial"/>
                              </w:rPr>
                              <w:t xml:space="preserve"> and Dudley. We take an industry-led, evidence focused approach to economic development strategy and action, representing local businesses to grasp opportunities and mitigate issues. We also lead the metals and materials sector at the regional (West Midlands Combined Authority) level via a West Midlands Metals and Materials Forum. The Forum brings together businesses, trade associations and universities from what is a critically important sector in the region. The issue of current steel safeguarding measures was raised at the Metals and Materials Forum among other local channels, with businesses raising the need for representation and change.</w:t>
                            </w:r>
                            <w:r w:rsidR="004C55AD" w:rsidRPr="004C55AD">
                              <w:rPr>
                                <w:rFonts w:cs="Arial"/>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79.4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" strokeweight=".26467mm">
                <v:textbox>
                  <w:txbxContent>
                    <w:p w14:paraId="22051BC0" w14:textId="77777777" w:rsidR="000E1DC1" w:rsidRPr="00743A07" w:rsidRDefault="00F61F4E">
                      <w:pPr>
                        <w:rPr>
                          <w:rFonts w:ascii="Arial" w:hAnsi="Arial" w:cs="Arial"/>
                          <w:i/>
                          <w:color w:val="808080"/>
                        </w:rPr>
                      </w:pPr>
                      <w:r w:rsidRPr="00743A07">
                        <w:rPr>
                          <w:rFonts w:ascii="Arial" w:hAnsi="Arial" w:cs="Arial"/>
                          <w:i/>
                          <w:color w:val="808080"/>
                        </w:rPr>
                        <w:t>Please answer here</w:t>
                      </w:r>
                    </w:p>
                    <w:p w14:paraId="22051BC1" w14:textId="6862EC3C" w:rsidR="000E1DC1" w:rsidRDefault="00D1263B">
                      <w:pPr>
                        <w:rPr>
                          <w:rFonts w:cs="Arial"/>
                        </w:rPr>
                      </w:pPr>
                      <w:r>
                        <w:rPr>
                          <w:rFonts w:cs="Arial"/>
                        </w:rPr>
                        <w:t xml:space="preserve">Black Country Consortium Ltd provides the strategic and delivery capacity of the Black Country Local Enterprise Partnership (LEP), covering the four local authority areas of Wolverhampton, Walsall, </w:t>
                      </w:r>
                      <w:proofErr w:type="gramStart"/>
                      <w:r>
                        <w:rPr>
                          <w:rFonts w:cs="Arial"/>
                        </w:rPr>
                        <w:t>Sandwell</w:t>
                      </w:r>
                      <w:proofErr w:type="gramEnd"/>
                      <w:r>
                        <w:rPr>
                          <w:rFonts w:cs="Arial"/>
                        </w:rPr>
                        <w:t xml:space="preserve"> and Dudley. We take an industry-led, evidence focused approach to economic development strategy and action, representing local businesses to grasp opportunities and mitigate issues. We also lead the metals and materials sector at the regional (West Midlands Combined Authority) level via a West Midlands Metals and Materials Forum. The Forum brings together businesses, trade associations and universities from what is a critically important sector in the region. The issue of current steel safeguarding measures was raised at the Metals and Materials Forum among other local channels, with businesses raising the need for representation and change.</w:t>
                      </w:r>
                      <w:r w:rsidR="004C55AD" w:rsidRPr="004C55AD">
                        <w:rPr>
                          <w:rFonts w:cs="Arial"/>
                        </w:rPr>
                        <w:t xml:space="preserve"> </w:t>
                      </w: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ListParagraph"/>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66859997">
                <wp:simplePos x="0" y="0"/>
                <wp:positionH relativeFrom="margin">
                  <wp:align>left</wp:align>
                </wp:positionH>
                <wp:positionV relativeFrom="paragraph">
                  <wp:posOffset>196211</wp:posOffset>
                </wp:positionV>
                <wp:extent cx="5704840" cy="2407920"/>
                <wp:effectExtent l="0" t="0" r="10160" b="11430"/>
                <wp:wrapSquare wrapText="bothSides"/>
                <wp:docPr id="3" name="Text Box 4"/>
                <wp:cNvGraphicFramePr/>
                <a:graphic xmlns:a="http://schemas.openxmlformats.org/drawingml/2006/main">
                  <a:graphicData uri="http://schemas.microsoft.com/office/word/2010/wordprocessingShape">
                    <wps:wsp>
                      <wps:cNvSpPr txBox="1"/>
                      <wps:spPr>
                        <a:xfrm>
                          <a:off x="0" y="0"/>
                          <a:ext cx="5704840" cy="2407920"/>
                        </a:xfrm>
                        <a:prstGeom prst="rect">
                          <a:avLst/>
                        </a:prstGeom>
                        <a:solidFill>
                          <a:srgbClr val="FFFFFF"/>
                        </a:solidFill>
                        <a:ln w="9528">
                          <a:solidFill>
                            <a:srgbClr val="000000"/>
                          </a:solidFill>
                          <a:prstDash val="solid"/>
                        </a:ln>
                      </wps:spPr>
                      <wps:txbx>
                        <w:txbxContent>
                          <w:p w14:paraId="3DB2D571" w14:textId="10B335E2" w:rsidR="007214A4" w:rsidRPr="00743A07" w:rsidRDefault="007214A4">
                            <w:pPr>
                              <w:rPr>
                                <w:rFonts w:ascii="Arial" w:hAnsi="Arial" w:cs="Arial"/>
                                <w:i/>
                                <w:color w:val="808080"/>
                              </w:rPr>
                            </w:pPr>
                            <w:r>
                              <w:rPr>
                                <w:rFonts w:cs="Arial"/>
                              </w:rPr>
                              <w:t xml:space="preserve">Given the importance of the metals and materials industry locally, and our role as sector lead at the West Midlands level, part of the LEP / Consortium’s role is to represent the interest of business. This is particularly pertinent when multiple firms report a policy issue, backed up by clear evidence. Our aim as an organisation is to drive economic growth and prosperity in the Black Country, steering the success of key sectors such as manufacturing. Therefore, a key issue such as steel safeguarding is something we must look to address for the good of our business base </w:t>
                            </w:r>
                            <w:proofErr w:type="gramStart"/>
                            <w:r>
                              <w:rPr>
                                <w:rFonts w:cs="Arial"/>
                              </w:rPr>
                              <w:t>in order to</w:t>
                            </w:r>
                            <w:proofErr w:type="gramEnd"/>
                            <w:r>
                              <w:rPr>
                                <w:rFonts w:cs="Arial"/>
                              </w:rPr>
                              <w:t xml:space="preserve"> protect investment, jobs and productivity. We have also worked closely with other representative bodies including Black Country Chamber of Commerce and the Confederation for British Metalforming regarding this case. These efforts so far have involved political engagement locally through a briefing note and letter, but we hope to influence the TRA’s “reconsideration” as publicised on 7</w:t>
                            </w:r>
                            <w:r w:rsidRPr="008B656E">
                              <w:rPr>
                                <w:rFonts w:cs="Arial"/>
                                <w:vertAlign w:val="superscript"/>
                              </w:rPr>
                              <w:t>th</w:t>
                            </w:r>
                            <w:r>
                              <w:rPr>
                                <w:rFonts w:cs="Arial"/>
                              </w:rPr>
                              <w:t xml:space="preserve"> September 2021: </w:t>
                            </w:r>
                            <w:hyperlink r:id="rId14" w:history="1">
                              <w:r w:rsidRPr="00012E0B">
                                <w:rPr>
                                  <w:rStyle w:val="Hyperlink"/>
                                  <w:rFonts w:cs="Arial"/>
                                </w:rPr>
                                <w:t>https://www.gov.uk/government/news/tra-to-reconsider-findings-of-steel-safeguard-transition-review</w:t>
                              </w:r>
                            </w:hyperlink>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2051BBA" id="Text Box 4" o:spid="_x0000_s1027" type="#_x0000_t202" style="position:absolute;margin-left:0;margin-top:15.45pt;width:449.2pt;height:189.6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" strokeweight=".26467mm">
                <v:textbox>
                  <w:txbxContent>
                    <w:p w14:paraId="3DB2D571" w14:textId="10B335E2" w:rsidR="007214A4" w:rsidRPr="00743A07" w:rsidRDefault="007214A4">
                      <w:pPr>
                        <w:rPr>
                          <w:rFonts w:ascii="Arial" w:hAnsi="Arial" w:cs="Arial"/>
                          <w:i/>
                          <w:color w:val="808080"/>
                        </w:rPr>
                      </w:pPr>
                      <w:r>
                        <w:rPr>
                          <w:rFonts w:cs="Arial"/>
                        </w:rPr>
                        <w:t xml:space="preserve">Given the importance of the metals and materials industry locally, and our role as sector lead at the West Midlands level, part of the LEP / Consortium’s role is to represent the interest of business. This is particularly pertinent when multiple firms report a policy issue, backed up by clear evidence. Our aim as an organisation is to drive economic growth and prosperity in the Black Country, steering the success of key sectors such as manufacturing. Therefore, a key issue such as steel safeguarding is something we must look to address for the good of our business base </w:t>
                      </w:r>
                      <w:proofErr w:type="gramStart"/>
                      <w:r>
                        <w:rPr>
                          <w:rFonts w:cs="Arial"/>
                        </w:rPr>
                        <w:t>in order to</w:t>
                      </w:r>
                      <w:proofErr w:type="gramEnd"/>
                      <w:r>
                        <w:rPr>
                          <w:rFonts w:cs="Arial"/>
                        </w:rPr>
                        <w:t xml:space="preserve"> protect investment, jobs and productivity. We have also worked closely with other representative bodies including Black Country Chamber of Commerce and the Confederation for British Metalforming regarding this case. These efforts so far have involved political engagement locally through a briefing note and letter, but we hope to influence the TRA’s “reconsideration” as publicised on 7</w:t>
                      </w:r>
                      <w:r w:rsidRPr="008B656E">
                        <w:rPr>
                          <w:rFonts w:cs="Arial"/>
                          <w:vertAlign w:val="superscript"/>
                        </w:rPr>
                        <w:t>th</w:t>
                      </w:r>
                      <w:r>
                        <w:rPr>
                          <w:rFonts w:cs="Arial"/>
                        </w:rPr>
                        <w:t xml:space="preserve"> September 2021: </w:t>
                      </w:r>
                      <w:hyperlink r:id="rId15" w:history="1">
                        <w:r w:rsidRPr="00012E0B">
                          <w:rPr>
                            <w:rStyle w:val="Hyperlink"/>
                            <w:rFonts w:cs="Arial"/>
                          </w:rPr>
                          <w:t>https://www.gov.uk/government/news/tra-to-reconsider-findings-of-steel-safeguard-transition-review</w:t>
                        </w:r>
                      </w:hyperlink>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3"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4" w:name="_Toc53524894"/>
      <w:bookmarkStart w:id="15" w:name="_Toc53525180"/>
      <w:r w:rsidRPr="008A5F04">
        <w:rPr>
          <w:rFonts w:ascii="Arial" w:hAnsi="Arial" w:cs="Arial"/>
          <w:b/>
          <w:bCs/>
          <w:color w:val="auto"/>
        </w:rPr>
        <w:lastRenderedPageBreak/>
        <w:t>Section B – Additional information</w:t>
      </w:r>
      <w:bookmarkEnd w:id="13"/>
      <w:bookmarkEnd w:id="14"/>
      <w:bookmarkEnd w:id="15"/>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961A76" w:rsidR="000E1DC1" w:rsidRDefault="00F61F4E">
      <w:pPr>
        <w:spacing w:after="0"/>
      </w:pPr>
      <w:r>
        <w:rPr>
          <w:rFonts w:ascii="Arial" w:hAnsi="Arial" w:cs="Arial"/>
          <w:sz w:val="24"/>
          <w:szCs w:val="24"/>
        </w:rPr>
        <w:t xml:space="preserve">Use the box </w:t>
      </w:r>
      <w:r w:rsidR="00575DD6">
        <w:rPr>
          <w:rFonts w:ascii="Arial" w:hAnsi="Arial" w:cs="Arial"/>
          <w:sz w:val="24"/>
          <w:szCs w:val="24"/>
        </w:rPr>
        <w:t>below</w:t>
      </w:r>
      <w:r>
        <w:rPr>
          <w:rFonts w:ascii="Arial" w:hAnsi="Arial" w:cs="Arial"/>
          <w:sz w:val="24"/>
          <w:szCs w:val="24"/>
        </w:rPr>
        <w:t xml:space="preserve"> to provide any other relevant information which you think would be useful to help our</w:t>
      </w:r>
      <w:r w:rsidR="00575DD6">
        <w:rPr>
          <w:rFonts w:ascii="Arial" w:hAnsi="Arial" w:cs="Arial"/>
          <w:sz w:val="24"/>
          <w:szCs w:val="24"/>
        </w:rPr>
        <w:t xml:space="preserve"> reconsideration.</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9" w14:textId="77777777" w:rsidR="000E1DC1" w:rsidRDefault="000E1DC1" w:rsidP="000600FC">
      <w:pPr>
        <w:spacing w:after="0"/>
        <w:rPr>
          <w:rFonts w:ascii="Arial" w:eastAsia="Times New Roman" w:hAnsi="Arial" w:cs="Arial"/>
          <w:sz w:val="24"/>
          <w:szCs w:val="24"/>
        </w:rPr>
      </w:pPr>
    </w:p>
    <w:p w14:paraId="22051C4A" w14:textId="4113B898" w:rsidR="000E1DC1" w:rsidRPr="00C96784" w:rsidRDefault="00F61F4E">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 xml:space="preserve">the scope of the </w:t>
      </w:r>
      <w:r w:rsidR="00FC7E0E" w:rsidRPr="00C96784">
        <w:rPr>
          <w:rFonts w:ascii="Arial" w:eastAsia="Times New Roman" w:hAnsi="Arial" w:cs="Arial"/>
          <w:sz w:val="24"/>
          <w:szCs w:val="24"/>
        </w:rPr>
        <w:t>reconsideration</w:t>
      </w:r>
      <w:r w:rsidRPr="00C96784">
        <w:rPr>
          <w:rFonts w:ascii="Arial" w:eastAsia="Times New Roman" w:hAnsi="Arial" w:cs="Arial"/>
          <w:sz w:val="24"/>
          <w:szCs w:val="24"/>
        </w:rPr>
        <w:t xml:space="preserve">; </w:t>
      </w:r>
      <w:r w:rsidR="009C23B4" w:rsidRPr="00C96784">
        <w:rPr>
          <w:rFonts w:ascii="Arial" w:eastAsia="Times New Roman" w:hAnsi="Arial" w:cs="Arial"/>
          <w:sz w:val="24"/>
          <w:szCs w:val="24"/>
        </w:rPr>
        <w:t>and/</w:t>
      </w:r>
      <w:r w:rsidRPr="00C96784">
        <w:rPr>
          <w:rFonts w:ascii="Arial" w:eastAsia="Times New Roman" w:hAnsi="Arial" w:cs="Arial"/>
          <w:sz w:val="24"/>
          <w:szCs w:val="24"/>
        </w:rPr>
        <w:t>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7" w14:textId="6979CE11" w:rsidR="000E1DC1" w:rsidRDefault="00F61F4E">
                            <w:pPr>
                              <w:spacing w:after="0"/>
                              <w:rPr>
                                <w:rFonts w:ascii="Arial" w:hAnsi="Arial" w:cs="Arial"/>
                                <w:i/>
                                <w:color w:val="808080"/>
                              </w:rPr>
                            </w:pPr>
                            <w:r w:rsidRPr="00CC1E48">
                              <w:rPr>
                                <w:rFonts w:ascii="Arial" w:hAnsi="Arial" w:cs="Arial"/>
                                <w:i/>
                                <w:color w:val="808080"/>
                              </w:rPr>
                              <w:t>Please answer here</w:t>
                            </w:r>
                          </w:p>
                          <w:p w14:paraId="00E35EDC" w14:textId="2DBADAFD" w:rsidR="007214A4" w:rsidRDefault="007214A4">
                            <w:pPr>
                              <w:spacing w:after="0"/>
                              <w:rPr>
                                <w:rFonts w:ascii="Arial" w:hAnsi="Arial" w:cs="Arial"/>
                                <w:i/>
                                <w:color w:val="808080"/>
                              </w:rPr>
                            </w:pPr>
                          </w:p>
                          <w:p w14:paraId="746FF72C" w14:textId="47F60A7F" w:rsidR="007214A4" w:rsidRPr="007214A4" w:rsidRDefault="007214A4">
                            <w:pPr>
                              <w:spacing w:after="0"/>
                              <w:rPr>
                                <w:rFonts w:ascii="Arial" w:hAnsi="Arial" w:cs="Arial"/>
                                <w:i/>
                                <w:color w:val="000000" w:themeColor="text1"/>
                              </w:rPr>
                            </w:pPr>
                            <w:r w:rsidRPr="007214A4">
                              <w:rPr>
                                <w:rFonts w:ascii="Arial" w:hAnsi="Arial" w:cs="Arial"/>
                                <w:i/>
                                <w:color w:val="000000" w:themeColor="text1"/>
                              </w:rPr>
                              <w:t>N/A</w:t>
                            </w: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7" w14:textId="6979CE11" w:rsidR="000E1DC1" w:rsidRDefault="00F61F4E">
                      <w:pPr>
                        <w:spacing w:after="0"/>
                        <w:rPr>
                          <w:rFonts w:ascii="Arial" w:hAnsi="Arial" w:cs="Arial"/>
                          <w:i/>
                          <w:color w:val="808080"/>
                        </w:rPr>
                      </w:pPr>
                      <w:r w:rsidRPr="00CC1E48">
                        <w:rPr>
                          <w:rFonts w:ascii="Arial" w:hAnsi="Arial" w:cs="Arial"/>
                          <w:i/>
                          <w:color w:val="808080"/>
                        </w:rPr>
                        <w:t>Please answer here</w:t>
                      </w:r>
                    </w:p>
                    <w:p w14:paraId="00E35EDC" w14:textId="2DBADAFD" w:rsidR="007214A4" w:rsidRDefault="007214A4">
                      <w:pPr>
                        <w:spacing w:after="0"/>
                        <w:rPr>
                          <w:rFonts w:ascii="Arial" w:hAnsi="Arial" w:cs="Arial"/>
                          <w:i/>
                          <w:color w:val="808080"/>
                        </w:rPr>
                      </w:pPr>
                    </w:p>
                    <w:p w14:paraId="746FF72C" w14:textId="47F60A7F" w:rsidR="007214A4" w:rsidRPr="007214A4" w:rsidRDefault="007214A4">
                      <w:pPr>
                        <w:spacing w:after="0"/>
                        <w:rPr>
                          <w:rFonts w:ascii="Arial" w:hAnsi="Arial" w:cs="Arial"/>
                          <w:i/>
                          <w:color w:val="000000" w:themeColor="text1"/>
                        </w:rPr>
                      </w:pPr>
                      <w:r w:rsidRPr="007214A4">
                        <w:rPr>
                          <w:rFonts w:ascii="Arial" w:hAnsi="Arial" w:cs="Arial"/>
                          <w:i/>
                          <w:color w:val="000000" w:themeColor="text1"/>
                        </w:rPr>
                        <w:t>N/A</w:t>
                      </w: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6" w:name="_Toc32519560"/>
      <w:r>
        <w:rPr>
          <w:rFonts w:ascii="Arial" w:eastAsia="Times New Roman" w:hAnsi="Arial"/>
          <w:b/>
          <w:sz w:val="32"/>
          <w:szCs w:val="26"/>
        </w:rPr>
        <w:br w:type="page"/>
      </w:r>
    </w:p>
    <w:p w14:paraId="22051C4F" w14:textId="48B26B7A" w:rsidR="000E1DC1" w:rsidRDefault="00F61F4E" w:rsidP="008A5F04">
      <w:pPr>
        <w:pStyle w:val="Heading1"/>
        <w:rPr>
          <w:rFonts w:ascii="Arial" w:hAnsi="Arial" w:cs="Arial"/>
          <w:b/>
          <w:bCs/>
          <w:color w:val="auto"/>
        </w:rPr>
      </w:pPr>
      <w:bookmarkStart w:id="17" w:name="_Toc53524895"/>
      <w:bookmarkStart w:id="18" w:name="_Toc53525181"/>
      <w:r w:rsidRPr="008A5F04">
        <w:rPr>
          <w:rFonts w:ascii="Arial" w:hAnsi="Arial" w:cs="Arial"/>
          <w:b/>
          <w:bCs/>
          <w:color w:val="auto"/>
        </w:rPr>
        <w:lastRenderedPageBreak/>
        <w:t>Section C – Certification</w:t>
      </w:r>
      <w:bookmarkEnd w:id="16"/>
      <w:bookmarkEnd w:id="17"/>
      <w:bookmarkEnd w:id="18"/>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47DF2A5E" w:rsidR="000E1DC1" w:rsidRDefault="000E1DC1">
      <w:pPr>
        <w:keepNext/>
        <w:keepLines/>
        <w:spacing w:line="22" w:lineRule="atLeast"/>
        <w:rPr>
          <w:rFonts w:ascii="Arial" w:hAnsi="Arial" w:cs="Arial"/>
          <w:noProof/>
          <w:sz w:val="24"/>
          <w:u w:val="single"/>
        </w:rPr>
      </w:pPr>
    </w:p>
    <w:p w14:paraId="57693A61" w14:textId="655BED5E" w:rsidR="001B10D5" w:rsidRDefault="001B10D5">
      <w:pPr>
        <w:keepNext/>
        <w:keepLines/>
        <w:spacing w:line="22" w:lineRule="atLeast"/>
        <w:rPr>
          <w:rFonts w:ascii="Arial" w:hAnsi="Arial" w:cs="Arial"/>
          <w:noProof/>
          <w:sz w:val="24"/>
          <w:u w:val="single"/>
        </w:rPr>
      </w:pPr>
    </w:p>
    <w:p w14:paraId="2CD40273" w14:textId="77777777" w:rsidR="001B10D5" w:rsidRDefault="001B10D5">
      <w:pPr>
        <w:keepNext/>
        <w:keepLines/>
        <w:spacing w:line="22" w:lineRule="atLeast"/>
      </w:pPr>
    </w:p>
    <w:p w14:paraId="22051C56" w14:textId="12AE2EAE" w:rsidR="000E1DC1" w:rsidRDefault="00F61F4E">
      <w:pPr>
        <w:keepNext/>
        <w:keepLines/>
        <w:spacing w:line="22" w:lineRule="atLeast"/>
      </w:pPr>
      <w:r>
        <w:rPr>
          <w:rFonts w:ascii="Arial" w:hAnsi="Arial" w:cs="Arial"/>
          <w:sz w:val="24"/>
        </w:rPr>
        <w:t xml:space="preserve">Name: </w:t>
      </w:r>
    </w:p>
    <w:p w14:paraId="22051C58" w14:textId="3F418288" w:rsidR="000E1DC1" w:rsidRDefault="00F61F4E">
      <w:pPr>
        <w:keepNext/>
        <w:keepLines/>
        <w:spacing w:line="22" w:lineRule="atLeast"/>
      </w:pPr>
      <w:r>
        <w:rPr>
          <w:rFonts w:ascii="Arial" w:hAnsi="Arial" w:cs="Arial"/>
          <w:sz w:val="24"/>
        </w:rPr>
        <w:t xml:space="preserve">Position at </w:t>
      </w:r>
      <w:r w:rsidR="007435C9">
        <w:rPr>
          <w:rFonts w:ascii="Arial" w:hAnsi="Arial" w:cs="Arial"/>
          <w:sz w:val="24"/>
        </w:rPr>
        <w:t>organisation</w:t>
      </w:r>
      <w:r>
        <w:rPr>
          <w:rFonts w:ascii="Arial" w:hAnsi="Arial" w:cs="Arial"/>
          <w:sz w:val="24"/>
        </w:rPr>
        <w:t xml:space="preserve">: </w:t>
      </w:r>
    </w:p>
    <w:p w14:paraId="22051C5A" w14:textId="4F397385" w:rsidR="000E1DC1" w:rsidRDefault="00F61F4E">
      <w:pPr>
        <w:keepNext/>
        <w:keepLines/>
        <w:spacing w:line="22" w:lineRule="atLeast"/>
      </w:pPr>
      <w:r>
        <w:rPr>
          <w:rFonts w:ascii="Arial" w:hAnsi="Arial" w:cs="Arial"/>
          <w:sz w:val="24"/>
        </w:rPr>
        <w:t xml:space="preserve">Date: </w:t>
      </w:r>
    </w:p>
    <w:p w14:paraId="22051C5B" w14:textId="77777777" w:rsidR="000E1DC1" w:rsidRDefault="000E1DC1"/>
    <w:sectPr w:rsidR="000E1DC1">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E059" w14:textId="77777777" w:rsidR="00E016E1" w:rsidRDefault="00E016E1">
      <w:pPr>
        <w:spacing w:after="0"/>
      </w:pPr>
      <w:r>
        <w:separator/>
      </w:r>
    </w:p>
  </w:endnote>
  <w:endnote w:type="continuationSeparator" w:id="0">
    <w:p w14:paraId="3FF2CA44" w14:textId="77777777" w:rsidR="00E016E1" w:rsidRDefault="00E016E1">
      <w:pPr>
        <w:spacing w:after="0"/>
      </w:pPr>
      <w:r>
        <w:continuationSeparator/>
      </w:r>
    </w:p>
  </w:endnote>
  <w:endnote w:type="continuationNotice" w:id="1">
    <w:p w14:paraId="09ECB498" w14:textId="77777777" w:rsidR="00E016E1" w:rsidRDefault="00E01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1BC8" w14:textId="77777777" w:rsidR="005A5A35" w:rsidRDefault="005A5A35">
    <w:pPr>
      <w:pStyle w:val="Footer"/>
    </w:pPr>
  </w:p>
  <w:p w14:paraId="22051BC9" w14:textId="77777777" w:rsidR="005A5A35" w:rsidRDefault="005A5A3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75D4" w14:textId="77777777" w:rsidR="00E016E1" w:rsidRDefault="00E016E1">
      <w:pPr>
        <w:spacing w:after="0"/>
      </w:pPr>
      <w:r>
        <w:rPr>
          <w:color w:val="000000"/>
        </w:rPr>
        <w:separator/>
      </w:r>
    </w:p>
  </w:footnote>
  <w:footnote w:type="continuationSeparator" w:id="0">
    <w:p w14:paraId="6DC56E0B" w14:textId="77777777" w:rsidR="00E016E1" w:rsidRDefault="00E016E1">
      <w:pPr>
        <w:spacing w:after="0"/>
      </w:pPr>
      <w:r>
        <w:continuationSeparator/>
      </w:r>
    </w:p>
  </w:footnote>
  <w:footnote w:type="continuationNotice" w:id="1">
    <w:p w14:paraId="1FB468BE" w14:textId="77777777" w:rsidR="00E016E1" w:rsidRDefault="00E01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19" w:name="_Hlk43194599"/>
          <w:r>
            <w:rPr>
              <w:noProof/>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0" w:name="_Hlk43194575"/>
          <w:r w:rsidRPr="006B79D0">
            <w:rPr>
              <w:rFonts w:ascii="Arial" w:hAnsi="Arial" w:cs="Arial"/>
              <w:sz w:val="19"/>
              <w:szCs w:val="19"/>
            </w:rPr>
            <w:t>Trade Remedies Authority</w:t>
          </w:r>
        </w:p>
        <w:p w14:paraId="2DEB66D2" w14:textId="60743681" w:rsidR="00B43345" w:rsidRPr="006B79D0" w:rsidRDefault="005D2300"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sidR="00A71E0A">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A71E0A">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w:t>
          </w:r>
          <w:proofErr w:type="gramStart"/>
          <w:r w:rsidR="00B43345" w:rsidRPr="006B79D0">
            <w:rPr>
              <w:rFonts w:ascii="Arial" w:hAnsi="Arial" w:cs="Arial"/>
              <w:color w:val="FF0000"/>
              <w:sz w:val="18"/>
            </w:rPr>
            <w:t>Non-</w:t>
          </w:r>
          <w:r w:rsidR="00FC4E56">
            <w:rPr>
              <w:rFonts w:ascii="Arial" w:hAnsi="Arial" w:cs="Arial"/>
              <w:color w:val="FF0000"/>
              <w:sz w:val="18"/>
            </w:rPr>
            <w:t>c</w:t>
          </w:r>
          <w:r w:rsidR="00B43345" w:rsidRPr="006B79D0">
            <w:rPr>
              <w:rFonts w:ascii="Arial" w:hAnsi="Arial" w:cs="Arial"/>
              <w:color w:val="FF0000"/>
              <w:sz w:val="18"/>
            </w:rPr>
            <w:t>onfidential</w:t>
          </w:r>
          <w:proofErr w:type="gramEnd"/>
        </w:p>
        <w:bookmarkEnd w:id="20"/>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19"/>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47D"/>
    <w:rsid w:val="0001454C"/>
    <w:rsid w:val="000600FC"/>
    <w:rsid w:val="00076DAD"/>
    <w:rsid w:val="00080EB3"/>
    <w:rsid w:val="00094C5E"/>
    <w:rsid w:val="000D2D08"/>
    <w:rsid w:val="000E1DC1"/>
    <w:rsid w:val="000F1A7E"/>
    <w:rsid w:val="000F5F35"/>
    <w:rsid w:val="00101ED1"/>
    <w:rsid w:val="001229BE"/>
    <w:rsid w:val="00134081"/>
    <w:rsid w:val="00154F4E"/>
    <w:rsid w:val="00171CC9"/>
    <w:rsid w:val="001878B9"/>
    <w:rsid w:val="00192187"/>
    <w:rsid w:val="001B10D5"/>
    <w:rsid w:val="001D53BE"/>
    <w:rsid w:val="001E7FD7"/>
    <w:rsid w:val="00222EE7"/>
    <w:rsid w:val="002544BC"/>
    <w:rsid w:val="00257F6F"/>
    <w:rsid w:val="00264B0A"/>
    <w:rsid w:val="002C2A62"/>
    <w:rsid w:val="002F251F"/>
    <w:rsid w:val="002F4565"/>
    <w:rsid w:val="00307D6F"/>
    <w:rsid w:val="003102BE"/>
    <w:rsid w:val="00311836"/>
    <w:rsid w:val="00320C33"/>
    <w:rsid w:val="00342FC0"/>
    <w:rsid w:val="00370F12"/>
    <w:rsid w:val="003729F8"/>
    <w:rsid w:val="00382986"/>
    <w:rsid w:val="00390C50"/>
    <w:rsid w:val="003B1BD7"/>
    <w:rsid w:val="003C6777"/>
    <w:rsid w:val="003F28C9"/>
    <w:rsid w:val="003F7CD1"/>
    <w:rsid w:val="00417845"/>
    <w:rsid w:val="00427B30"/>
    <w:rsid w:val="00444225"/>
    <w:rsid w:val="00485296"/>
    <w:rsid w:val="004B0191"/>
    <w:rsid w:val="004C55AD"/>
    <w:rsid w:val="005044ED"/>
    <w:rsid w:val="00545DA3"/>
    <w:rsid w:val="00546908"/>
    <w:rsid w:val="00567985"/>
    <w:rsid w:val="00575DD6"/>
    <w:rsid w:val="00587148"/>
    <w:rsid w:val="005A5A35"/>
    <w:rsid w:val="005B393D"/>
    <w:rsid w:val="005B5136"/>
    <w:rsid w:val="005B547B"/>
    <w:rsid w:val="005C2A3F"/>
    <w:rsid w:val="005D2243"/>
    <w:rsid w:val="005D2300"/>
    <w:rsid w:val="005D274B"/>
    <w:rsid w:val="005F32AF"/>
    <w:rsid w:val="0060080E"/>
    <w:rsid w:val="00620E7C"/>
    <w:rsid w:val="00632D9B"/>
    <w:rsid w:val="00640160"/>
    <w:rsid w:val="006562BD"/>
    <w:rsid w:val="0066455B"/>
    <w:rsid w:val="00684851"/>
    <w:rsid w:val="00685479"/>
    <w:rsid w:val="00691FB6"/>
    <w:rsid w:val="0069330C"/>
    <w:rsid w:val="006A5492"/>
    <w:rsid w:val="006B79D0"/>
    <w:rsid w:val="006C16C6"/>
    <w:rsid w:val="006C2948"/>
    <w:rsid w:val="006E555D"/>
    <w:rsid w:val="00711A47"/>
    <w:rsid w:val="007214A4"/>
    <w:rsid w:val="007259B0"/>
    <w:rsid w:val="007435C9"/>
    <w:rsid w:val="00743A07"/>
    <w:rsid w:val="007A5944"/>
    <w:rsid w:val="007C568E"/>
    <w:rsid w:val="008029F1"/>
    <w:rsid w:val="00802F42"/>
    <w:rsid w:val="0080505E"/>
    <w:rsid w:val="008314DA"/>
    <w:rsid w:val="00831D4F"/>
    <w:rsid w:val="008327EF"/>
    <w:rsid w:val="008536E9"/>
    <w:rsid w:val="00880146"/>
    <w:rsid w:val="00884845"/>
    <w:rsid w:val="00891D7D"/>
    <w:rsid w:val="008A5F04"/>
    <w:rsid w:val="008D1F5D"/>
    <w:rsid w:val="008D2B29"/>
    <w:rsid w:val="00903FEA"/>
    <w:rsid w:val="00930D82"/>
    <w:rsid w:val="00981471"/>
    <w:rsid w:val="009969AC"/>
    <w:rsid w:val="009A6E0A"/>
    <w:rsid w:val="009B5C10"/>
    <w:rsid w:val="009B7A52"/>
    <w:rsid w:val="009C23B4"/>
    <w:rsid w:val="00A072EB"/>
    <w:rsid w:val="00A22777"/>
    <w:rsid w:val="00A40936"/>
    <w:rsid w:val="00A56C7D"/>
    <w:rsid w:val="00A71E0A"/>
    <w:rsid w:val="00A72A75"/>
    <w:rsid w:val="00A73153"/>
    <w:rsid w:val="00A96A43"/>
    <w:rsid w:val="00AA452F"/>
    <w:rsid w:val="00AE7313"/>
    <w:rsid w:val="00AE77B9"/>
    <w:rsid w:val="00AF301E"/>
    <w:rsid w:val="00B06129"/>
    <w:rsid w:val="00B43345"/>
    <w:rsid w:val="00B456B8"/>
    <w:rsid w:val="00B51B4C"/>
    <w:rsid w:val="00BB737B"/>
    <w:rsid w:val="00BC5D1E"/>
    <w:rsid w:val="00BE2724"/>
    <w:rsid w:val="00C348FB"/>
    <w:rsid w:val="00C4621D"/>
    <w:rsid w:val="00C5570B"/>
    <w:rsid w:val="00C740A5"/>
    <w:rsid w:val="00C96784"/>
    <w:rsid w:val="00CB05BD"/>
    <w:rsid w:val="00CB18CE"/>
    <w:rsid w:val="00CC077F"/>
    <w:rsid w:val="00CC1E48"/>
    <w:rsid w:val="00CF450B"/>
    <w:rsid w:val="00D1263B"/>
    <w:rsid w:val="00D51391"/>
    <w:rsid w:val="00D556A9"/>
    <w:rsid w:val="00D703AB"/>
    <w:rsid w:val="00D96051"/>
    <w:rsid w:val="00DB2FC8"/>
    <w:rsid w:val="00DC7981"/>
    <w:rsid w:val="00E016E1"/>
    <w:rsid w:val="00E22512"/>
    <w:rsid w:val="00E32FA5"/>
    <w:rsid w:val="00E619E3"/>
    <w:rsid w:val="00ED034D"/>
    <w:rsid w:val="00EE3423"/>
    <w:rsid w:val="00EE630F"/>
    <w:rsid w:val="00F00931"/>
    <w:rsid w:val="00F030FE"/>
    <w:rsid w:val="00F1623C"/>
    <w:rsid w:val="00F617AC"/>
    <w:rsid w:val="00F61F4E"/>
    <w:rsid w:val="00F77FA7"/>
    <w:rsid w:val="00F8567F"/>
    <w:rsid w:val="00F97EFF"/>
    <w:rsid w:val="00FB00FA"/>
    <w:rsid w:val="00FB1CA4"/>
    <w:rsid w:val="00FC4E56"/>
    <w:rsid w:val="00FC7E0E"/>
    <w:rsid w:val="00FE5D24"/>
    <w:rsid w:val="00FE6D86"/>
    <w:rsid w:val="00FF3912"/>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51BB5"/>
  <w15:docId w15:val="{B49297DC-BB82-4213-87F2-B2EC23DB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styleId="ListParagraph">
    <w:name w:val="List Paragraph"/>
    <w:basedOn w:val="Normal"/>
    <w:uiPriority w:val="34"/>
    <w:qFormat/>
    <w:rsid w:val="00F1623C"/>
    <w:pPr>
      <w:ind w:left="720"/>
      <w:contextualSpacing/>
    </w:pPr>
  </w:style>
  <w:style w:type="character" w:styleId="UnresolvedMention">
    <w:name w:val="Unresolved Mention"/>
    <w:basedOn w:val="DefaultParagraphFont"/>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ade-remedies.service.gov.uk/public/case/TF0006/submission/1564f120-004d-4eca-8cbd-b0b3a4f43a0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ade-remedies.service.gov.uk/public/case/TF000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styles" Target="styles.xml"/><Relationship Id="rId15" Type="http://schemas.openxmlformats.org/officeDocument/2006/relationships/hyperlink" Target="https://www.gov.uk/government/news/tra-to-reconsider-findings-of-steel-safeguard-transition-review" TargetMode="External"/><Relationship Id="rId10" Type="http://schemas.openxmlformats.org/officeDocument/2006/relationships/hyperlink" Target="http://www.trade-remedies.service.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news/tra-to-reconsider-findings-of-steel-safeguard-transition-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75BD6-F0B4-4D6D-A31F-24D4CDB78E29}"/>
</file>

<file path=customXml/itemProps2.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5D6A931-972A-4949-8020-9542F3CDD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Charlie Hopkirk</cp:lastModifiedBy>
  <cp:revision>8</cp:revision>
  <dcterms:created xsi:type="dcterms:W3CDTF">2021-10-01T13:39:00Z</dcterms:created>
  <dcterms:modified xsi:type="dcterms:W3CDTF">2021-10-01T13:42:00Z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