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A3FF0154-E79C-4921-BB6C-BF611D7EC731}"/>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