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2A5B9F" w14:textId="77777777" w:rsidR="00396796" w:rsidRDefault="00396796"/>
    <w:p w14:paraId="66099689" w14:textId="77777777" w:rsidR="00396796" w:rsidRDefault="00B46389">
      <w:pPr>
        <w:spacing w:after="160" w:line="22" w:lineRule="atLeast"/>
        <w:jc w:val="center"/>
        <w:rPr>
          <w:b/>
          <w:sz w:val="36"/>
          <w:szCs w:val="36"/>
        </w:rPr>
      </w:pPr>
      <w:r>
        <w:rPr>
          <w:b/>
          <w:sz w:val="36"/>
          <w:szCs w:val="36"/>
        </w:rPr>
        <w:t>Registration Form</w:t>
      </w:r>
    </w:p>
    <w:p w14:paraId="18E0F351" w14:textId="77777777" w:rsidR="00396796" w:rsidRDefault="00B46389">
      <w:pPr>
        <w:spacing w:after="160" w:line="22" w:lineRule="atLeast"/>
        <w:jc w:val="center"/>
      </w:pPr>
      <w:bookmarkStart w:id="0" w:name="_Hlk105431538"/>
      <w:r>
        <w:rPr>
          <w:b/>
          <w:bCs/>
          <w:sz w:val="36"/>
          <w:szCs w:val="36"/>
        </w:rPr>
        <w:t>Suspension Review – Category 1 steel products</w:t>
      </w:r>
    </w:p>
    <w:p w14:paraId="08E33356" w14:textId="77777777" w:rsidR="00396796" w:rsidRDefault="00B46389">
      <w:pPr>
        <w:tabs>
          <w:tab w:val="left" w:pos="2130"/>
        </w:tabs>
        <w:spacing w:line="22" w:lineRule="atLeast"/>
        <w:jc w:val="center"/>
      </w:pPr>
      <w:r>
        <w:rPr>
          <w:b/>
          <w:sz w:val="36"/>
          <w:szCs w:val="36"/>
        </w:rPr>
        <w:t>Case</w:t>
      </w:r>
      <w:r>
        <w:rPr>
          <w:b/>
          <w:bCs/>
          <w:sz w:val="36"/>
          <w:szCs w:val="36"/>
        </w:rPr>
        <w:t xml:space="preserve"> No.</w:t>
      </w:r>
      <w:r>
        <w:rPr>
          <w:b/>
          <w:sz w:val="36"/>
          <w:szCs w:val="36"/>
        </w:rPr>
        <w:t xml:space="preserve"> SS0051</w:t>
      </w:r>
    </w:p>
    <w:bookmarkEnd w:id="0"/>
    <w:p w14:paraId="0F35139B" w14:textId="77777777" w:rsidR="00396796" w:rsidRDefault="00396796">
      <w:pPr>
        <w:tabs>
          <w:tab w:val="left" w:pos="2130"/>
        </w:tabs>
        <w:spacing w:line="22" w:lineRule="atLeast"/>
        <w:jc w:val="center"/>
        <w:rPr>
          <w:b/>
          <w:color w:val="FF0000"/>
          <w:sz w:val="32"/>
        </w:rPr>
      </w:pPr>
    </w:p>
    <w:tbl>
      <w:tblPr>
        <w:tblW w:w="9498" w:type="dxa"/>
        <w:tblCellMar>
          <w:left w:w="10" w:type="dxa"/>
          <w:right w:w="10" w:type="dxa"/>
        </w:tblCellMar>
        <w:tblLook w:val="04A0" w:firstRow="1" w:lastRow="0" w:firstColumn="1" w:lastColumn="0" w:noHBand="0" w:noVBand="1"/>
      </w:tblPr>
      <w:tblGrid>
        <w:gridCol w:w="3966"/>
        <w:gridCol w:w="456"/>
        <w:gridCol w:w="5076"/>
      </w:tblGrid>
      <w:tr w:rsidR="00396796" w14:paraId="02D844D4" w14:textId="77777777">
        <w:tblPrEx>
          <w:tblCellMar>
            <w:top w:w="0" w:type="dxa"/>
            <w:bottom w:w="0" w:type="dxa"/>
          </w:tblCellMar>
        </w:tblPrEx>
        <w:tc>
          <w:tcPr>
            <w:tcW w:w="3966" w:type="dxa"/>
            <w:tcBorders>
              <w:right w:val="single" w:sz="4" w:space="0" w:color="000000"/>
            </w:tcBorders>
            <w:shd w:val="clear" w:color="auto" w:fill="auto"/>
            <w:tcMar>
              <w:top w:w="0" w:type="dxa"/>
              <w:left w:w="108" w:type="dxa"/>
              <w:bottom w:w="0" w:type="dxa"/>
              <w:right w:w="108" w:type="dxa"/>
            </w:tcMar>
          </w:tcPr>
          <w:p w14:paraId="023DDEFB" w14:textId="77777777" w:rsidR="00396796" w:rsidRDefault="00B46389">
            <w:pPr>
              <w:tabs>
                <w:tab w:val="left" w:pos="2130"/>
              </w:tabs>
              <w:spacing w:line="22" w:lineRule="atLeast"/>
            </w:pPr>
            <w:r>
              <w:rPr>
                <w:rFonts w:eastAsia="Arial"/>
                <w:b/>
                <w:bCs/>
                <w:color w:val="000000"/>
              </w:rPr>
              <w:t>Period of Investigation:</w:t>
            </w:r>
          </w:p>
        </w:tc>
        <w:tc>
          <w:tcPr>
            <w:tcW w:w="55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FE31B" w14:textId="77777777" w:rsidR="00396796" w:rsidRDefault="00B46389">
            <w:pPr>
              <w:tabs>
                <w:tab w:val="left" w:pos="2130"/>
              </w:tabs>
              <w:spacing w:line="22" w:lineRule="atLeast"/>
              <w:rPr>
                <w:rFonts w:eastAsia="Arial"/>
                <w:color w:val="000000"/>
              </w:rPr>
            </w:pPr>
            <w:r>
              <w:rPr>
                <w:rFonts w:eastAsia="Arial"/>
                <w:color w:val="000000"/>
              </w:rPr>
              <w:t>N/A</w:t>
            </w:r>
          </w:p>
        </w:tc>
      </w:tr>
      <w:tr w:rsidR="00396796" w14:paraId="37402DCD" w14:textId="77777777">
        <w:tblPrEx>
          <w:tblCellMar>
            <w:top w:w="0" w:type="dxa"/>
            <w:bottom w:w="0" w:type="dxa"/>
          </w:tblCellMar>
        </w:tblPrEx>
        <w:tc>
          <w:tcPr>
            <w:tcW w:w="3966" w:type="dxa"/>
            <w:shd w:val="clear" w:color="auto" w:fill="auto"/>
            <w:tcMar>
              <w:top w:w="0" w:type="dxa"/>
              <w:left w:w="108" w:type="dxa"/>
              <w:bottom w:w="0" w:type="dxa"/>
              <w:right w:w="108" w:type="dxa"/>
            </w:tcMar>
          </w:tcPr>
          <w:p w14:paraId="3DD51E1B" w14:textId="77777777" w:rsidR="00396796" w:rsidRDefault="00396796">
            <w:pPr>
              <w:tabs>
                <w:tab w:val="left" w:pos="2130"/>
              </w:tabs>
              <w:spacing w:line="22" w:lineRule="atLeast"/>
              <w:rPr>
                <w:rFonts w:eastAsia="Arial"/>
                <w:b/>
                <w:bCs/>
                <w:color w:val="000000"/>
              </w:rPr>
            </w:pPr>
          </w:p>
        </w:tc>
        <w:tc>
          <w:tcPr>
            <w:tcW w:w="5532"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33F0C847" w14:textId="77777777" w:rsidR="00396796" w:rsidRDefault="00396796">
            <w:pPr>
              <w:tabs>
                <w:tab w:val="left" w:pos="2130"/>
              </w:tabs>
              <w:spacing w:line="22" w:lineRule="atLeast"/>
              <w:rPr>
                <w:rFonts w:eastAsia="Arial"/>
                <w:color w:val="000000"/>
              </w:rPr>
            </w:pPr>
          </w:p>
        </w:tc>
      </w:tr>
      <w:tr w:rsidR="00396796" w14:paraId="0BD8ADDF" w14:textId="77777777">
        <w:tblPrEx>
          <w:tblCellMar>
            <w:top w:w="0" w:type="dxa"/>
            <w:bottom w:w="0" w:type="dxa"/>
          </w:tblCellMar>
        </w:tblPrEx>
        <w:tc>
          <w:tcPr>
            <w:tcW w:w="3966" w:type="dxa"/>
            <w:tcBorders>
              <w:right w:val="single" w:sz="4" w:space="0" w:color="000000"/>
            </w:tcBorders>
            <w:shd w:val="clear" w:color="auto" w:fill="auto"/>
            <w:tcMar>
              <w:top w:w="0" w:type="dxa"/>
              <w:left w:w="108" w:type="dxa"/>
              <w:bottom w:w="0" w:type="dxa"/>
              <w:right w:w="108" w:type="dxa"/>
            </w:tcMar>
          </w:tcPr>
          <w:p w14:paraId="3429DB6E" w14:textId="77777777" w:rsidR="00396796" w:rsidRDefault="00B46389">
            <w:pPr>
              <w:tabs>
                <w:tab w:val="left" w:pos="2130"/>
              </w:tabs>
              <w:spacing w:line="22" w:lineRule="atLeast"/>
            </w:pPr>
            <w:r>
              <w:rPr>
                <w:rFonts w:eastAsia="Arial"/>
                <w:b/>
                <w:bCs/>
                <w:color w:val="000000"/>
              </w:rPr>
              <w:t>Deadline for response:</w:t>
            </w:r>
          </w:p>
        </w:tc>
        <w:tc>
          <w:tcPr>
            <w:tcW w:w="55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3C927" w14:textId="77777777" w:rsidR="00396796" w:rsidRDefault="00B46389">
            <w:pPr>
              <w:tabs>
                <w:tab w:val="left" w:pos="2130"/>
              </w:tabs>
              <w:spacing w:line="22" w:lineRule="atLeast"/>
              <w:rPr>
                <w:rFonts w:eastAsia="Arial"/>
                <w:color w:val="000000"/>
              </w:rPr>
            </w:pPr>
            <w:r>
              <w:rPr>
                <w:rFonts w:eastAsia="Arial"/>
                <w:color w:val="000000"/>
              </w:rPr>
              <w:t>25 February 2024</w:t>
            </w:r>
          </w:p>
        </w:tc>
      </w:tr>
      <w:tr w:rsidR="00396796" w14:paraId="3CAA25E7" w14:textId="77777777">
        <w:tblPrEx>
          <w:tblCellMar>
            <w:top w:w="0" w:type="dxa"/>
            <w:bottom w:w="0" w:type="dxa"/>
          </w:tblCellMar>
        </w:tblPrEx>
        <w:tc>
          <w:tcPr>
            <w:tcW w:w="3966" w:type="dxa"/>
            <w:shd w:val="clear" w:color="auto" w:fill="auto"/>
            <w:tcMar>
              <w:top w:w="0" w:type="dxa"/>
              <w:left w:w="108" w:type="dxa"/>
              <w:bottom w:w="0" w:type="dxa"/>
              <w:right w:w="108" w:type="dxa"/>
            </w:tcMar>
          </w:tcPr>
          <w:p w14:paraId="1292E92E" w14:textId="77777777" w:rsidR="00396796" w:rsidRDefault="00396796">
            <w:pPr>
              <w:tabs>
                <w:tab w:val="left" w:pos="2130"/>
              </w:tabs>
              <w:spacing w:line="22" w:lineRule="atLeast"/>
              <w:rPr>
                <w:rFonts w:eastAsia="Arial"/>
                <w:b/>
                <w:bCs/>
                <w:color w:val="000000"/>
              </w:rPr>
            </w:pPr>
          </w:p>
        </w:tc>
        <w:tc>
          <w:tcPr>
            <w:tcW w:w="5532"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290840C9" w14:textId="77777777" w:rsidR="00396796" w:rsidRDefault="00396796">
            <w:pPr>
              <w:tabs>
                <w:tab w:val="left" w:pos="2130"/>
              </w:tabs>
              <w:spacing w:line="22" w:lineRule="atLeast"/>
              <w:rPr>
                <w:rFonts w:eastAsia="Arial"/>
                <w:color w:val="000000"/>
              </w:rPr>
            </w:pPr>
          </w:p>
        </w:tc>
      </w:tr>
      <w:tr w:rsidR="00396796" w14:paraId="6CD4F498" w14:textId="77777777">
        <w:tblPrEx>
          <w:tblCellMar>
            <w:top w:w="0" w:type="dxa"/>
            <w:bottom w:w="0" w:type="dxa"/>
          </w:tblCellMar>
        </w:tblPrEx>
        <w:tc>
          <w:tcPr>
            <w:tcW w:w="3966" w:type="dxa"/>
            <w:tcBorders>
              <w:right w:val="single" w:sz="4" w:space="0" w:color="000000"/>
            </w:tcBorders>
            <w:shd w:val="clear" w:color="auto" w:fill="auto"/>
            <w:tcMar>
              <w:top w:w="0" w:type="dxa"/>
              <w:left w:w="108" w:type="dxa"/>
              <w:bottom w:w="0" w:type="dxa"/>
              <w:right w:w="108" w:type="dxa"/>
            </w:tcMar>
          </w:tcPr>
          <w:p w14:paraId="667CE250" w14:textId="77777777" w:rsidR="00396796" w:rsidRDefault="00B46389">
            <w:pPr>
              <w:tabs>
                <w:tab w:val="left" w:pos="2130"/>
              </w:tabs>
              <w:spacing w:line="22" w:lineRule="atLeast"/>
              <w:rPr>
                <w:rFonts w:eastAsia="Arial"/>
                <w:b/>
                <w:bCs/>
                <w:color w:val="000000"/>
              </w:rPr>
            </w:pPr>
            <w:r>
              <w:rPr>
                <w:rFonts w:eastAsia="Arial"/>
                <w:b/>
                <w:bCs/>
                <w:color w:val="000000"/>
              </w:rPr>
              <w:t>Case Team Contact:</w:t>
            </w:r>
          </w:p>
        </w:tc>
        <w:tc>
          <w:tcPr>
            <w:tcW w:w="55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2F745" w14:textId="77777777" w:rsidR="00396796" w:rsidRDefault="00B46389">
            <w:pPr>
              <w:tabs>
                <w:tab w:val="left" w:pos="2130"/>
              </w:tabs>
              <w:spacing w:line="22" w:lineRule="atLeast"/>
              <w:rPr>
                <w:rFonts w:eastAsia="Arial"/>
                <w:color w:val="000000"/>
              </w:rPr>
            </w:pPr>
            <w:r>
              <w:rPr>
                <w:rFonts w:eastAsia="Arial"/>
                <w:color w:val="000000"/>
              </w:rPr>
              <w:t>SS0051@traderemedies.gov.uk</w:t>
            </w:r>
          </w:p>
        </w:tc>
      </w:tr>
      <w:tr w:rsidR="00396796" w14:paraId="1D752E65" w14:textId="77777777">
        <w:tblPrEx>
          <w:tblCellMar>
            <w:top w:w="0" w:type="dxa"/>
            <w:bottom w:w="0" w:type="dxa"/>
          </w:tblCellMar>
        </w:tblPrEx>
        <w:tc>
          <w:tcPr>
            <w:tcW w:w="3966" w:type="dxa"/>
            <w:shd w:val="clear" w:color="auto" w:fill="auto"/>
            <w:tcMar>
              <w:top w:w="0" w:type="dxa"/>
              <w:left w:w="108" w:type="dxa"/>
              <w:bottom w:w="0" w:type="dxa"/>
              <w:right w:w="108" w:type="dxa"/>
            </w:tcMar>
          </w:tcPr>
          <w:p w14:paraId="40B865F4" w14:textId="77777777" w:rsidR="00396796" w:rsidRDefault="00396796">
            <w:pPr>
              <w:tabs>
                <w:tab w:val="left" w:pos="2130"/>
              </w:tabs>
              <w:spacing w:line="22" w:lineRule="atLeast"/>
              <w:rPr>
                <w:rFonts w:eastAsia="Arial"/>
                <w:b/>
                <w:bCs/>
                <w:color w:val="000000"/>
              </w:rPr>
            </w:pPr>
          </w:p>
        </w:tc>
        <w:tc>
          <w:tcPr>
            <w:tcW w:w="5532"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7D2C097E" w14:textId="77777777" w:rsidR="00396796" w:rsidRDefault="00396796">
            <w:pPr>
              <w:tabs>
                <w:tab w:val="left" w:pos="2130"/>
              </w:tabs>
              <w:spacing w:line="22" w:lineRule="atLeast"/>
              <w:rPr>
                <w:rFonts w:eastAsia="Arial"/>
                <w:color w:val="000000"/>
              </w:rPr>
            </w:pPr>
          </w:p>
        </w:tc>
      </w:tr>
      <w:tr w:rsidR="00396796" w14:paraId="32B3A0BD" w14:textId="77777777">
        <w:tblPrEx>
          <w:tblCellMar>
            <w:top w:w="0" w:type="dxa"/>
            <w:bottom w:w="0" w:type="dxa"/>
          </w:tblCellMar>
        </w:tblPrEx>
        <w:tc>
          <w:tcPr>
            <w:tcW w:w="3966" w:type="dxa"/>
            <w:tcBorders>
              <w:right w:val="single" w:sz="4" w:space="0" w:color="000000"/>
            </w:tcBorders>
            <w:shd w:val="clear" w:color="auto" w:fill="auto"/>
            <w:tcMar>
              <w:top w:w="0" w:type="dxa"/>
              <w:left w:w="108" w:type="dxa"/>
              <w:bottom w:w="0" w:type="dxa"/>
              <w:right w:w="108" w:type="dxa"/>
            </w:tcMar>
          </w:tcPr>
          <w:p w14:paraId="3381A9D7" w14:textId="77777777" w:rsidR="00396796" w:rsidRDefault="00B46389">
            <w:pPr>
              <w:tabs>
                <w:tab w:val="left" w:pos="2130"/>
              </w:tabs>
              <w:spacing w:line="22" w:lineRule="atLeast"/>
            </w:pPr>
            <w:r>
              <w:rPr>
                <w:rFonts w:eastAsia="Arial"/>
                <w:b/>
                <w:bCs/>
              </w:rPr>
              <w:t>Completed on behalf of:</w:t>
            </w:r>
          </w:p>
        </w:tc>
        <w:tc>
          <w:tcPr>
            <w:tcW w:w="55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82656" w14:textId="0B62F599" w:rsidR="00396796" w:rsidRDefault="00B46389">
            <w:pPr>
              <w:tabs>
                <w:tab w:val="left" w:pos="2130"/>
              </w:tabs>
              <w:spacing w:line="22" w:lineRule="atLeast"/>
              <w:rPr>
                <w:rFonts w:eastAsia="Arial"/>
                <w:color w:val="FF0000"/>
              </w:rPr>
            </w:pPr>
            <w:r>
              <w:rPr>
                <w:rFonts w:eastAsia="Arial"/>
                <w:color w:val="FF0000"/>
              </w:rPr>
              <w:t>National Association of Steel Service Centres</w:t>
            </w:r>
          </w:p>
        </w:tc>
      </w:tr>
      <w:tr w:rsidR="00396796" w14:paraId="6FCCE59B" w14:textId="77777777">
        <w:tblPrEx>
          <w:tblCellMar>
            <w:top w:w="0" w:type="dxa"/>
            <w:bottom w:w="0" w:type="dxa"/>
          </w:tblCellMar>
        </w:tblPrEx>
        <w:tc>
          <w:tcPr>
            <w:tcW w:w="3966" w:type="dxa"/>
            <w:tcBorders>
              <w:right w:val="single" w:sz="4" w:space="0" w:color="FFFFFF"/>
            </w:tcBorders>
            <w:shd w:val="clear" w:color="auto" w:fill="auto"/>
            <w:tcMar>
              <w:top w:w="0" w:type="dxa"/>
              <w:left w:w="108" w:type="dxa"/>
              <w:bottom w:w="0" w:type="dxa"/>
              <w:right w:w="108" w:type="dxa"/>
            </w:tcMar>
          </w:tcPr>
          <w:p w14:paraId="302A30ED" w14:textId="77777777" w:rsidR="00396796" w:rsidRDefault="00396796">
            <w:pPr>
              <w:tabs>
                <w:tab w:val="left" w:pos="2130"/>
              </w:tabs>
              <w:spacing w:line="22" w:lineRule="atLeast"/>
              <w:rPr>
                <w:rFonts w:eastAsia="Arial"/>
                <w:b/>
                <w:bCs/>
                <w:color w:val="FF0000"/>
              </w:rPr>
            </w:pPr>
          </w:p>
        </w:tc>
        <w:tc>
          <w:tcPr>
            <w:tcW w:w="5532" w:type="dxa"/>
            <w:gridSpan w:val="2"/>
            <w:tcBorders>
              <w:top w:val="single" w:sz="4" w:space="0" w:color="000000"/>
              <w:left w:val="single" w:sz="4" w:space="0" w:color="FFFFFF"/>
              <w:bottom w:val="single" w:sz="4" w:space="0" w:color="000000"/>
              <w:right w:val="single" w:sz="4" w:space="0" w:color="FFFFFF"/>
            </w:tcBorders>
            <w:shd w:val="clear" w:color="auto" w:fill="auto"/>
            <w:tcMar>
              <w:top w:w="0" w:type="dxa"/>
              <w:left w:w="108" w:type="dxa"/>
              <w:bottom w:w="0" w:type="dxa"/>
              <w:right w:w="108" w:type="dxa"/>
            </w:tcMar>
          </w:tcPr>
          <w:p w14:paraId="5DA3CBC3" w14:textId="77777777" w:rsidR="00396796" w:rsidRDefault="00396796">
            <w:pPr>
              <w:tabs>
                <w:tab w:val="left" w:pos="2130"/>
              </w:tabs>
              <w:spacing w:line="22" w:lineRule="atLeast"/>
              <w:rPr>
                <w:rFonts w:eastAsia="Arial"/>
                <w:b/>
                <w:bCs/>
                <w:color w:val="FF0000"/>
              </w:rPr>
            </w:pPr>
          </w:p>
        </w:tc>
      </w:tr>
      <w:tr w:rsidR="00396796" w14:paraId="5A16895A" w14:textId="77777777">
        <w:tblPrEx>
          <w:tblCellMar>
            <w:top w:w="0" w:type="dxa"/>
            <w:bottom w:w="0" w:type="dxa"/>
          </w:tblCellMar>
        </w:tblPrEx>
        <w:trPr>
          <w:trHeight w:val="2460"/>
        </w:trPr>
        <w:tc>
          <w:tcPr>
            <w:tcW w:w="3966" w:type="dxa"/>
            <w:tcBorders>
              <w:right w:val="single" w:sz="4" w:space="0" w:color="000000"/>
            </w:tcBorders>
            <w:shd w:val="clear" w:color="auto" w:fill="auto"/>
            <w:tcMar>
              <w:top w:w="0" w:type="dxa"/>
              <w:left w:w="108" w:type="dxa"/>
              <w:bottom w:w="0" w:type="dxa"/>
              <w:right w:w="108" w:type="dxa"/>
            </w:tcMar>
          </w:tcPr>
          <w:p w14:paraId="22916F7C" w14:textId="77777777" w:rsidR="00396796" w:rsidRDefault="00B46389">
            <w:pPr>
              <w:tabs>
                <w:tab w:val="left" w:pos="2130"/>
              </w:tabs>
              <w:spacing w:line="22" w:lineRule="atLeast"/>
              <w:rPr>
                <w:rFonts w:eastAsia="Arial"/>
                <w:b/>
                <w:bCs/>
              </w:rPr>
            </w:pPr>
            <w:r>
              <w:rPr>
                <w:rFonts w:eastAsia="Arial"/>
                <w:b/>
                <w:bCs/>
              </w:rPr>
              <w:t xml:space="preserve">Party type (select): </w:t>
            </w:r>
          </w:p>
        </w:tc>
        <w:tc>
          <w:tcPr>
            <w:tcW w:w="456" w:type="dxa"/>
            <w:tcBorders>
              <w:top w:val="single" w:sz="4" w:space="0" w:color="000000"/>
              <w:left w:val="single" w:sz="4" w:space="0" w:color="000000"/>
              <w:bottom w:val="single" w:sz="4" w:space="0" w:color="000000"/>
              <w:right w:val="single" w:sz="4" w:space="0" w:color="FFFFFF"/>
            </w:tcBorders>
            <w:shd w:val="clear" w:color="auto" w:fill="auto"/>
            <w:tcMar>
              <w:top w:w="0" w:type="dxa"/>
              <w:left w:w="108" w:type="dxa"/>
              <w:bottom w:w="0" w:type="dxa"/>
              <w:right w:w="108" w:type="dxa"/>
            </w:tcMar>
          </w:tcPr>
          <w:p w14:paraId="406EAB68" w14:textId="77777777" w:rsidR="00396796" w:rsidRDefault="00B46389">
            <w:pPr>
              <w:tabs>
                <w:tab w:val="left" w:pos="2130"/>
              </w:tabs>
              <w:spacing w:line="22" w:lineRule="atLeast"/>
            </w:pPr>
            <w:r>
              <w:rPr>
                <w:rFonts w:ascii="MS Gothic" w:eastAsia="MS Gothic" w:hAnsi="MS Gothic"/>
              </w:rPr>
              <w:t>☐</w:t>
            </w:r>
            <w:r>
              <w:rPr>
                <w:rFonts w:eastAsia="Arial"/>
              </w:rPr>
              <w:t xml:space="preserve">   </w:t>
            </w:r>
          </w:p>
          <w:p w14:paraId="70B299EF" w14:textId="77777777" w:rsidR="00396796" w:rsidRDefault="00396796">
            <w:pPr>
              <w:rPr>
                <w:rFonts w:eastAsia="Arial"/>
              </w:rPr>
            </w:pPr>
          </w:p>
          <w:p w14:paraId="0EC847E9" w14:textId="77777777" w:rsidR="00396796" w:rsidRDefault="00B46389">
            <w:r>
              <w:rPr>
                <w:rFonts w:ascii="MS Gothic" w:eastAsia="MS Gothic" w:hAnsi="MS Gothic"/>
              </w:rPr>
              <w:t>☐</w:t>
            </w:r>
          </w:p>
        </w:tc>
        <w:tc>
          <w:tcPr>
            <w:tcW w:w="5076" w:type="dxa"/>
            <w:tcBorders>
              <w:top w:val="single" w:sz="4" w:space="0" w:color="000000"/>
              <w:left w:val="single" w:sz="4" w:space="0" w:color="FFFFFF"/>
              <w:bottom w:val="single" w:sz="4" w:space="0" w:color="000000"/>
              <w:right w:val="single" w:sz="4" w:space="0" w:color="000000"/>
            </w:tcBorders>
            <w:shd w:val="clear" w:color="auto" w:fill="auto"/>
            <w:tcMar>
              <w:top w:w="0" w:type="dxa"/>
              <w:left w:w="10" w:type="dxa"/>
              <w:bottom w:w="0" w:type="dxa"/>
              <w:right w:w="10" w:type="dxa"/>
            </w:tcMar>
          </w:tcPr>
          <w:p w14:paraId="347B6048" w14:textId="77777777" w:rsidR="00396796" w:rsidRDefault="00B46389">
            <w:pPr>
              <w:tabs>
                <w:tab w:val="left" w:pos="2130"/>
              </w:tabs>
              <w:spacing w:line="22" w:lineRule="atLeast"/>
            </w:pPr>
            <w:r>
              <w:t xml:space="preserve">UK producer of Category 1 steel products </w:t>
            </w:r>
          </w:p>
          <w:p w14:paraId="7C296B31" w14:textId="77777777" w:rsidR="00396796" w:rsidRDefault="00396796">
            <w:pPr>
              <w:tabs>
                <w:tab w:val="left" w:pos="2130"/>
              </w:tabs>
              <w:spacing w:line="22" w:lineRule="atLeast"/>
            </w:pPr>
          </w:p>
          <w:p w14:paraId="5C022A1D" w14:textId="17F740B5" w:rsidR="00396796" w:rsidRDefault="00B46389">
            <w:pPr>
              <w:tabs>
                <w:tab w:val="left" w:pos="1058"/>
              </w:tabs>
            </w:pPr>
            <w:r>
              <w:t>Membership Body – UK Steel Industry</w:t>
            </w:r>
          </w:p>
        </w:tc>
      </w:tr>
    </w:tbl>
    <w:p w14:paraId="2DA03456" w14:textId="77777777" w:rsidR="00396796" w:rsidRDefault="00396796">
      <w:pPr>
        <w:rPr>
          <w:lang w:val="en-US"/>
        </w:rPr>
      </w:pPr>
    </w:p>
    <w:p w14:paraId="76049DA2" w14:textId="77777777" w:rsidR="00396796" w:rsidRDefault="00396796">
      <w:pPr>
        <w:rPr>
          <w:lang w:val="en-US"/>
        </w:rPr>
      </w:pPr>
    </w:p>
    <w:p w14:paraId="2A203A40" w14:textId="77777777" w:rsidR="00396796" w:rsidRDefault="00396796">
      <w:pPr>
        <w:rPr>
          <w:lang w:val="en-US"/>
        </w:rPr>
      </w:pPr>
    </w:p>
    <w:p w14:paraId="31678065" w14:textId="77777777" w:rsidR="00396796" w:rsidRDefault="00396796">
      <w:pPr>
        <w:rPr>
          <w:lang w:val="en-US"/>
        </w:rPr>
      </w:pPr>
    </w:p>
    <w:p w14:paraId="6AB55FAE" w14:textId="77777777" w:rsidR="00396796" w:rsidRDefault="00396796">
      <w:pPr>
        <w:rPr>
          <w:lang w:val="en-US"/>
        </w:rPr>
      </w:pPr>
    </w:p>
    <w:p w14:paraId="4B2490DE" w14:textId="77777777" w:rsidR="00396796" w:rsidRDefault="00396796">
      <w:pPr>
        <w:rPr>
          <w:lang w:val="en-US"/>
        </w:rPr>
      </w:pPr>
    </w:p>
    <w:p w14:paraId="54D67BC0" w14:textId="77777777" w:rsidR="00396796" w:rsidRDefault="00396796">
      <w:pPr>
        <w:rPr>
          <w:lang w:val="en-US"/>
        </w:rPr>
      </w:pPr>
    </w:p>
    <w:p w14:paraId="43564C31" w14:textId="77777777" w:rsidR="00396796" w:rsidRDefault="00B46389">
      <w:pPr>
        <w:pStyle w:val="NormalWeb"/>
        <w:spacing w:line="22" w:lineRule="atLeast"/>
        <w:contextualSpacing/>
      </w:pPr>
      <w:r>
        <w:rPr>
          <w:rFonts w:ascii="Arial" w:eastAsia="Arial" w:hAnsi="Arial" w:cs="Arial"/>
          <w:color w:val="000000"/>
        </w:rPr>
        <w:t xml:space="preserve">When you have completed this form, indicate the </w:t>
      </w:r>
      <w:r>
        <w:rPr>
          <w:rFonts w:ascii="Arial" w:eastAsia="Arial" w:hAnsi="Arial" w:cs="Arial"/>
          <w:b/>
          <w:bCs/>
          <w:color w:val="000000"/>
        </w:rPr>
        <w:t>confidentiality</w:t>
      </w:r>
      <w:r>
        <w:rPr>
          <w:rFonts w:ascii="Arial" w:eastAsia="Arial" w:hAnsi="Arial" w:cs="Arial"/>
          <w:color w:val="000000"/>
        </w:rPr>
        <w:t xml:space="preserve"> status of this document by placing an X in the relevant box </w:t>
      </w:r>
      <w:r>
        <w:rPr>
          <w:rFonts w:ascii="Arial" w:eastAsia="Arial" w:hAnsi="Arial" w:cs="Arial"/>
          <w:color w:val="000000"/>
        </w:rPr>
        <w:t>below</w:t>
      </w:r>
      <w:r>
        <w:rPr>
          <w:rFonts w:ascii="Arial" w:eastAsia="Arial" w:hAnsi="Arial" w:cs="Arial"/>
        </w:rPr>
        <w:t xml:space="preserve"> and in the header. </w:t>
      </w:r>
      <w:r>
        <w:rPr>
          <w:rStyle w:val="normaltextrun"/>
          <w:rFonts w:ascii="Arial" w:hAnsi="Arial" w:cs="Arial"/>
          <w:u w:val="single"/>
        </w:rPr>
        <w:t xml:space="preserve">We strongly recommend this questionnaire to be completed on the </w:t>
      </w:r>
      <w:r>
        <w:rPr>
          <w:rStyle w:val="findhit"/>
          <w:rFonts w:ascii="Arial" w:hAnsi="Arial" w:cs="Arial"/>
          <w:u w:val="single"/>
        </w:rPr>
        <w:t>computer</w:t>
      </w:r>
      <w:r>
        <w:rPr>
          <w:rStyle w:val="normaltextrun"/>
          <w:rFonts w:ascii="Arial" w:hAnsi="Arial" w:cs="Arial"/>
          <w:u w:val="single"/>
        </w:rPr>
        <w:t>, so this step is easy to complete:</w:t>
      </w:r>
    </w:p>
    <w:p w14:paraId="60B5CCAA" w14:textId="77777777" w:rsidR="00396796" w:rsidRDefault="00B46389">
      <w:pPr>
        <w:spacing w:line="22" w:lineRule="atLeast"/>
        <w:contextualSpacing/>
      </w:pPr>
      <w:r>
        <w:rPr>
          <w:rFonts w:ascii="MS Gothic" w:eastAsia="MS Gothic" w:hAnsi="MS Gothic" w:cs="Segoe UI Symbol"/>
          <w:b/>
          <w:bCs/>
          <w:color w:val="000000"/>
        </w:rPr>
        <w:t>☐</w:t>
      </w:r>
      <w:r>
        <w:rPr>
          <w:rFonts w:eastAsia="Arial"/>
          <w:color w:val="000000"/>
        </w:rPr>
        <w:t>Confidential</w:t>
      </w:r>
    </w:p>
    <w:p w14:paraId="39797FEF" w14:textId="77777777" w:rsidR="00396796" w:rsidRDefault="00B46389">
      <w:pPr>
        <w:spacing w:line="22" w:lineRule="atLeast"/>
        <w:contextualSpacing/>
      </w:pPr>
      <w:r>
        <w:rPr>
          <w:rFonts w:ascii="MS Gothic" w:eastAsia="MS Gothic" w:hAnsi="MS Gothic" w:cs="Segoe UI Symbol"/>
          <w:b/>
          <w:bCs/>
          <w:color w:val="000000"/>
        </w:rPr>
        <w:t>☐</w:t>
      </w:r>
      <w:proofErr w:type="gramStart"/>
      <w:r>
        <w:rPr>
          <w:rFonts w:eastAsia="Arial"/>
          <w:color w:val="000000"/>
        </w:rPr>
        <w:t>Non-Confidential</w:t>
      </w:r>
      <w:proofErr w:type="gramEnd"/>
      <w:r>
        <w:rPr>
          <w:rFonts w:eastAsia="Arial"/>
          <w:color w:val="000000"/>
        </w:rPr>
        <w:t xml:space="preserve"> – may be made publicly available</w:t>
      </w:r>
    </w:p>
    <w:p w14:paraId="052DB611" w14:textId="77777777" w:rsidR="00396796" w:rsidRDefault="00396796">
      <w:pPr>
        <w:spacing w:line="22" w:lineRule="atLeast"/>
        <w:contextualSpacing/>
        <w:rPr>
          <w:rFonts w:eastAsia="Arial"/>
          <w:color w:val="000000"/>
        </w:rPr>
      </w:pPr>
    </w:p>
    <w:p w14:paraId="45AE4D2B" w14:textId="77777777" w:rsidR="00396796" w:rsidRDefault="00B46389">
      <w:pPr>
        <w:spacing w:line="22" w:lineRule="atLeast"/>
        <w:contextualSpacing/>
      </w:pPr>
      <w:r>
        <w:rPr>
          <w:rFonts w:eastAsia="Arial"/>
          <w:color w:val="000000"/>
        </w:rPr>
        <w:t>Parties providing confidential information should also provide a non-confidential summary of that information or a statement of reasons why it cannot be summarised</w:t>
      </w:r>
      <w:r>
        <w:rPr>
          <w:rFonts w:eastAsia="Arial"/>
          <w:b/>
          <w:bCs/>
          <w:color w:val="000000"/>
        </w:rPr>
        <w:t xml:space="preserve">. </w:t>
      </w:r>
      <w:r>
        <w:rPr>
          <w:rFonts w:eastAsia="Arial"/>
          <w:color w:val="000000"/>
        </w:rPr>
        <w:t>Both copies must be returned to the TRA using the Trade Remedies Service (</w:t>
      </w:r>
      <w:hyperlink r:id="rId7" w:history="1">
        <w:r>
          <w:rPr>
            <w:rStyle w:val="Hyperlink"/>
            <w:rFonts w:eastAsia="Arial"/>
          </w:rPr>
          <w:t>www.trade-remedies.service.gov.uk</w:t>
        </w:r>
      </w:hyperlink>
      <w:r>
        <w:rPr>
          <w:rFonts w:eastAsia="Arial"/>
          <w:color w:val="000000"/>
        </w:rPr>
        <w:t xml:space="preserve">) by </w:t>
      </w:r>
      <w:r>
        <w:rPr>
          <w:rFonts w:eastAsia="Arial"/>
          <w:b/>
          <w:bCs/>
          <w:color w:val="000000"/>
        </w:rPr>
        <w:t>25 February 2024</w:t>
      </w:r>
      <w:r>
        <w:rPr>
          <w:rFonts w:eastAsia="Arial"/>
          <w:color w:val="000000"/>
        </w:rPr>
        <w:t xml:space="preserve">. </w:t>
      </w:r>
    </w:p>
    <w:p w14:paraId="4AD33DCB" w14:textId="77777777" w:rsidR="00396796" w:rsidRDefault="00B46389">
      <w:pPr>
        <w:pStyle w:val="TOCHeading"/>
        <w:pageBreakBefore/>
        <w:spacing w:line="22" w:lineRule="atLeast"/>
        <w:jc w:val="center"/>
        <w:outlineLvl w:val="9"/>
      </w:pPr>
      <w:r>
        <w:rPr>
          <w:rFonts w:cs="Arial"/>
          <w:sz w:val="32"/>
        </w:rPr>
        <w:lastRenderedPageBreak/>
        <w:t>Table of Contents</w:t>
      </w:r>
    </w:p>
    <w:p w14:paraId="24F6600D" w14:textId="77777777" w:rsidR="00396796" w:rsidRDefault="00396796"/>
    <w:p w14:paraId="1ACF9B41" w14:textId="77777777" w:rsidR="00396796" w:rsidRDefault="00396796">
      <w:pPr>
        <w:rPr>
          <w:b/>
        </w:rPr>
      </w:pPr>
    </w:p>
    <w:p w14:paraId="2983DFDC" w14:textId="77777777" w:rsidR="00396796" w:rsidRDefault="00B46389">
      <w:pPr>
        <w:pStyle w:val="TOC2"/>
      </w:pPr>
      <w:r>
        <w:fldChar w:fldCharType="begin"/>
      </w:r>
      <w:r>
        <w:instrText xml:space="preserve"> TOC \o "1-3" \u \h </w:instrText>
      </w:r>
      <w:r>
        <w:fldChar w:fldCharType="separate"/>
      </w:r>
      <w:hyperlink r:id="rId8" w:history="1">
        <w:r>
          <w:rPr>
            <w:rStyle w:val="Hyperlink"/>
          </w:rPr>
          <w:t>Suspension review</w:t>
        </w:r>
        <w:r>
          <w:tab/>
          <w:t>3</w:t>
        </w:r>
      </w:hyperlink>
    </w:p>
    <w:p w14:paraId="432FCD31" w14:textId="77777777" w:rsidR="00396796" w:rsidRDefault="00B46389">
      <w:pPr>
        <w:pStyle w:val="TOC2"/>
      </w:pPr>
      <w:hyperlink r:id="rId9" w:history="1">
        <w:r>
          <w:rPr>
            <w:rStyle w:val="Hyperlink"/>
          </w:rPr>
          <w:t>Instructions</w:t>
        </w:r>
        <w:r>
          <w:tab/>
          <w:t>4</w:t>
        </w:r>
      </w:hyperlink>
    </w:p>
    <w:p w14:paraId="1BDFBB93" w14:textId="77777777" w:rsidR="00396796" w:rsidRDefault="00B46389">
      <w:pPr>
        <w:pStyle w:val="TOC3"/>
        <w:tabs>
          <w:tab w:val="right" w:leader="dot" w:pos="9016"/>
        </w:tabs>
      </w:pPr>
      <w:hyperlink r:id="rId10" w:history="1">
        <w:r>
          <w:rPr>
            <w:rStyle w:val="Hyperlink"/>
            <w:lang w:eastAsia="en-GB"/>
          </w:rPr>
          <w:t>I – Who should complete this form</w:t>
        </w:r>
        <w:r>
          <w:tab/>
          <w:t>4</w:t>
        </w:r>
      </w:hyperlink>
    </w:p>
    <w:p w14:paraId="712BCA05" w14:textId="77777777" w:rsidR="00396796" w:rsidRDefault="00B46389">
      <w:pPr>
        <w:pStyle w:val="TOC3"/>
        <w:tabs>
          <w:tab w:val="right" w:leader="dot" w:pos="9016"/>
        </w:tabs>
      </w:pPr>
      <w:hyperlink r:id="rId11" w:history="1">
        <w:r>
          <w:rPr>
            <w:rStyle w:val="Hyperlink"/>
            <w:lang w:eastAsia="zh-CN"/>
          </w:rPr>
          <w:t>II – Note about confidentiality</w:t>
        </w:r>
        <w:r>
          <w:tab/>
          <w:t>4</w:t>
        </w:r>
      </w:hyperlink>
    </w:p>
    <w:p w14:paraId="37F216EE" w14:textId="77777777" w:rsidR="00396796" w:rsidRDefault="00B46389">
      <w:pPr>
        <w:pStyle w:val="TOC2"/>
      </w:pPr>
      <w:hyperlink r:id="rId12" w:history="1">
        <w:r>
          <w:rPr>
            <w:rStyle w:val="Hyperlink"/>
            <w:lang w:eastAsia="zh-CN"/>
          </w:rPr>
          <w:t xml:space="preserve">Section A – </w:t>
        </w:r>
        <w:r>
          <w:rPr>
            <w:rStyle w:val="Hyperlink"/>
            <w:bCs/>
          </w:rPr>
          <w:t>Your organisation’s interest in the review</w:t>
        </w:r>
        <w:r>
          <w:tab/>
          <w:t>5</w:t>
        </w:r>
      </w:hyperlink>
    </w:p>
    <w:p w14:paraId="5D667EB4" w14:textId="77777777" w:rsidR="00396796" w:rsidRDefault="00B46389">
      <w:pPr>
        <w:pStyle w:val="TOC2"/>
      </w:pPr>
      <w:hyperlink r:id="rId13" w:history="1">
        <w:r>
          <w:rPr>
            <w:rStyle w:val="Hyperlink"/>
            <w:lang w:eastAsia="zh-CN"/>
          </w:rPr>
          <w:t xml:space="preserve">Section B – </w:t>
        </w:r>
        <w:r>
          <w:rPr>
            <w:rStyle w:val="Hyperlink"/>
            <w:bCs/>
          </w:rPr>
          <w:t xml:space="preserve">Comments on </w:t>
        </w:r>
        <w:r>
          <w:rPr>
            <w:rStyle w:val="Hyperlink"/>
          </w:rPr>
          <w:t xml:space="preserve">the </w:t>
        </w:r>
        <w:r>
          <w:rPr>
            <w:rStyle w:val="Hyperlink"/>
            <w:bCs/>
          </w:rPr>
          <w:t xml:space="preserve">proposed </w:t>
        </w:r>
        <w:r>
          <w:rPr>
            <w:rStyle w:val="Hyperlink"/>
            <w:bCs/>
          </w:rPr>
          <w:t>suspension</w:t>
        </w:r>
        <w:r>
          <w:tab/>
          <w:t>5</w:t>
        </w:r>
      </w:hyperlink>
    </w:p>
    <w:p w14:paraId="40179BDA" w14:textId="77777777" w:rsidR="00396796" w:rsidRDefault="00B46389">
      <w:pPr>
        <w:pStyle w:val="TOC2"/>
      </w:pPr>
      <w:hyperlink r:id="rId14" w:history="1">
        <w:r>
          <w:rPr>
            <w:rStyle w:val="Hyperlink"/>
            <w:lang w:eastAsia="zh-CN"/>
          </w:rPr>
          <w:t>Section C – Additional information</w:t>
        </w:r>
        <w:r>
          <w:tab/>
          <w:t>7</w:t>
        </w:r>
      </w:hyperlink>
    </w:p>
    <w:p w14:paraId="64C2D994" w14:textId="77777777" w:rsidR="00396796" w:rsidRDefault="00B46389">
      <w:pPr>
        <w:spacing w:line="22" w:lineRule="atLeast"/>
      </w:pPr>
      <w:r>
        <w:fldChar w:fldCharType="end"/>
      </w:r>
    </w:p>
    <w:p w14:paraId="2221E560" w14:textId="77777777" w:rsidR="00396796" w:rsidRDefault="00396796">
      <w:pPr>
        <w:pageBreakBefore/>
        <w:spacing w:after="160" w:line="22" w:lineRule="atLeast"/>
        <w:rPr>
          <w:b/>
          <w:sz w:val="32"/>
          <w:szCs w:val="32"/>
          <w:lang w:eastAsia="zh-CN"/>
        </w:rPr>
      </w:pPr>
    </w:p>
    <w:p w14:paraId="096948DA" w14:textId="77777777" w:rsidR="00396796" w:rsidRDefault="00B46389">
      <w:pPr>
        <w:pStyle w:val="Heading2"/>
      </w:pPr>
      <w:bookmarkStart w:id="1" w:name="_The_scope_of"/>
      <w:bookmarkStart w:id="2" w:name="_Toc157513139"/>
      <w:bookmarkStart w:id="3" w:name="_Hlk105431857"/>
      <w:bookmarkStart w:id="4" w:name="_Toc10708167"/>
      <w:bookmarkEnd w:id="1"/>
      <w:r>
        <w:rPr>
          <w:rStyle w:val="normaltextrun"/>
        </w:rPr>
        <w:t>Suspension review</w:t>
      </w:r>
      <w:bookmarkEnd w:id="2"/>
    </w:p>
    <w:p w14:paraId="271C96C8" w14:textId="77777777" w:rsidR="00396796" w:rsidRDefault="00B46389">
      <w:pPr>
        <w:pStyle w:val="paragraph"/>
        <w:spacing w:before="0" w:after="0"/>
        <w:textAlignment w:val="baseline"/>
      </w:pPr>
      <w:r>
        <w:rPr>
          <w:rStyle w:val="eop"/>
          <w:rFonts w:ascii="Arial" w:hAnsi="Arial" w:cs="Arial"/>
          <w:b/>
          <w:bCs/>
          <w:sz w:val="32"/>
          <w:szCs w:val="32"/>
        </w:rPr>
        <w:t xml:space="preserve"> </w:t>
      </w:r>
    </w:p>
    <w:p w14:paraId="0ED14A5B" w14:textId="77777777" w:rsidR="00396796" w:rsidRDefault="00B46389">
      <w:pPr>
        <w:pStyle w:val="paragraph"/>
        <w:spacing w:before="0" w:after="0"/>
        <w:textAlignment w:val="baseline"/>
      </w:pPr>
      <w:r>
        <w:rPr>
          <w:rStyle w:val="normaltextrun"/>
          <w:rFonts w:ascii="Arial" w:hAnsi="Arial" w:cs="Arial"/>
          <w:color w:val="000000"/>
          <w:shd w:val="clear" w:color="auto" w:fill="FFFFFF"/>
        </w:rPr>
        <w:t>The review will consider:</w:t>
      </w:r>
    </w:p>
    <w:p w14:paraId="0E1E346B" w14:textId="77777777" w:rsidR="00396796" w:rsidRDefault="00B46389">
      <w:pPr>
        <w:pStyle w:val="paragraph"/>
        <w:numPr>
          <w:ilvl w:val="0"/>
          <w:numId w:val="1"/>
        </w:numPr>
        <w:spacing w:before="0" w:after="0"/>
        <w:textAlignment w:val="baseline"/>
      </w:pPr>
      <w:r>
        <w:rPr>
          <w:rStyle w:val="normaltextrun"/>
          <w:rFonts w:ascii="Arial" w:hAnsi="Arial" w:cs="Arial"/>
          <w:color w:val="000000"/>
          <w:shd w:val="clear" w:color="auto" w:fill="FFFFFF"/>
        </w:rPr>
        <w:t xml:space="preserve">Whether the market conditions have changed </w:t>
      </w:r>
      <w:proofErr w:type="gramStart"/>
      <w:r>
        <w:rPr>
          <w:rStyle w:val="normaltextrun"/>
          <w:rFonts w:ascii="Arial" w:hAnsi="Arial" w:cs="Arial"/>
          <w:color w:val="000000"/>
          <w:shd w:val="clear" w:color="auto" w:fill="FFFFFF"/>
        </w:rPr>
        <w:t>temporarily;</w:t>
      </w:r>
      <w:proofErr w:type="gramEnd"/>
    </w:p>
    <w:p w14:paraId="37CD988E" w14:textId="77777777" w:rsidR="00396796" w:rsidRDefault="00B46389">
      <w:pPr>
        <w:pStyle w:val="paragraph"/>
        <w:numPr>
          <w:ilvl w:val="0"/>
          <w:numId w:val="1"/>
        </w:numPr>
        <w:spacing w:before="0" w:after="0"/>
        <w:textAlignment w:val="baseline"/>
      </w:pPr>
      <w:r>
        <w:rPr>
          <w:rStyle w:val="normaltextrun"/>
          <w:rFonts w:ascii="Arial" w:hAnsi="Arial" w:cs="Arial"/>
          <w:color w:val="000000"/>
          <w:shd w:val="clear" w:color="auto" w:fill="FFFFFF"/>
        </w:rPr>
        <w:t xml:space="preserve">Whether serious injury caused to the UK producers is unlikely to recur if the application of the safeguarding remedy were to be </w:t>
      </w:r>
      <w:proofErr w:type="gramStart"/>
      <w:r>
        <w:rPr>
          <w:rStyle w:val="normaltextrun"/>
          <w:rFonts w:ascii="Arial" w:hAnsi="Arial" w:cs="Arial"/>
          <w:color w:val="000000"/>
          <w:shd w:val="clear" w:color="auto" w:fill="FFFFFF"/>
        </w:rPr>
        <w:t>suspended;</w:t>
      </w:r>
      <w:proofErr w:type="gramEnd"/>
    </w:p>
    <w:p w14:paraId="65625574" w14:textId="77777777" w:rsidR="00396796" w:rsidRDefault="00B46389">
      <w:pPr>
        <w:pStyle w:val="paragraph"/>
        <w:numPr>
          <w:ilvl w:val="0"/>
          <w:numId w:val="1"/>
        </w:numPr>
        <w:spacing w:before="0" w:after="0"/>
        <w:textAlignment w:val="baseline"/>
      </w:pPr>
      <w:r>
        <w:rPr>
          <w:rStyle w:val="normaltextrun"/>
          <w:rFonts w:ascii="Arial" w:hAnsi="Arial" w:cs="Arial"/>
          <w:color w:val="000000"/>
          <w:shd w:val="clear" w:color="auto" w:fill="FFFFFF"/>
        </w:rPr>
        <w:t>Whether the suspension is appropriate; and</w:t>
      </w:r>
    </w:p>
    <w:p w14:paraId="08752321" w14:textId="77777777" w:rsidR="00396796" w:rsidRDefault="00B46389">
      <w:pPr>
        <w:pStyle w:val="paragraph"/>
        <w:numPr>
          <w:ilvl w:val="0"/>
          <w:numId w:val="1"/>
        </w:numPr>
        <w:spacing w:before="0" w:after="0"/>
        <w:textAlignment w:val="baseline"/>
      </w:pPr>
      <w:r>
        <w:rPr>
          <w:rStyle w:val="normaltextrun"/>
          <w:rFonts w:ascii="Arial" w:hAnsi="Arial" w:cs="Arial"/>
          <w:color w:val="000000"/>
          <w:shd w:val="clear" w:color="auto" w:fill="FFFFFF"/>
        </w:rPr>
        <w:t>The appropriate length of any suspension.</w:t>
      </w:r>
    </w:p>
    <w:p w14:paraId="10D15041" w14:textId="77777777" w:rsidR="00396796" w:rsidRDefault="00396796">
      <w:pPr>
        <w:pStyle w:val="paragraph"/>
        <w:spacing w:before="0" w:after="0"/>
        <w:textAlignment w:val="baseline"/>
      </w:pPr>
    </w:p>
    <w:p w14:paraId="490087FB" w14:textId="77777777" w:rsidR="00396796" w:rsidRDefault="00B46389">
      <w:pPr>
        <w:pStyle w:val="paragraph"/>
        <w:spacing w:before="0" w:after="0" w:line="22" w:lineRule="atLeast"/>
        <w:textAlignment w:val="baseline"/>
      </w:pPr>
      <w:bookmarkStart w:id="5" w:name="_Hlk105433717"/>
      <w:r>
        <w:rPr>
          <w:rStyle w:val="normaltextrun"/>
          <w:rFonts w:ascii="Arial" w:hAnsi="Arial" w:cs="Arial"/>
          <w:b/>
          <w:bCs/>
          <w:sz w:val="28"/>
          <w:szCs w:val="32"/>
        </w:rPr>
        <w:t>Relevant measure</w:t>
      </w:r>
    </w:p>
    <w:p w14:paraId="346D9521" w14:textId="77777777" w:rsidR="00396796" w:rsidRDefault="00396796">
      <w:pPr>
        <w:pStyle w:val="paragraph"/>
        <w:spacing w:before="0" w:after="0"/>
        <w:textAlignment w:val="baseline"/>
      </w:pPr>
    </w:p>
    <w:bookmarkEnd w:id="5"/>
    <w:p w14:paraId="6AFEF0DF" w14:textId="77777777" w:rsidR="00396796" w:rsidRDefault="00B46389">
      <w:pPr>
        <w:pStyle w:val="paragraph"/>
        <w:spacing w:before="0" w:after="0"/>
        <w:textAlignment w:val="baseline"/>
        <w:rPr>
          <w:rFonts w:ascii="Arial" w:hAnsi="Arial" w:cs="Arial"/>
          <w:color w:val="000000"/>
          <w:shd w:val="clear" w:color="auto" w:fill="FFFFFF"/>
        </w:rPr>
      </w:pPr>
      <w:r>
        <w:rPr>
          <w:rFonts w:ascii="Arial" w:hAnsi="Arial" w:cs="Arial"/>
          <w:color w:val="000000"/>
          <w:shd w:val="clear" w:color="auto" w:fill="FFFFFF"/>
        </w:rPr>
        <w:t xml:space="preserve">The review will consider whether it is appropriate to suspend the safeguarding remedy on Category 1 steel products, following the measure imposed </w:t>
      </w:r>
      <w:proofErr w:type="gramStart"/>
      <w:r>
        <w:rPr>
          <w:rFonts w:ascii="Arial" w:hAnsi="Arial" w:cs="Arial"/>
          <w:color w:val="000000"/>
          <w:shd w:val="clear" w:color="auto" w:fill="FFFFFF"/>
        </w:rPr>
        <w:t>as a result of</w:t>
      </w:r>
      <w:proofErr w:type="gramEnd"/>
      <w:r>
        <w:rPr>
          <w:rFonts w:ascii="Arial" w:hAnsi="Arial" w:cs="Arial"/>
          <w:color w:val="000000"/>
          <w:shd w:val="clear" w:color="auto" w:fill="FFFFFF"/>
        </w:rPr>
        <w:t xml:space="preserve"> the reconsideration of the transition review TF0006 from 1 July 2022, the SM0016 Tariff-Rate Quota (TRQ) review from 1 July 2022, the SM0019 TRQ review from 1 July 2022, and TQ0030 TRQ review from 30 June 2023. Details of the measure imposed are set out in: </w:t>
      </w:r>
    </w:p>
    <w:p w14:paraId="516B8BB4" w14:textId="77777777" w:rsidR="00396796" w:rsidRDefault="00396796">
      <w:pPr>
        <w:pStyle w:val="paragraph"/>
        <w:spacing w:before="0" w:after="0"/>
        <w:textAlignment w:val="baseline"/>
        <w:rPr>
          <w:rFonts w:ascii="Arial" w:hAnsi="Arial" w:cs="Arial"/>
          <w:color w:val="000000"/>
          <w:shd w:val="clear" w:color="auto" w:fill="FFFFFF"/>
        </w:rPr>
      </w:pPr>
    </w:p>
    <w:p w14:paraId="25DB596D" w14:textId="77777777" w:rsidR="00396796" w:rsidRDefault="00B46389">
      <w:pPr>
        <w:pStyle w:val="paragraph"/>
        <w:numPr>
          <w:ilvl w:val="0"/>
          <w:numId w:val="2"/>
        </w:numPr>
        <w:suppressAutoHyphens w:val="0"/>
        <w:spacing w:before="0" w:after="0"/>
        <w:textAlignment w:val="baseline"/>
      </w:pPr>
      <w:hyperlink r:id="rId15" w:history="1">
        <w:r>
          <w:rPr>
            <w:rStyle w:val="Hyperlink"/>
            <w:rFonts w:ascii="Arial" w:hAnsi="Arial" w:cs="Arial"/>
            <w:shd w:val="clear" w:color="auto" w:fill="FFFFFF"/>
          </w:rPr>
          <w:t>Trade Remedies Notice 2022/01: Safeguard Measure: Tariff-Rate Quota on steels goods</w:t>
        </w:r>
      </w:hyperlink>
      <w:r>
        <w:rPr>
          <w:rFonts w:ascii="Arial" w:hAnsi="Arial" w:cs="Arial"/>
          <w:color w:val="000000"/>
          <w:shd w:val="clear" w:color="auto" w:fill="FFFFFF"/>
        </w:rPr>
        <w:t>; and</w:t>
      </w:r>
    </w:p>
    <w:p w14:paraId="6B0266B0" w14:textId="77777777" w:rsidR="00396796" w:rsidRDefault="00B46389">
      <w:pPr>
        <w:pStyle w:val="paragraph"/>
        <w:numPr>
          <w:ilvl w:val="0"/>
          <w:numId w:val="2"/>
        </w:numPr>
        <w:suppressAutoHyphens w:val="0"/>
        <w:spacing w:before="0" w:after="0"/>
        <w:textAlignment w:val="baseline"/>
      </w:pPr>
      <w:hyperlink r:id="rId16" w:history="1">
        <w:r>
          <w:rPr>
            <w:rStyle w:val="Hyperlink"/>
            <w:rFonts w:ascii="Arial" w:hAnsi="Arial" w:cs="Arial"/>
            <w:shd w:val="clear" w:color="auto" w:fill="FFFFFF"/>
          </w:rPr>
          <w:t>Trade Remedies Notice 2023/10: Safeguard Measure: Tariff-Rate Quota on steels goods</w:t>
        </w:r>
      </w:hyperlink>
      <w:r>
        <w:rPr>
          <w:rFonts w:ascii="Arial" w:hAnsi="Arial" w:cs="Arial"/>
          <w:color w:val="000000"/>
          <w:shd w:val="clear" w:color="auto" w:fill="FFFFFF"/>
        </w:rPr>
        <w:t>.</w:t>
      </w:r>
    </w:p>
    <w:p w14:paraId="562A61B3" w14:textId="77777777" w:rsidR="00396796" w:rsidRDefault="00396796">
      <w:pPr>
        <w:pStyle w:val="paragraph"/>
        <w:spacing w:before="0" w:after="0"/>
        <w:textAlignment w:val="baseline"/>
        <w:rPr>
          <w:rFonts w:ascii="Segoe UI" w:hAnsi="Segoe UI" w:cs="Segoe UI"/>
          <w:b/>
          <w:bCs/>
          <w:sz w:val="18"/>
          <w:szCs w:val="18"/>
        </w:rPr>
      </w:pPr>
    </w:p>
    <w:p w14:paraId="32F3024B" w14:textId="77777777" w:rsidR="00396796" w:rsidRDefault="00B46389">
      <w:pPr>
        <w:pStyle w:val="paragraph"/>
        <w:spacing w:before="0" w:after="0"/>
        <w:textAlignment w:val="baseline"/>
      </w:pPr>
      <w:r>
        <w:rPr>
          <w:rStyle w:val="normaltextrun"/>
          <w:rFonts w:ascii="Arial" w:hAnsi="Arial" w:cs="Arial"/>
          <w:b/>
          <w:bCs/>
          <w:sz w:val="28"/>
          <w:szCs w:val="28"/>
        </w:rPr>
        <w:t>Goods subject to review</w:t>
      </w:r>
    </w:p>
    <w:p w14:paraId="2FABD129" w14:textId="77777777" w:rsidR="00396796" w:rsidRDefault="00396796">
      <w:pPr>
        <w:pStyle w:val="paragraph"/>
        <w:spacing w:before="0" w:after="0"/>
        <w:textAlignment w:val="baseline"/>
        <w:rPr>
          <w:rFonts w:ascii="Segoe UI" w:hAnsi="Segoe UI" w:cs="Segoe UI"/>
          <w:b/>
          <w:bCs/>
          <w:sz w:val="16"/>
          <w:szCs w:val="18"/>
        </w:rPr>
      </w:pPr>
    </w:p>
    <w:p w14:paraId="6D83EA88" w14:textId="77777777" w:rsidR="00396796" w:rsidRDefault="00B46389">
      <w:pPr>
        <w:pStyle w:val="paragraph"/>
        <w:textAlignment w:val="baseline"/>
      </w:pPr>
      <w:r>
        <w:rPr>
          <w:rStyle w:val="normaltextrun"/>
          <w:rFonts w:ascii="Arial" w:hAnsi="Arial" w:cs="Arial"/>
        </w:rPr>
        <w:t xml:space="preserve">The goods subject to review </w:t>
      </w:r>
      <w:proofErr w:type="gramStart"/>
      <w:r>
        <w:rPr>
          <w:rStyle w:val="normaltextrun"/>
          <w:rFonts w:ascii="Arial" w:hAnsi="Arial" w:cs="Arial"/>
        </w:rPr>
        <w:t>are:</w:t>
      </w:r>
      <w:proofErr w:type="gramEnd"/>
      <w:r>
        <w:rPr>
          <w:rStyle w:val="normaltextrun"/>
          <w:rFonts w:ascii="Arial" w:hAnsi="Arial" w:cs="Arial"/>
        </w:rPr>
        <w:t xml:space="preserve"> Category 1 steel -</w:t>
      </w:r>
      <w:r>
        <w:rPr>
          <w:rFonts w:ascii="Arial" w:hAnsi="Arial" w:cs="Arial"/>
          <w:lang w:val="en-US"/>
        </w:rPr>
        <w:t xml:space="preserve"> </w:t>
      </w:r>
      <w:r>
        <w:rPr>
          <w:rFonts w:ascii="Arial" w:hAnsi="Arial" w:cs="Arial"/>
        </w:rPr>
        <w:t xml:space="preserve">non-alloy and other alloy hot rolled sheets and strips. </w:t>
      </w:r>
    </w:p>
    <w:p w14:paraId="78C95F09" w14:textId="77777777" w:rsidR="00396796" w:rsidRDefault="00B46389">
      <w:pPr>
        <w:pStyle w:val="paragraph"/>
        <w:spacing w:after="120"/>
        <w:textAlignment w:val="baseline"/>
        <w:rPr>
          <w:rFonts w:ascii="Arial" w:hAnsi="Arial" w:cs="Arial"/>
        </w:rPr>
      </w:pPr>
      <w:r>
        <w:rPr>
          <w:rFonts w:ascii="Arial" w:hAnsi="Arial" w:cs="Arial"/>
        </w:rPr>
        <w:t>The goods subject to review are subject to the following tariff classifications:</w:t>
      </w:r>
    </w:p>
    <w:p w14:paraId="604FD161" w14:textId="77777777" w:rsidR="00396796" w:rsidRDefault="00B46389">
      <w:pPr>
        <w:pStyle w:val="paragraph"/>
        <w:spacing w:before="0" w:after="120"/>
        <w:textAlignment w:val="baseline"/>
      </w:pPr>
      <w:r>
        <w:rPr>
          <w:rFonts w:ascii="Arial" w:hAnsi="Arial"/>
        </w:rPr>
        <w:t>72081000, 72082500, 72082600, 72082700, 72083600, 72083700, 72083800, 72083900, 72084000, 72085210, 72085299, 72085310, 72085390, 72085400, 72111300, 72111400, 72111900, 72126000, 72251910, 72253010, 72253030, 72253090, 72254015, 72254090, 72261910, 72269120, 72269191, 72269199</w:t>
      </w:r>
    </w:p>
    <w:p w14:paraId="712072D7" w14:textId="77777777" w:rsidR="00396796" w:rsidRDefault="00396796">
      <w:pPr>
        <w:spacing w:line="22" w:lineRule="atLeast"/>
      </w:pPr>
      <w:bookmarkStart w:id="6" w:name="_Hlk105433755"/>
      <w:bookmarkEnd w:id="3"/>
    </w:p>
    <w:p w14:paraId="04E2A4EF" w14:textId="77777777" w:rsidR="00396796" w:rsidRDefault="00B46389">
      <w:pPr>
        <w:spacing w:line="22" w:lineRule="atLeast"/>
      </w:pPr>
      <w:r>
        <w:t xml:space="preserve">For more information about this case, you may refer to the Notice of Initiation published at: </w:t>
      </w:r>
      <w:hyperlink r:id="rId17" w:history="1">
        <w:r>
          <w:rPr>
            <w:rStyle w:val="Hyperlink"/>
            <w:bCs/>
          </w:rPr>
          <w:t>www.trade-remedies.service.gov.uk/public/cases</w:t>
        </w:r>
      </w:hyperlink>
      <w:r>
        <w:t>.</w:t>
      </w:r>
    </w:p>
    <w:p w14:paraId="05DE1E00" w14:textId="77777777" w:rsidR="00396796" w:rsidRDefault="00396796"/>
    <w:bookmarkEnd w:id="6"/>
    <w:p w14:paraId="353189D1" w14:textId="77777777" w:rsidR="00396796" w:rsidRDefault="00396796">
      <w:pPr>
        <w:pStyle w:val="paragraph"/>
        <w:spacing w:before="0" w:after="0"/>
        <w:textAlignment w:val="baseline"/>
      </w:pPr>
    </w:p>
    <w:p w14:paraId="4880EA05" w14:textId="77777777" w:rsidR="00396796" w:rsidRDefault="00396796">
      <w:pPr>
        <w:pStyle w:val="Heading2"/>
      </w:pPr>
      <w:bookmarkStart w:id="7" w:name="_Instructions"/>
      <w:bookmarkStart w:id="8" w:name="_Toc157513140"/>
      <w:bookmarkEnd w:id="4"/>
      <w:bookmarkEnd w:id="7"/>
    </w:p>
    <w:p w14:paraId="149EAC84" w14:textId="77777777" w:rsidR="00396796" w:rsidRDefault="00B46389">
      <w:pPr>
        <w:pStyle w:val="Heading2"/>
        <w:pageBreakBefore/>
      </w:pPr>
      <w:r>
        <w:lastRenderedPageBreak/>
        <w:t>Instructions</w:t>
      </w:r>
      <w:bookmarkEnd w:id="8"/>
    </w:p>
    <w:p w14:paraId="264D109B" w14:textId="77777777" w:rsidR="00396796" w:rsidRDefault="00396796">
      <w:pPr>
        <w:spacing w:line="22" w:lineRule="atLeast"/>
        <w:rPr>
          <w:szCs w:val="22"/>
        </w:rPr>
      </w:pPr>
    </w:p>
    <w:p w14:paraId="7582DD2D" w14:textId="77777777" w:rsidR="00396796" w:rsidRDefault="00B46389">
      <w:pPr>
        <w:pStyle w:val="Heading3"/>
        <w:rPr>
          <w:lang w:eastAsia="en-GB"/>
        </w:rPr>
      </w:pPr>
      <w:bookmarkStart w:id="9" w:name="_Toc157513141"/>
      <w:r>
        <w:rPr>
          <w:lang w:eastAsia="en-GB"/>
        </w:rPr>
        <w:t>I – Who should complete this form</w:t>
      </w:r>
      <w:bookmarkEnd w:id="9"/>
      <w:r>
        <w:rPr>
          <w:lang w:eastAsia="en-GB"/>
        </w:rPr>
        <w:t xml:space="preserve"> </w:t>
      </w:r>
    </w:p>
    <w:p w14:paraId="386C0381" w14:textId="77777777" w:rsidR="00396796" w:rsidRDefault="00396796">
      <w:pPr>
        <w:rPr>
          <w:lang w:eastAsia="en-GB"/>
        </w:rPr>
      </w:pPr>
    </w:p>
    <w:p w14:paraId="22CF44F5" w14:textId="77777777" w:rsidR="00396796" w:rsidRDefault="00B46389">
      <w:pPr>
        <w:pStyle w:val="NoSpacing"/>
      </w:pPr>
      <w:r>
        <w:rPr>
          <w:rFonts w:ascii="Arial" w:hAnsi="Arial"/>
          <w:sz w:val="24"/>
          <w:szCs w:val="24"/>
          <w:lang w:eastAsia="en-GB"/>
        </w:rPr>
        <w:t xml:space="preserve">You should complete this form if you </w:t>
      </w:r>
      <w:r>
        <w:rPr>
          <w:rFonts w:ascii="Arial" w:eastAsia="Arial" w:hAnsi="Arial"/>
          <w:sz w:val="24"/>
          <w:szCs w:val="24"/>
        </w:rPr>
        <w:t>wish to comment on the proposed suspension</w:t>
      </w:r>
      <w:r>
        <w:rPr>
          <w:rFonts w:ascii="Arial" w:hAnsi="Arial"/>
          <w:sz w:val="24"/>
          <w:szCs w:val="24"/>
          <w:lang w:eastAsia="en-GB"/>
        </w:rPr>
        <w:t>.</w:t>
      </w:r>
    </w:p>
    <w:p w14:paraId="04951D5C" w14:textId="77777777" w:rsidR="00396796" w:rsidRDefault="00396796">
      <w:pPr>
        <w:rPr>
          <w:sz w:val="22"/>
          <w:szCs w:val="22"/>
        </w:rPr>
      </w:pPr>
      <w:bookmarkStart w:id="10" w:name="_Hlk6411388"/>
    </w:p>
    <w:p w14:paraId="6794084B" w14:textId="77777777" w:rsidR="00396796" w:rsidRDefault="00396796">
      <w:pPr>
        <w:rPr>
          <w:sz w:val="22"/>
          <w:szCs w:val="22"/>
        </w:rPr>
      </w:pPr>
    </w:p>
    <w:p w14:paraId="350F1617" w14:textId="77777777" w:rsidR="00396796" w:rsidRDefault="00B46389">
      <w:pPr>
        <w:pStyle w:val="Heading3"/>
        <w:rPr>
          <w:lang w:eastAsia="zh-CN"/>
        </w:rPr>
      </w:pPr>
      <w:bookmarkStart w:id="11" w:name="_Toc10642844"/>
      <w:bookmarkStart w:id="12" w:name="_Toc10708170"/>
      <w:bookmarkStart w:id="13" w:name="_Toc157513142"/>
      <w:r>
        <w:rPr>
          <w:lang w:eastAsia="zh-CN"/>
        </w:rPr>
        <w:t>II – Note about confidentiality</w:t>
      </w:r>
      <w:bookmarkEnd w:id="11"/>
      <w:bookmarkEnd w:id="12"/>
      <w:bookmarkEnd w:id="13"/>
    </w:p>
    <w:p w14:paraId="1ECF38F7" w14:textId="77777777" w:rsidR="00396796" w:rsidRDefault="00B46389">
      <w:pPr>
        <w:pStyle w:val="NormalWeb"/>
        <w:rPr>
          <w:rFonts w:ascii="Arial" w:hAnsi="Arial" w:cs="Arial"/>
          <w:color w:val="000000"/>
        </w:rPr>
      </w:pPr>
      <w:r>
        <w:rPr>
          <w:rFonts w:ascii="Arial" w:hAnsi="Arial" w:cs="Arial"/>
          <w:color w:val="000000"/>
        </w:rPr>
        <w:t xml:space="preserve">Anyone requesting that information be treated as </w:t>
      </w:r>
      <w:r>
        <w:rPr>
          <w:rFonts w:ascii="Arial" w:hAnsi="Arial" w:cs="Arial"/>
          <w:color w:val="000000"/>
        </w:rPr>
        <w:t xml:space="preserve">confidential should provide a non-confidential summary of that information or a statement of reasons why it cannot be summarised. </w:t>
      </w:r>
    </w:p>
    <w:p w14:paraId="0EC90F96" w14:textId="77777777" w:rsidR="00396796" w:rsidRDefault="00B46389">
      <w:pPr>
        <w:pStyle w:val="NormalWeb"/>
        <w:rPr>
          <w:rFonts w:ascii="Arial" w:hAnsi="Arial" w:cs="Arial"/>
          <w:color w:val="000000"/>
        </w:rPr>
      </w:pPr>
      <w:r>
        <w:rPr>
          <w:rFonts w:ascii="Arial" w:hAnsi="Arial" w:cs="Arial"/>
          <w:color w:val="000000"/>
        </w:rPr>
        <w:t>Please ensure that each page of information you provide is clearly marked either “Confidential” or “Non-Confidential” in the header.</w:t>
      </w:r>
    </w:p>
    <w:p w14:paraId="52679547" w14:textId="77777777" w:rsidR="00396796" w:rsidRDefault="00B46389">
      <w:pPr>
        <w:pStyle w:val="NormalWeb"/>
        <w:rPr>
          <w:rFonts w:ascii="Arial" w:hAnsi="Arial" w:cs="Arial"/>
          <w:color w:val="000000"/>
        </w:rPr>
      </w:pPr>
      <w:r>
        <w:rPr>
          <w:rFonts w:ascii="Arial" w:hAnsi="Arial" w:cs="Arial"/>
          <w:color w:val="000000"/>
        </w:rPr>
        <w:t xml:space="preserve">It is your responsibility to ensure that the non-confidential version does not contain any confidential information, which includes personal contact information, names and signatures. </w:t>
      </w:r>
      <w:bookmarkEnd w:id="10"/>
    </w:p>
    <w:p w14:paraId="6AD6AFF0" w14:textId="77777777" w:rsidR="00396796" w:rsidRDefault="00B46389">
      <w:pPr>
        <w:pStyle w:val="NormalWeb"/>
      </w:pPr>
      <w:r>
        <w:rPr>
          <w:rFonts w:ascii="Arial" w:hAnsi="Arial" w:cs="Arial"/>
          <w:color w:val="000000"/>
        </w:rPr>
        <w:t>All information provided to the Trade Remedies Authority (TRA) in confidence will be treated accordingly, only used for this review, and will be stored in protected systems.</w:t>
      </w:r>
    </w:p>
    <w:p w14:paraId="492880A6" w14:textId="77777777" w:rsidR="00396796" w:rsidRDefault="00B46389">
      <w:pPr>
        <w:pStyle w:val="NormalWeb"/>
        <w:spacing w:before="0" w:after="0" w:line="22" w:lineRule="atLeast"/>
      </w:pPr>
      <w:r>
        <w:rPr>
          <w:rFonts w:ascii="Arial" w:hAnsi="Arial" w:cs="Arial"/>
          <w:color w:val="000000"/>
        </w:rPr>
        <w:t>The non-confidential version of your submission may be placed on the public file, which is available on</w:t>
      </w:r>
      <w:r>
        <w:rPr>
          <w:rFonts w:ascii="Arial" w:hAnsi="Arial" w:cs="Arial"/>
          <w:b/>
          <w:color w:val="FF0000"/>
        </w:rPr>
        <w:t xml:space="preserve"> </w:t>
      </w:r>
      <w:hyperlink r:id="rId18" w:history="1">
        <w:r>
          <w:rPr>
            <w:rStyle w:val="Hyperlink"/>
            <w:rFonts w:ascii="Arial" w:hAnsi="Arial" w:cs="Arial"/>
          </w:rPr>
          <w:t>www.trade-remedies.service.gov.uk/public/cases</w:t>
        </w:r>
      </w:hyperlink>
      <w:r>
        <w:rPr>
          <w:rStyle w:val="Hyperlink"/>
          <w:rFonts w:ascii="Arial" w:hAnsi="Arial" w:cs="Arial"/>
          <w:bCs/>
        </w:rPr>
        <w:t>.</w:t>
      </w:r>
    </w:p>
    <w:p w14:paraId="31DC40E3" w14:textId="77777777" w:rsidR="00396796" w:rsidRDefault="00396796">
      <w:pPr>
        <w:pStyle w:val="NormalWeb"/>
        <w:rPr>
          <w:rFonts w:ascii="Arial" w:hAnsi="Arial" w:cs="Arial"/>
          <w:color w:val="000000"/>
        </w:rPr>
      </w:pPr>
    </w:p>
    <w:p w14:paraId="69B22379" w14:textId="77777777" w:rsidR="00396796" w:rsidRDefault="00396796">
      <w:pPr>
        <w:rPr>
          <w:lang w:eastAsia="zh-CN"/>
        </w:rPr>
      </w:pPr>
    </w:p>
    <w:p w14:paraId="7207BF15" w14:textId="77777777" w:rsidR="00396796" w:rsidRDefault="00396796">
      <w:pPr>
        <w:pageBreakBefore/>
        <w:spacing w:after="160" w:line="247" w:lineRule="auto"/>
        <w:rPr>
          <w:lang w:eastAsia="zh-CN"/>
        </w:rPr>
      </w:pPr>
    </w:p>
    <w:p w14:paraId="2E3A7893" w14:textId="77777777" w:rsidR="00396796" w:rsidRDefault="00B46389">
      <w:pPr>
        <w:pStyle w:val="Heading2"/>
      </w:pPr>
      <w:bookmarkStart w:id="14" w:name="_Toc157513143"/>
      <w:r>
        <w:rPr>
          <w:lang w:eastAsia="zh-CN"/>
        </w:rPr>
        <w:t xml:space="preserve">Section A – </w:t>
      </w:r>
      <w:r>
        <w:rPr>
          <w:rFonts w:cs="Arial"/>
          <w:bCs/>
        </w:rPr>
        <w:t>Your organisation’s interest in the review</w:t>
      </w:r>
      <w:bookmarkEnd w:id="14"/>
    </w:p>
    <w:p w14:paraId="14306144" w14:textId="77777777" w:rsidR="00396796" w:rsidRDefault="00396796"/>
    <w:p w14:paraId="1F103A95" w14:textId="77777777" w:rsidR="00396796" w:rsidRDefault="00B46389">
      <w:pPr>
        <w:spacing w:line="22" w:lineRule="atLeast"/>
        <w:rPr>
          <w:rFonts w:eastAsia="Arial"/>
        </w:rPr>
      </w:pPr>
      <w:r>
        <w:rPr>
          <w:rFonts w:eastAsia="Arial"/>
        </w:rPr>
        <w:t>To register your organisation’s interest in this suspension review, please complete the text boxes below.</w:t>
      </w:r>
    </w:p>
    <w:p w14:paraId="4CA4278A" w14:textId="77777777" w:rsidR="00396796" w:rsidRDefault="00396796">
      <w:pPr>
        <w:spacing w:line="22" w:lineRule="atLeast"/>
        <w:rPr>
          <w:color w:val="000000"/>
        </w:rPr>
      </w:pPr>
    </w:p>
    <w:p w14:paraId="508DC8ED" w14:textId="77777777" w:rsidR="00396796" w:rsidRDefault="00B46389">
      <w:pPr>
        <w:spacing w:line="22" w:lineRule="atLeast"/>
      </w:pPr>
      <w:r>
        <w:t>A1. Please describe your interest in this suspension review:</w:t>
      </w:r>
    </w:p>
    <w:p w14:paraId="6A62063C" w14:textId="77777777" w:rsidR="00396796" w:rsidRDefault="00B46389">
      <w:pPr>
        <w:spacing w:line="22" w:lineRule="atLeast"/>
      </w:pPr>
      <w:r>
        <w:rPr>
          <w:noProof/>
        </w:rPr>
        <mc:AlternateContent>
          <mc:Choice Requires="wps">
            <w:drawing>
              <wp:anchor distT="0" distB="0" distL="114300" distR="114300" simplePos="0" relativeHeight="251658240" behindDoc="0" locked="0" layoutInCell="1" allowOverlap="1" wp14:anchorId="34BF0611" wp14:editId="1F587EBD">
                <wp:simplePos x="0" y="0"/>
                <wp:positionH relativeFrom="margin">
                  <wp:align>left</wp:align>
                </wp:positionH>
                <wp:positionV relativeFrom="paragraph">
                  <wp:posOffset>196211</wp:posOffset>
                </wp:positionV>
                <wp:extent cx="5704841" cy="1439549"/>
                <wp:effectExtent l="0" t="0" r="10159" b="27301"/>
                <wp:wrapSquare wrapText="bothSides"/>
                <wp:docPr id="1930088837" name="Text Box 2"/>
                <wp:cNvGraphicFramePr/>
                <a:graphic xmlns:a="http://schemas.openxmlformats.org/drawingml/2006/main">
                  <a:graphicData uri="http://schemas.microsoft.com/office/word/2010/wordprocessingShape">
                    <wps:wsp>
                      <wps:cNvSpPr txBox="1"/>
                      <wps:spPr>
                        <a:xfrm>
                          <a:off x="0" y="0"/>
                          <a:ext cx="5704841" cy="1439549"/>
                        </a:xfrm>
                        <a:prstGeom prst="rect">
                          <a:avLst/>
                        </a:prstGeom>
                        <a:solidFill>
                          <a:srgbClr val="FFFFFF"/>
                        </a:solidFill>
                        <a:ln w="9528">
                          <a:solidFill>
                            <a:srgbClr val="000000"/>
                          </a:solidFill>
                          <a:prstDash val="solid"/>
                        </a:ln>
                      </wps:spPr>
                      <wps:txbx>
                        <w:txbxContent>
                          <w:p w14:paraId="65849CF6" w14:textId="008EC465" w:rsidR="00396796" w:rsidRDefault="00B46389">
                            <w:r>
                              <w:rPr>
                                <w:rStyle w:val="PlaceholderText"/>
                              </w:rPr>
                              <w:t>Nass is a membership group of companies involved in the UK Steel Industry</w:t>
                            </w:r>
                          </w:p>
                        </w:txbxContent>
                      </wps:txbx>
                      <wps:bodyPr vert="horz" wrap="square" lIns="91440" tIns="45720" rIns="91440" bIns="45720" anchor="t" anchorCtr="0" compatLnSpc="0">
                        <a:noAutofit/>
                      </wps:bodyPr>
                    </wps:wsp>
                  </a:graphicData>
                </a:graphic>
              </wp:anchor>
            </w:drawing>
          </mc:Choice>
          <mc:Fallback>
            <w:pict>
              <v:shapetype w14:anchorId="34BF0611" id="_x0000_t202" coordsize="21600,21600" o:spt="202" path="m,l,21600r21600,l21600,xe">
                <v:stroke joinstyle="miter"/>
                <v:path gradientshapeok="t" o:connecttype="rect"/>
              </v:shapetype>
              <v:shape id="Text Box 2" o:spid="_x0000_s1026" type="#_x0000_t202" style="position:absolute;margin-left:0;margin-top:15.45pt;width:449.2pt;height:113.35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" strokeweight=".26467mm">
                <v:textbox>
                  <w:txbxContent>
                    <w:p w14:paraId="65849CF6" w14:textId="008EC465" w:rsidR="00396796" w:rsidRDefault="00B46389">
                      <w:r>
                        <w:rPr>
                          <w:rStyle w:val="PlaceholderText"/>
                        </w:rPr>
                        <w:t>Nass is a membership group of companies involved in the UK Steel Industry</w:t>
                      </w:r>
                    </w:p>
                  </w:txbxContent>
                </v:textbox>
                <w10:wrap type="square" anchorx="margin"/>
              </v:shape>
            </w:pict>
          </mc:Fallback>
        </mc:AlternateContent>
      </w:r>
    </w:p>
    <w:p w14:paraId="4D961957" w14:textId="77777777" w:rsidR="00396796" w:rsidRDefault="00396796">
      <w:pPr>
        <w:pStyle w:val="Heading2"/>
        <w:rPr>
          <w:lang w:eastAsia="zh-CN"/>
        </w:rPr>
      </w:pPr>
    </w:p>
    <w:p w14:paraId="12570DE1" w14:textId="77777777" w:rsidR="00396796" w:rsidRDefault="00B46389">
      <w:pPr>
        <w:pStyle w:val="Heading2"/>
      </w:pPr>
      <w:bookmarkStart w:id="15" w:name="_Toc157513144"/>
      <w:r>
        <w:rPr>
          <w:lang w:eastAsia="zh-CN"/>
        </w:rPr>
        <w:t xml:space="preserve">Section B – </w:t>
      </w:r>
      <w:bookmarkStart w:id="16" w:name="_Hlk105433888"/>
      <w:bookmarkStart w:id="17" w:name="_Hlk105432157"/>
      <w:r>
        <w:rPr>
          <w:rFonts w:cs="Arial"/>
          <w:bCs/>
        </w:rPr>
        <w:t xml:space="preserve">Comments on </w:t>
      </w:r>
      <w:r>
        <w:rPr>
          <w:rFonts w:cs="Arial"/>
        </w:rPr>
        <w:t xml:space="preserve">the </w:t>
      </w:r>
      <w:r>
        <w:rPr>
          <w:rFonts w:cs="Arial"/>
          <w:bCs/>
        </w:rPr>
        <w:t>proposed suspension</w:t>
      </w:r>
      <w:bookmarkEnd w:id="15"/>
    </w:p>
    <w:p w14:paraId="30BC1A1A" w14:textId="77777777" w:rsidR="00396796" w:rsidRDefault="00396796">
      <w:pPr>
        <w:rPr>
          <w:lang w:eastAsia="zh-CN"/>
        </w:rPr>
      </w:pPr>
    </w:p>
    <w:p w14:paraId="3B42151D" w14:textId="77777777" w:rsidR="00396796" w:rsidRDefault="00B46389">
      <w:pPr>
        <w:pStyle w:val="paragraph"/>
        <w:spacing w:before="0" w:after="0"/>
        <w:textAlignment w:val="baseline"/>
      </w:pPr>
      <w:bookmarkStart w:id="18" w:name="_Hlk105433906"/>
      <w:bookmarkEnd w:id="16"/>
      <w:r>
        <w:rPr>
          <w:rStyle w:val="normaltextrun"/>
          <w:rFonts w:ascii="Arial" w:hAnsi="Arial" w:cs="Arial"/>
          <w:color w:val="000000"/>
          <w:shd w:val="clear" w:color="auto" w:fill="FFFFFF"/>
        </w:rPr>
        <w:t xml:space="preserve">The TRA </w:t>
      </w:r>
      <w:r>
        <w:rPr>
          <w:rStyle w:val="normaltextrun"/>
          <w:rFonts w:ascii="Arial" w:hAnsi="Arial" w:cs="Arial"/>
          <w:color w:val="000000"/>
        </w:rPr>
        <w:t>is considering</w:t>
      </w:r>
      <w:r>
        <w:rPr>
          <w:rStyle w:val="normaltextrun"/>
          <w:rFonts w:ascii="Arial" w:hAnsi="Arial" w:cs="Arial"/>
          <w:color w:val="000000"/>
          <w:shd w:val="clear" w:color="auto" w:fill="FFFFFF"/>
        </w:rPr>
        <w:t xml:space="preserve"> suspending the application of the safeguarding remedy on </w:t>
      </w:r>
      <w:r>
        <w:rPr>
          <w:rStyle w:val="normaltextrun"/>
          <w:rFonts w:ascii="Arial" w:hAnsi="Arial" w:cs="Arial"/>
          <w:color w:val="000000"/>
          <w:shd w:val="clear" w:color="auto" w:fill="FFFFFF"/>
        </w:rPr>
        <w:t>Category 1 steel products.</w:t>
      </w:r>
    </w:p>
    <w:p w14:paraId="7130BFD1" w14:textId="77777777" w:rsidR="00396796" w:rsidRDefault="00396796">
      <w:pPr>
        <w:pStyle w:val="paragraph"/>
        <w:spacing w:before="0" w:after="0"/>
        <w:textAlignment w:val="baseline"/>
      </w:pPr>
    </w:p>
    <w:p w14:paraId="763B9D4C" w14:textId="77777777" w:rsidR="00396796" w:rsidRDefault="00B46389">
      <w:pPr>
        <w:pStyle w:val="paragraph"/>
        <w:spacing w:before="0" w:after="0"/>
        <w:textAlignment w:val="baseline"/>
      </w:pPr>
      <w:r>
        <w:rPr>
          <w:rStyle w:val="normaltextrun"/>
          <w:rFonts w:ascii="Arial" w:hAnsi="Arial" w:cs="Arial"/>
          <w:color w:val="000000"/>
          <w:shd w:val="clear" w:color="auto" w:fill="FFFFFF"/>
        </w:rPr>
        <w:t xml:space="preserve">During this suspension review, the TRA will consider whether market conditions have temporarily changed. We will assess whether, </w:t>
      </w:r>
      <w:proofErr w:type="gramStart"/>
      <w:r>
        <w:rPr>
          <w:rStyle w:val="normaltextrun"/>
          <w:rFonts w:ascii="Arial" w:hAnsi="Arial" w:cs="Arial"/>
          <w:color w:val="000000"/>
          <w:shd w:val="clear" w:color="auto" w:fill="FFFFFF"/>
        </w:rPr>
        <w:t>as a consequence of</w:t>
      </w:r>
      <w:proofErr w:type="gramEnd"/>
      <w:r>
        <w:rPr>
          <w:rStyle w:val="normaltextrun"/>
          <w:rFonts w:ascii="Arial" w:hAnsi="Arial" w:cs="Arial"/>
          <w:color w:val="000000"/>
          <w:shd w:val="clear" w:color="auto" w:fill="FFFFFF"/>
        </w:rPr>
        <w:t xml:space="preserve"> the change in market conditions, serious injury to UK producers would be likely to recur if the measure were suspended. </w:t>
      </w:r>
    </w:p>
    <w:p w14:paraId="680E6DDC" w14:textId="77777777" w:rsidR="00396796" w:rsidRDefault="00396796">
      <w:pPr>
        <w:pStyle w:val="paragraph"/>
        <w:spacing w:before="0" w:after="0"/>
        <w:textAlignment w:val="baseline"/>
      </w:pPr>
    </w:p>
    <w:p w14:paraId="0C997781" w14:textId="77777777" w:rsidR="00396796" w:rsidRDefault="00B46389">
      <w:r>
        <w:rPr>
          <w:rStyle w:val="normaltextrun"/>
          <w:color w:val="000000"/>
          <w:shd w:val="clear" w:color="auto" w:fill="FFFFFF"/>
        </w:rPr>
        <w:t>Before making its recommendation, the TRA must give UK producers the opportunity to comment on the proposed suspension.</w:t>
      </w:r>
    </w:p>
    <w:p w14:paraId="768A3686" w14:textId="77777777" w:rsidR="00396796" w:rsidRDefault="00396796"/>
    <w:bookmarkEnd w:id="18"/>
    <w:p w14:paraId="2F5AA865" w14:textId="77777777" w:rsidR="00396796" w:rsidRDefault="00B46389">
      <w:pPr>
        <w:pStyle w:val="paragraph"/>
        <w:spacing w:before="0" w:after="0"/>
        <w:textAlignment w:val="baseline"/>
      </w:pPr>
      <w:r>
        <w:rPr>
          <w:rStyle w:val="normaltextrun"/>
          <w:rFonts w:ascii="Arial" w:hAnsi="Arial" w:cs="Arial"/>
          <w:color w:val="000000"/>
          <w:shd w:val="clear" w:color="auto" w:fill="FFFFFF"/>
        </w:rPr>
        <w:t>Therefore, we invite comment and evidence on the following considerations:</w:t>
      </w:r>
    </w:p>
    <w:p w14:paraId="43FAEBF4" w14:textId="77777777" w:rsidR="00396796" w:rsidRDefault="00396796">
      <w:pPr>
        <w:spacing w:line="22" w:lineRule="atLeast"/>
      </w:pPr>
    </w:p>
    <w:p w14:paraId="0C3AD180" w14:textId="77777777" w:rsidR="00396796" w:rsidRDefault="00396796"/>
    <w:p w14:paraId="4783D784" w14:textId="77777777" w:rsidR="00396796" w:rsidRDefault="00B46389">
      <w:r>
        <w:rPr>
          <w:rStyle w:val="normaltextrun"/>
          <w:b/>
          <w:bCs/>
          <w:color w:val="000000"/>
          <w:shd w:val="clear" w:color="auto" w:fill="FFFFFF"/>
        </w:rPr>
        <w:t xml:space="preserve">B1. </w:t>
      </w:r>
      <w:r>
        <w:rPr>
          <w:rStyle w:val="normaltextrun"/>
          <w:b/>
          <w:color w:val="000000"/>
        </w:rPr>
        <w:t>Change in market conditions</w:t>
      </w:r>
    </w:p>
    <w:p w14:paraId="27EFCFC0" w14:textId="77777777" w:rsidR="00396796" w:rsidRDefault="00396796"/>
    <w:p w14:paraId="3601C8B3" w14:textId="77777777" w:rsidR="00396796" w:rsidRDefault="00B46389">
      <w:pPr>
        <w:pStyle w:val="paragraph"/>
        <w:spacing w:before="0" w:after="0" w:line="288" w:lineRule="auto"/>
      </w:pPr>
      <w:r>
        <w:rPr>
          <w:rStyle w:val="eop"/>
          <w:rFonts w:ascii="Arial" w:eastAsia="Yu Gothic Light" w:hAnsi="Arial" w:cs="Arial"/>
          <w:color w:val="000000"/>
        </w:rPr>
        <w:t>Market conditions have changed because the only known UK producer of Category 1 steel products, TATA Steel UK, is undertaking a technical reconfiguration of its business. During this reconfiguration, the applicant highlighted that domestic production and supply of the goods subject to review will be limited and that it intends to import the goods subject to review to maintain downstream operations. The reduction in the UK production of Category 1 steel products has resulted in a change in market conditions.</w:t>
      </w:r>
      <w:r>
        <w:rPr>
          <w:rStyle w:val="eop"/>
          <w:rFonts w:ascii="Arial" w:eastAsia="Yu Gothic Light" w:hAnsi="Arial" w:cs="Arial"/>
          <w:color w:val="000000"/>
        </w:rPr>
        <w:t xml:space="preserve">  </w:t>
      </w:r>
    </w:p>
    <w:p w14:paraId="7D7D4D98" w14:textId="77777777" w:rsidR="00396796" w:rsidRDefault="00B46389">
      <w:r>
        <w:rPr>
          <w:rStyle w:val="normaltextrun"/>
          <w:color w:val="000000"/>
          <w:shd w:val="clear" w:color="auto" w:fill="FFFFFF"/>
        </w:rPr>
        <w:lastRenderedPageBreak/>
        <w:t>Please provide any comments on the described change in market conditions that you consider relevant for the TRA to take into consideration during the suspension review:</w:t>
      </w:r>
    </w:p>
    <w:p w14:paraId="4B16C6DD" w14:textId="77777777" w:rsidR="00396796" w:rsidRDefault="00B46389">
      <w:pPr>
        <w:pStyle w:val="ListParagraph"/>
        <w:ind w:left="360"/>
      </w:pPr>
      <w:r>
        <w:rPr>
          <w:noProof/>
        </w:rPr>
        <mc:AlternateContent>
          <mc:Choice Requires="wps">
            <w:drawing>
              <wp:anchor distT="0" distB="0" distL="114300" distR="114300" simplePos="0" relativeHeight="251658241" behindDoc="0" locked="0" layoutInCell="1" allowOverlap="1" wp14:anchorId="2102D3DB" wp14:editId="04863F12">
                <wp:simplePos x="0" y="0"/>
                <wp:positionH relativeFrom="margin">
                  <wp:align>left</wp:align>
                </wp:positionH>
                <wp:positionV relativeFrom="paragraph">
                  <wp:posOffset>178436</wp:posOffset>
                </wp:positionV>
                <wp:extent cx="5704841" cy="1594485"/>
                <wp:effectExtent l="0" t="0" r="10159" b="24765"/>
                <wp:wrapSquare wrapText="bothSides"/>
                <wp:docPr id="185591234" name="Text Box 3"/>
                <wp:cNvGraphicFramePr/>
                <a:graphic xmlns:a="http://schemas.openxmlformats.org/drawingml/2006/main">
                  <a:graphicData uri="http://schemas.microsoft.com/office/word/2010/wordprocessingShape">
                    <wps:wsp>
                      <wps:cNvSpPr txBox="1"/>
                      <wps:spPr>
                        <a:xfrm>
                          <a:off x="0" y="0"/>
                          <a:ext cx="5704841" cy="1594485"/>
                        </a:xfrm>
                        <a:prstGeom prst="rect">
                          <a:avLst/>
                        </a:prstGeom>
                        <a:solidFill>
                          <a:srgbClr val="FFFFFF"/>
                        </a:solidFill>
                        <a:ln w="9528">
                          <a:solidFill>
                            <a:srgbClr val="000000"/>
                          </a:solidFill>
                          <a:prstDash val="solid"/>
                        </a:ln>
                      </wps:spPr>
                      <wps:txbx>
                        <w:txbxContent>
                          <w:p w14:paraId="5F0B893E" w14:textId="52F73639" w:rsidR="00396796" w:rsidRDefault="00B46389">
                            <w:r>
                              <w:rPr>
                                <w:rStyle w:val="PlaceholderText"/>
                              </w:rPr>
                              <w:t xml:space="preserve">Safeguards are fundamentally there to protect UK industry. This is a safeguard that seriously affects the Steel Industry and ancillary companies. </w:t>
                            </w:r>
                            <w:r>
                              <w:rPr>
                                <w:rStyle w:val="PlaceholderText"/>
                              </w:rPr>
                              <w:t xml:space="preserve">Therefore NASS has an </w:t>
                            </w:r>
                            <w:r>
                              <w:rPr>
                                <w:rStyle w:val="PlaceholderText"/>
                              </w:rPr>
                              <w:t>interest.</w:t>
                            </w:r>
                          </w:p>
                          <w:p w14:paraId="589CEE62" w14:textId="77777777" w:rsidR="00396796" w:rsidRDefault="00396796"/>
                        </w:txbxContent>
                      </wps:txbx>
                      <wps:bodyPr vert="horz" wrap="square" lIns="91440" tIns="45720" rIns="91440" bIns="45720" anchor="t" anchorCtr="0" compatLnSpc="0">
                        <a:noAutofit/>
                      </wps:bodyPr>
                    </wps:wsp>
                  </a:graphicData>
                </a:graphic>
              </wp:anchor>
            </w:drawing>
          </mc:Choice>
          <mc:Fallback>
            <w:pict>
              <v:shape w14:anchorId="2102D3DB" id="Text Box 3" o:spid="_x0000_s1027" type="#_x0000_t202" style="position:absolute;left:0;text-align:left;margin-left:0;margin-top:14.05pt;width:449.2pt;height:125.55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" strokeweight=".26467mm">
                <v:textbox>
                  <w:txbxContent>
                    <w:p w14:paraId="5F0B893E" w14:textId="52F73639" w:rsidR="00396796" w:rsidRDefault="00B46389">
                      <w:r>
                        <w:rPr>
                          <w:rStyle w:val="PlaceholderText"/>
                        </w:rPr>
                        <w:t xml:space="preserve">Safeguards are fundamentally there to protect UK industry. This is a safeguard that seriously affects the Steel Industry and ancillary companies. </w:t>
                      </w:r>
                      <w:r>
                        <w:rPr>
                          <w:rStyle w:val="PlaceholderText"/>
                        </w:rPr>
                        <w:t xml:space="preserve">Therefore NASS has an </w:t>
                      </w:r>
                      <w:r>
                        <w:rPr>
                          <w:rStyle w:val="PlaceholderText"/>
                        </w:rPr>
                        <w:t>interest.</w:t>
                      </w:r>
                    </w:p>
                    <w:p w14:paraId="589CEE62" w14:textId="77777777" w:rsidR="00396796" w:rsidRDefault="00396796"/>
                  </w:txbxContent>
                </v:textbox>
                <w10:wrap type="square" anchorx="margin"/>
              </v:shape>
            </w:pict>
          </mc:Fallback>
        </mc:AlternateContent>
      </w:r>
    </w:p>
    <w:p w14:paraId="43D7F5DC" w14:textId="77777777" w:rsidR="00396796" w:rsidRDefault="00396796"/>
    <w:p w14:paraId="4EFFD023" w14:textId="77777777" w:rsidR="00396796" w:rsidRDefault="00B46389">
      <w:r>
        <w:rPr>
          <w:rStyle w:val="normaltextrun"/>
          <w:b/>
          <w:bCs/>
          <w:color w:val="000000"/>
          <w:shd w:val="clear" w:color="auto" w:fill="FFFFFF"/>
        </w:rPr>
        <w:t>B2.</w:t>
      </w:r>
      <w:r>
        <w:rPr>
          <w:rStyle w:val="normaltextrun"/>
          <w:color w:val="000000"/>
          <w:shd w:val="clear" w:color="auto" w:fill="FFFFFF"/>
        </w:rPr>
        <w:t xml:space="preserve"> </w:t>
      </w:r>
      <w:r>
        <w:rPr>
          <w:rStyle w:val="normaltextrun"/>
          <w:b/>
          <w:color w:val="000000"/>
        </w:rPr>
        <w:t xml:space="preserve">Temporary nature of </w:t>
      </w:r>
      <w:r>
        <w:rPr>
          <w:rStyle w:val="normaltextrun"/>
          <w:b/>
          <w:color w:val="000000"/>
        </w:rPr>
        <w:t>the change</w:t>
      </w:r>
    </w:p>
    <w:p w14:paraId="46E0B90A" w14:textId="77777777" w:rsidR="00396796" w:rsidRDefault="00396796"/>
    <w:p w14:paraId="362784CF" w14:textId="77777777" w:rsidR="00396796" w:rsidRDefault="00B46389">
      <w:r>
        <w:rPr>
          <w:rStyle w:val="normaltextrun"/>
          <w:color w:val="000000"/>
          <w:shd w:val="clear" w:color="auto" w:fill="FFFFFF"/>
        </w:rPr>
        <w:t xml:space="preserve">This change is of a temporary nature because the UK producer is undergoing a technical reconfiguration in order to complete </w:t>
      </w:r>
      <w:r>
        <w:rPr>
          <w:rStyle w:val="normaltextrun"/>
          <w:color w:val="000000"/>
        </w:rPr>
        <w:t>its</w:t>
      </w:r>
      <w:r>
        <w:rPr>
          <w:rStyle w:val="normaltextrun"/>
          <w:color w:val="000000"/>
          <w:shd w:val="clear" w:color="auto" w:fill="FFFFFF"/>
        </w:rPr>
        <w:t xml:space="preserve"> decarbonisation </w:t>
      </w:r>
      <w:proofErr w:type="gramStart"/>
      <w:r>
        <w:rPr>
          <w:rStyle w:val="normaltextrun"/>
          <w:color w:val="000000"/>
          <w:shd w:val="clear" w:color="auto" w:fill="FFFFFF"/>
        </w:rPr>
        <w:t>process, and</w:t>
      </w:r>
      <w:proofErr w:type="gramEnd"/>
      <w:r>
        <w:rPr>
          <w:rStyle w:val="normaltextrun"/>
          <w:color w:val="000000"/>
          <w:shd w:val="clear" w:color="auto" w:fill="FFFFFF"/>
        </w:rPr>
        <w:t xml:space="preserve"> has stated that </w:t>
      </w:r>
      <w:r>
        <w:rPr>
          <w:rStyle w:val="normaltextrun"/>
          <w:color w:val="000000"/>
        </w:rPr>
        <w:t>it</w:t>
      </w:r>
      <w:r>
        <w:rPr>
          <w:rStyle w:val="normaltextrun"/>
          <w:color w:val="000000"/>
          <w:shd w:val="clear" w:color="auto" w:fill="FFFFFF"/>
        </w:rPr>
        <w:t xml:space="preserve"> intend</w:t>
      </w:r>
      <w:r>
        <w:rPr>
          <w:rStyle w:val="normaltextrun"/>
          <w:color w:val="000000"/>
        </w:rPr>
        <w:t>s</w:t>
      </w:r>
      <w:r>
        <w:rPr>
          <w:rStyle w:val="normaltextrun"/>
          <w:color w:val="000000"/>
          <w:shd w:val="clear" w:color="auto" w:fill="FFFFFF"/>
        </w:rPr>
        <w:t xml:space="preserve"> to resume production of Category 1 steel products once </w:t>
      </w:r>
      <w:r>
        <w:rPr>
          <w:rStyle w:val="normaltextrun"/>
          <w:color w:val="000000"/>
          <w:shd w:val="clear" w:color="auto" w:fill="FFFFFF"/>
        </w:rPr>
        <w:t xml:space="preserve">completed. Additionally, alongside this suspension review, the TRA is initiating a TRQ review to consider medium-longer term solutions and consider this proposed suspension to be a </w:t>
      </w:r>
      <w:proofErr w:type="gramStart"/>
      <w:r>
        <w:rPr>
          <w:rStyle w:val="normaltextrun"/>
          <w:color w:val="000000"/>
          <w:shd w:val="clear" w:color="auto" w:fill="FFFFFF"/>
        </w:rPr>
        <w:t>stop-gap</w:t>
      </w:r>
      <w:proofErr w:type="gramEnd"/>
      <w:r>
        <w:rPr>
          <w:rStyle w:val="normaltextrun"/>
          <w:color w:val="000000"/>
          <w:shd w:val="clear" w:color="auto" w:fill="FFFFFF"/>
        </w:rPr>
        <w:t xml:space="preserve">. </w:t>
      </w:r>
    </w:p>
    <w:p w14:paraId="251EBA50" w14:textId="77777777" w:rsidR="00396796" w:rsidRDefault="00396796"/>
    <w:p w14:paraId="26DE62FC" w14:textId="77777777" w:rsidR="00396796" w:rsidRDefault="00B46389">
      <w:r>
        <w:rPr>
          <w:rStyle w:val="normaltextrun"/>
          <w:color w:val="000000"/>
          <w:shd w:val="clear" w:color="auto" w:fill="FFFFFF"/>
        </w:rPr>
        <w:t>Please provide any comments on the described temporary nature of this change in market conditions that you consider relevant for the TRA to take into consideration during the suspension review:</w:t>
      </w:r>
    </w:p>
    <w:p w14:paraId="3C8821CF" w14:textId="77777777" w:rsidR="00396796" w:rsidRDefault="00B46389">
      <w:r>
        <w:rPr>
          <w:noProof/>
        </w:rPr>
        <mc:AlternateContent>
          <mc:Choice Requires="wps">
            <w:drawing>
              <wp:anchor distT="0" distB="0" distL="114300" distR="114300" simplePos="0" relativeHeight="251658242" behindDoc="0" locked="0" layoutInCell="1" allowOverlap="1" wp14:anchorId="2D2E4618" wp14:editId="6343D52B">
                <wp:simplePos x="0" y="0"/>
                <wp:positionH relativeFrom="margin">
                  <wp:posOffset>0</wp:posOffset>
                </wp:positionH>
                <wp:positionV relativeFrom="paragraph">
                  <wp:posOffset>170819</wp:posOffset>
                </wp:positionV>
                <wp:extent cx="5704841" cy="1238253"/>
                <wp:effectExtent l="0" t="0" r="10159" b="19047"/>
                <wp:wrapSquare wrapText="bothSides"/>
                <wp:docPr id="1211243504" name="Text Box 4"/>
                <wp:cNvGraphicFramePr/>
                <a:graphic xmlns:a="http://schemas.openxmlformats.org/drawingml/2006/main">
                  <a:graphicData uri="http://schemas.microsoft.com/office/word/2010/wordprocessingShape">
                    <wps:wsp>
                      <wps:cNvSpPr txBox="1"/>
                      <wps:spPr>
                        <a:xfrm>
                          <a:off x="0" y="0"/>
                          <a:ext cx="5704841" cy="1238253"/>
                        </a:xfrm>
                        <a:prstGeom prst="rect">
                          <a:avLst/>
                        </a:prstGeom>
                        <a:solidFill>
                          <a:srgbClr val="FFFFFF"/>
                        </a:solidFill>
                        <a:ln w="9528">
                          <a:solidFill>
                            <a:srgbClr val="000000"/>
                          </a:solidFill>
                          <a:prstDash val="solid"/>
                        </a:ln>
                      </wps:spPr>
                      <wps:txbx>
                        <w:txbxContent>
                          <w:p w14:paraId="0B222692" w14:textId="6E3AD0C8" w:rsidR="00396796" w:rsidRDefault="00B46389">
                            <w:r>
                              <w:rPr>
                                <w:rStyle w:val="PlaceholderText"/>
                              </w:rPr>
                              <w:t>NASS members will report the effects that is has on them.</w:t>
                            </w:r>
                          </w:p>
                          <w:p w14:paraId="382E7001" w14:textId="77777777" w:rsidR="00396796" w:rsidRDefault="00396796"/>
                        </w:txbxContent>
                      </wps:txbx>
                      <wps:bodyPr vert="horz" wrap="square" lIns="91440" tIns="45720" rIns="91440" bIns="45720" anchor="t" anchorCtr="0" compatLnSpc="0">
                        <a:noAutofit/>
                      </wps:bodyPr>
                    </wps:wsp>
                  </a:graphicData>
                </a:graphic>
              </wp:anchor>
            </w:drawing>
          </mc:Choice>
          <mc:Fallback>
            <w:pict>
              <v:shape w14:anchorId="2D2E4618" id="Text Box 4" o:spid="_x0000_s1028" type="#_x0000_t202" style="position:absolute;margin-left:0;margin-top:13.45pt;width:449.2pt;height:97.5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" strokeweight=".26467mm">
                <v:textbox>
                  <w:txbxContent>
                    <w:p w14:paraId="0B222692" w14:textId="6E3AD0C8" w:rsidR="00396796" w:rsidRDefault="00B46389">
                      <w:r>
                        <w:rPr>
                          <w:rStyle w:val="PlaceholderText"/>
                        </w:rPr>
                        <w:t>NASS members will report the effects that is has on them.</w:t>
                      </w:r>
                    </w:p>
                    <w:p w14:paraId="382E7001" w14:textId="77777777" w:rsidR="00396796" w:rsidRDefault="00396796"/>
                  </w:txbxContent>
                </v:textbox>
                <w10:wrap type="square" anchorx="margin"/>
              </v:shape>
            </w:pict>
          </mc:Fallback>
        </mc:AlternateContent>
      </w:r>
    </w:p>
    <w:p w14:paraId="4D85C7E2" w14:textId="77777777" w:rsidR="00396796" w:rsidRDefault="00396796"/>
    <w:p w14:paraId="20520018" w14:textId="77777777" w:rsidR="00396796" w:rsidRDefault="00B46389">
      <w:r>
        <w:rPr>
          <w:b/>
          <w:bCs/>
        </w:rPr>
        <w:t>B3.</w:t>
      </w:r>
      <w:r>
        <w:t xml:space="preserve"> </w:t>
      </w:r>
      <w:r>
        <w:rPr>
          <w:b/>
          <w:bCs/>
        </w:rPr>
        <w:t xml:space="preserve">Effect on the UK industry </w:t>
      </w:r>
      <w:proofErr w:type="gramStart"/>
      <w:r>
        <w:rPr>
          <w:b/>
          <w:bCs/>
        </w:rPr>
        <w:t>as a result of</w:t>
      </w:r>
      <w:proofErr w:type="gramEnd"/>
      <w:r>
        <w:rPr>
          <w:b/>
          <w:bCs/>
        </w:rPr>
        <w:t xml:space="preserve"> the temporary change in market conditions</w:t>
      </w:r>
    </w:p>
    <w:p w14:paraId="04DA6E24" w14:textId="77777777" w:rsidR="00396796" w:rsidRDefault="00396796"/>
    <w:p w14:paraId="4AC01140" w14:textId="77777777" w:rsidR="00396796" w:rsidRDefault="00B46389">
      <w:r>
        <w:rPr>
          <w:rStyle w:val="normaltextrun"/>
          <w:color w:val="000000"/>
          <w:shd w:val="clear" w:color="auto" w:fill="FFFFFF"/>
        </w:rPr>
        <w:t xml:space="preserve">The UK industry is likely to see an increase in the cost of Category 1 steel products, </w:t>
      </w:r>
      <w:proofErr w:type="gramStart"/>
      <w:r>
        <w:rPr>
          <w:rStyle w:val="normaltextrun"/>
          <w:color w:val="000000"/>
          <w:shd w:val="clear" w:color="auto" w:fill="FFFFFF"/>
        </w:rPr>
        <w:t>as a result of</w:t>
      </w:r>
      <w:proofErr w:type="gramEnd"/>
      <w:r>
        <w:rPr>
          <w:rStyle w:val="normaltextrun"/>
          <w:color w:val="000000"/>
          <w:shd w:val="clear" w:color="auto" w:fill="FFFFFF"/>
        </w:rPr>
        <w:t xml:space="preserve"> the change in market conditions. Given the current domestic consumption of these goods, it is likely the current TRQ residual quota will be fully utilised, resulting in the application of the 25% safeguarding remedy on all additional imports of the goods subject to review. </w:t>
      </w:r>
    </w:p>
    <w:p w14:paraId="4562AA9A" w14:textId="77777777" w:rsidR="00396796" w:rsidRDefault="00396796"/>
    <w:p w14:paraId="7537B46D" w14:textId="77777777" w:rsidR="00396796" w:rsidRDefault="00B46389">
      <w:r>
        <w:rPr>
          <w:rStyle w:val="normaltextrun"/>
          <w:color w:val="000000"/>
          <w:shd w:val="clear" w:color="auto" w:fill="FFFFFF"/>
        </w:rPr>
        <w:lastRenderedPageBreak/>
        <w:t xml:space="preserve">Please provide any comments on the described effect on UK industry </w:t>
      </w:r>
      <w:proofErr w:type="gramStart"/>
      <w:r>
        <w:rPr>
          <w:rStyle w:val="normaltextrun"/>
          <w:color w:val="000000"/>
          <w:shd w:val="clear" w:color="auto" w:fill="FFFFFF"/>
        </w:rPr>
        <w:t>as a result of</w:t>
      </w:r>
      <w:proofErr w:type="gramEnd"/>
      <w:r>
        <w:rPr>
          <w:rStyle w:val="normaltextrun"/>
          <w:color w:val="000000"/>
          <w:shd w:val="clear" w:color="auto" w:fill="FFFFFF"/>
        </w:rPr>
        <w:t xml:space="preserve"> the temporary change in market conditions that you consider relevant for the TRA to take into consideration during the suspension review:</w:t>
      </w:r>
    </w:p>
    <w:p w14:paraId="7511BBAC" w14:textId="77777777" w:rsidR="00396796" w:rsidRDefault="00396796"/>
    <w:p w14:paraId="44599BE9" w14:textId="77777777" w:rsidR="00396796" w:rsidRDefault="00B46389">
      <w:r>
        <w:rPr>
          <w:noProof/>
        </w:rPr>
        <mc:AlternateContent>
          <mc:Choice Requires="wps">
            <w:drawing>
              <wp:inline distT="0" distB="0" distL="0" distR="0" wp14:anchorId="3C55B347" wp14:editId="3ECB90C5">
                <wp:extent cx="5704841" cy="1238253"/>
                <wp:effectExtent l="0" t="0" r="10159" b="19047"/>
                <wp:docPr id="574921083" name="Text Box 5"/>
                <wp:cNvGraphicFramePr/>
                <a:graphic xmlns:a="http://schemas.openxmlformats.org/drawingml/2006/main">
                  <a:graphicData uri="http://schemas.microsoft.com/office/word/2010/wordprocessingShape">
                    <wps:wsp>
                      <wps:cNvSpPr txBox="1"/>
                      <wps:spPr>
                        <a:xfrm>
                          <a:off x="0" y="0"/>
                          <a:ext cx="5704841" cy="1238253"/>
                        </a:xfrm>
                        <a:prstGeom prst="rect">
                          <a:avLst/>
                        </a:prstGeom>
                        <a:solidFill>
                          <a:srgbClr val="FFFFFF"/>
                        </a:solidFill>
                        <a:ln w="9528">
                          <a:solidFill>
                            <a:srgbClr val="000000"/>
                          </a:solidFill>
                          <a:prstDash val="solid"/>
                        </a:ln>
                      </wps:spPr>
                      <wps:txbx>
                        <w:txbxContent>
                          <w:p w14:paraId="6080ACAD" w14:textId="2CD4552F" w:rsidR="00396796" w:rsidRDefault="00B46389">
                            <w:r>
                              <w:t xml:space="preserve">NASS members will report how it is </w:t>
                            </w:r>
                            <w:proofErr w:type="gramStart"/>
                            <w:r>
                              <w:t>effecting</w:t>
                            </w:r>
                            <w:proofErr w:type="gramEnd"/>
                            <w:r>
                              <w:t xml:space="preserve"> them personally.</w:t>
                            </w:r>
                          </w:p>
                        </w:txbxContent>
                      </wps:txbx>
                      <wps:bodyPr vert="horz" wrap="square" lIns="91440" tIns="45720" rIns="91440" bIns="45720" anchor="t" anchorCtr="0" compatLnSpc="0">
                        <a:noAutofit/>
                      </wps:bodyPr>
                    </wps:wsp>
                  </a:graphicData>
                </a:graphic>
              </wp:inline>
            </w:drawing>
          </mc:Choice>
          <mc:Fallback>
            <w:pict>
              <v:shape w14:anchorId="3C55B347" id="Text Box 5" o:spid="_x0000_s1029" type="#_x0000_t202" style="width:449.2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" strokeweight=".26467mm">
                <v:textbox>
                  <w:txbxContent>
                    <w:p w14:paraId="6080ACAD" w14:textId="2CD4552F" w:rsidR="00396796" w:rsidRDefault="00B46389">
                      <w:r>
                        <w:t xml:space="preserve">NASS members will report how it is </w:t>
                      </w:r>
                      <w:proofErr w:type="gramStart"/>
                      <w:r>
                        <w:t>effecting</w:t>
                      </w:r>
                      <w:proofErr w:type="gramEnd"/>
                      <w:r>
                        <w:t xml:space="preserve"> them personally.</w:t>
                      </w:r>
                    </w:p>
                  </w:txbxContent>
                </v:textbox>
                <w10:anchorlock/>
              </v:shape>
            </w:pict>
          </mc:Fallback>
        </mc:AlternateContent>
      </w:r>
    </w:p>
    <w:p w14:paraId="3CBF1F2C" w14:textId="77777777" w:rsidR="00396796" w:rsidRDefault="00396796"/>
    <w:p w14:paraId="0B1BB98C" w14:textId="77777777" w:rsidR="00396796" w:rsidRDefault="00B46389">
      <w:r>
        <w:t xml:space="preserve">B4. </w:t>
      </w:r>
      <w:r>
        <w:rPr>
          <w:b/>
          <w:bCs/>
        </w:rPr>
        <w:t>Serious Injury to UK Producers</w:t>
      </w:r>
      <w:r>
        <w:t xml:space="preserve"> </w:t>
      </w:r>
    </w:p>
    <w:p w14:paraId="41A9EC2D" w14:textId="77777777" w:rsidR="00396796" w:rsidRDefault="00396796"/>
    <w:p w14:paraId="2ED65CA8" w14:textId="77777777" w:rsidR="00396796" w:rsidRDefault="00B46389">
      <w:r>
        <w:t xml:space="preserve">Serious injury to UK producers may be unlikely to recur if the application of the safeguarding remedy were to be suspended. The only known UK producer of these products has requested the suspension, and while we are aware of other facilities in the UK that are able to produce the goods subject to review, we have seen no evidence that this is likely to occur in the proposed suspension period. </w:t>
      </w:r>
    </w:p>
    <w:p w14:paraId="70AD587E" w14:textId="77777777" w:rsidR="00396796" w:rsidRDefault="00396796"/>
    <w:p w14:paraId="4528D435" w14:textId="77777777" w:rsidR="00396796" w:rsidRDefault="00B46389">
      <w:r>
        <w:t xml:space="preserve">Please provide any comments that you consider relevant for the TRA to take into consideration to assess whether serious injury would be likely to recur, if the safeguarding remedy on Category 1 steel products were to be suspended </w:t>
      </w:r>
      <w:proofErr w:type="gramStart"/>
      <w:r>
        <w:t>as a result of</w:t>
      </w:r>
      <w:proofErr w:type="gramEnd"/>
      <w:r>
        <w:t xml:space="preserve"> the temporary changes to market conditions described above:</w:t>
      </w:r>
    </w:p>
    <w:p w14:paraId="4A61C79A" w14:textId="77777777" w:rsidR="00396796" w:rsidRDefault="00B46389">
      <w:r>
        <w:rPr>
          <w:noProof/>
        </w:rPr>
        <mc:AlternateContent>
          <mc:Choice Requires="wps">
            <w:drawing>
              <wp:anchor distT="0" distB="0" distL="114300" distR="114300" simplePos="0" relativeHeight="251658243" behindDoc="0" locked="0" layoutInCell="1" allowOverlap="1" wp14:anchorId="227DB793" wp14:editId="4BF84C5B">
                <wp:simplePos x="0" y="0"/>
                <wp:positionH relativeFrom="margin">
                  <wp:posOffset>0</wp:posOffset>
                </wp:positionH>
                <wp:positionV relativeFrom="paragraph">
                  <wp:posOffset>177165</wp:posOffset>
                </wp:positionV>
                <wp:extent cx="5704841" cy="1238253"/>
                <wp:effectExtent l="0" t="0" r="10159" b="19047"/>
                <wp:wrapSquare wrapText="bothSides"/>
                <wp:docPr id="1273717140" name="Text Box 6"/>
                <wp:cNvGraphicFramePr/>
                <a:graphic xmlns:a="http://schemas.openxmlformats.org/drawingml/2006/main">
                  <a:graphicData uri="http://schemas.microsoft.com/office/word/2010/wordprocessingShape">
                    <wps:wsp>
                      <wps:cNvSpPr txBox="1"/>
                      <wps:spPr>
                        <a:xfrm>
                          <a:off x="0" y="0"/>
                          <a:ext cx="5704841" cy="1238253"/>
                        </a:xfrm>
                        <a:prstGeom prst="rect">
                          <a:avLst/>
                        </a:prstGeom>
                        <a:solidFill>
                          <a:srgbClr val="FFFFFF"/>
                        </a:solidFill>
                        <a:ln w="9528">
                          <a:solidFill>
                            <a:srgbClr val="000000"/>
                          </a:solidFill>
                          <a:prstDash val="solid"/>
                        </a:ln>
                      </wps:spPr>
                      <wps:txbx>
                        <w:txbxContent>
                          <w:p w14:paraId="3251098A" w14:textId="050D3016" w:rsidR="00B46389" w:rsidRDefault="00B46389" w:rsidP="00B46389">
                            <w:r>
                              <w:t xml:space="preserve">NASS members will report how it is </w:t>
                            </w:r>
                            <w:proofErr w:type="gramStart"/>
                            <w:r>
                              <w:t>effecting</w:t>
                            </w:r>
                            <w:proofErr w:type="gramEnd"/>
                            <w:r>
                              <w:t xml:space="preserve"> them personally.</w:t>
                            </w:r>
                          </w:p>
                          <w:p w14:paraId="5245245E" w14:textId="69E7CB2C" w:rsidR="00396796" w:rsidRDefault="00396796"/>
                          <w:p w14:paraId="419102F0" w14:textId="77777777" w:rsidR="00396796" w:rsidRDefault="00396796"/>
                        </w:txbxContent>
                      </wps:txbx>
                      <wps:bodyPr vert="horz" wrap="square" lIns="91440" tIns="45720" rIns="91440" bIns="45720" anchor="t" anchorCtr="0" compatLnSpc="0">
                        <a:noAutofit/>
                      </wps:bodyPr>
                    </wps:wsp>
                  </a:graphicData>
                </a:graphic>
              </wp:anchor>
            </w:drawing>
          </mc:Choice>
          <mc:Fallback>
            <w:pict>
              <v:shape w14:anchorId="227DB793" id="Text Box 6" o:spid="_x0000_s1030" type="#_x0000_t202" style="position:absolute;margin-left:0;margin-top:13.95pt;width:449.2pt;height:97.5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" strokeweight=".26467mm">
                <v:textbox>
                  <w:txbxContent>
                    <w:p w14:paraId="3251098A" w14:textId="050D3016" w:rsidR="00B46389" w:rsidRDefault="00B46389" w:rsidP="00B46389">
                      <w:r>
                        <w:t xml:space="preserve">NASS members will report how it is </w:t>
                      </w:r>
                      <w:proofErr w:type="gramStart"/>
                      <w:r>
                        <w:t>effecting</w:t>
                      </w:r>
                      <w:proofErr w:type="gramEnd"/>
                      <w:r>
                        <w:t xml:space="preserve"> them personally.</w:t>
                      </w:r>
                    </w:p>
                    <w:p w14:paraId="5245245E" w14:textId="69E7CB2C" w:rsidR="00396796" w:rsidRDefault="00396796"/>
                    <w:p w14:paraId="419102F0" w14:textId="77777777" w:rsidR="00396796" w:rsidRDefault="00396796"/>
                  </w:txbxContent>
                </v:textbox>
                <w10:wrap type="square" anchorx="margin"/>
              </v:shape>
            </w:pict>
          </mc:Fallback>
        </mc:AlternateContent>
      </w:r>
    </w:p>
    <w:p w14:paraId="24332A53" w14:textId="77777777" w:rsidR="00396796" w:rsidRDefault="00396796">
      <w:pPr>
        <w:rPr>
          <w:color w:val="000000"/>
          <w:shd w:val="clear" w:color="auto" w:fill="FFFFFF"/>
        </w:rPr>
      </w:pPr>
    </w:p>
    <w:p w14:paraId="59EB81A6" w14:textId="77777777" w:rsidR="00396796" w:rsidRDefault="00B46389">
      <w:pPr>
        <w:pStyle w:val="Heading2"/>
        <w:rPr>
          <w:lang w:eastAsia="zh-CN"/>
        </w:rPr>
      </w:pPr>
      <w:bookmarkStart w:id="19" w:name="_Toc157513145"/>
      <w:r>
        <w:rPr>
          <w:lang w:eastAsia="zh-CN"/>
        </w:rPr>
        <w:t>Section C – Additional information</w:t>
      </w:r>
      <w:bookmarkEnd w:id="19"/>
      <w:r>
        <w:rPr>
          <w:lang w:eastAsia="zh-CN"/>
        </w:rPr>
        <w:t xml:space="preserve"> </w:t>
      </w:r>
    </w:p>
    <w:p w14:paraId="3AD9B2CB" w14:textId="77777777" w:rsidR="00396796" w:rsidRDefault="00396796"/>
    <w:p w14:paraId="4CACE864" w14:textId="77777777" w:rsidR="00396796" w:rsidRDefault="00B46389">
      <w:r>
        <w:t xml:space="preserve">C1. Please use the box to provide information about anything else you </w:t>
      </w:r>
      <w:r>
        <w:t>consider relevant to this suspension review:</w:t>
      </w:r>
    </w:p>
    <w:p w14:paraId="205C2B95" w14:textId="77777777" w:rsidR="00396796" w:rsidRDefault="00396796"/>
    <w:p w14:paraId="0B00B226" w14:textId="77777777" w:rsidR="00396796" w:rsidRDefault="00B46389">
      <w:r>
        <w:rPr>
          <w:noProof/>
        </w:rPr>
        <mc:AlternateContent>
          <mc:Choice Requires="wps">
            <w:drawing>
              <wp:anchor distT="0" distB="0" distL="114300" distR="114300" simplePos="0" relativeHeight="251658244" behindDoc="0" locked="0" layoutInCell="1" allowOverlap="1" wp14:anchorId="0F96239E" wp14:editId="0DE10EBC">
                <wp:simplePos x="0" y="0"/>
                <wp:positionH relativeFrom="margin">
                  <wp:posOffset>0</wp:posOffset>
                </wp:positionH>
                <wp:positionV relativeFrom="paragraph">
                  <wp:posOffset>177165</wp:posOffset>
                </wp:positionV>
                <wp:extent cx="5704841" cy="1238253"/>
                <wp:effectExtent l="0" t="0" r="10159" b="19047"/>
                <wp:wrapSquare wrapText="bothSides"/>
                <wp:docPr id="2124858619" name="Text Box 7"/>
                <wp:cNvGraphicFramePr/>
                <a:graphic xmlns:a="http://schemas.openxmlformats.org/drawingml/2006/main">
                  <a:graphicData uri="http://schemas.microsoft.com/office/word/2010/wordprocessingShape">
                    <wps:wsp>
                      <wps:cNvSpPr txBox="1"/>
                      <wps:spPr>
                        <a:xfrm>
                          <a:off x="0" y="0"/>
                          <a:ext cx="5704841" cy="1238253"/>
                        </a:xfrm>
                        <a:prstGeom prst="rect">
                          <a:avLst/>
                        </a:prstGeom>
                        <a:solidFill>
                          <a:srgbClr val="FFFFFF"/>
                        </a:solidFill>
                        <a:ln w="9528">
                          <a:solidFill>
                            <a:srgbClr val="000000"/>
                          </a:solidFill>
                          <a:prstDash val="solid"/>
                        </a:ln>
                      </wps:spPr>
                      <wps:txbx>
                        <w:txbxContent>
                          <w:p w14:paraId="438BAD0D" w14:textId="77777777" w:rsidR="00396796" w:rsidRDefault="00B46389">
                            <w:r>
                              <w:rPr>
                                <w:rStyle w:val="PlaceholderText"/>
                              </w:rPr>
                              <w:t>Click or tap here to enter text.</w:t>
                            </w:r>
                          </w:p>
                          <w:p w14:paraId="607A94C7" w14:textId="77777777" w:rsidR="00396796" w:rsidRDefault="00396796"/>
                        </w:txbxContent>
                      </wps:txbx>
                      <wps:bodyPr vert="horz" wrap="square" lIns="91440" tIns="45720" rIns="91440" bIns="45720" anchor="t" anchorCtr="0" compatLnSpc="0">
                        <a:noAutofit/>
                      </wps:bodyPr>
                    </wps:wsp>
                  </a:graphicData>
                </a:graphic>
              </wp:anchor>
            </w:drawing>
          </mc:Choice>
          <mc:Fallback>
            <w:pict>
              <v:shape w14:anchorId="0F96239E" id="Text Box 7" o:spid="_x0000_s1031" type="#_x0000_t202" style="position:absolute;margin-left:0;margin-top:13.95pt;width:449.2pt;height:97.5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" strokeweight=".26467mm">
                <v:textbox>
                  <w:txbxContent>
                    <w:p w14:paraId="438BAD0D" w14:textId="77777777" w:rsidR="00396796" w:rsidRDefault="00B46389">
                      <w:r>
                        <w:rPr>
                          <w:rStyle w:val="PlaceholderText"/>
                        </w:rPr>
                        <w:t>Click or tap here to enter text.</w:t>
                      </w:r>
                    </w:p>
                    <w:p w14:paraId="607A94C7" w14:textId="77777777" w:rsidR="00396796" w:rsidRDefault="00396796"/>
                  </w:txbxContent>
                </v:textbox>
                <w10:wrap type="square" anchorx="margin"/>
              </v:shape>
            </w:pict>
          </mc:Fallback>
        </mc:AlternateContent>
      </w:r>
      <w:bookmarkEnd w:id="17"/>
    </w:p>
    <w:sectPr w:rsidR="00396796">
      <w:headerReference w:type="default" r:id="rId19"/>
      <w:footerReference w:type="default" r:id="rId20"/>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B0CA47" w14:textId="77777777" w:rsidR="00B46389" w:rsidRDefault="00B46389">
      <w:r>
        <w:separator/>
      </w:r>
    </w:p>
  </w:endnote>
  <w:endnote w:type="continuationSeparator" w:id="0">
    <w:p w14:paraId="655A44F6" w14:textId="77777777" w:rsidR="00B46389" w:rsidRDefault="00B46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B38F11" w14:textId="77777777" w:rsidR="00B46389" w:rsidRDefault="00B46389">
    <w:pPr>
      <w:pStyle w:val="Footer"/>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5E842C0E" w14:textId="77777777" w:rsidR="00B46389" w:rsidRDefault="00B463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C23517" w14:textId="77777777" w:rsidR="00B46389" w:rsidRDefault="00B46389">
      <w:r>
        <w:rPr>
          <w:color w:val="000000"/>
        </w:rPr>
        <w:separator/>
      </w:r>
    </w:p>
  </w:footnote>
  <w:footnote w:type="continuationSeparator" w:id="0">
    <w:p w14:paraId="490D498E" w14:textId="77777777" w:rsidR="00B46389" w:rsidRDefault="00B46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F92AB1" w14:paraId="774814FE" w14:textId="77777777">
      <w:tblPrEx>
        <w:tblCellMar>
          <w:top w:w="0" w:type="dxa"/>
          <w:bottom w:w="0" w:type="dxa"/>
        </w:tblCellMar>
      </w:tblPrEx>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62A2AD5" w14:textId="77777777" w:rsidR="00B46389" w:rsidRDefault="00B46389">
          <w:pPr>
            <w:spacing w:before="20" w:after="20"/>
          </w:pPr>
          <w:bookmarkStart w:id="20" w:name="_Hlk43194599"/>
          <w:r>
            <w:rPr>
              <w:noProof/>
            </w:rPr>
            <w:drawing>
              <wp:inline distT="0" distB="0" distL="0" distR="0" wp14:anchorId="67BE1F04" wp14:editId="03B8D192">
                <wp:extent cx="1434538" cy="810048"/>
                <wp:effectExtent l="0" t="0" r="0" b="9102"/>
                <wp:docPr id="1825762994"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ABA0FE9" w14:textId="77777777" w:rsidR="00B46389" w:rsidRDefault="00B46389">
          <w:pPr>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3F013204" w14:textId="77777777" w:rsidR="00B46389" w:rsidRDefault="00B46389">
          <w:pPr>
            <w:pStyle w:val="NoSpacing"/>
            <w:jc w:val="right"/>
            <w:rPr>
              <w:rFonts w:ascii="Arial" w:hAnsi="Arial"/>
              <w:sz w:val="19"/>
              <w:szCs w:val="19"/>
            </w:rPr>
          </w:pPr>
        </w:p>
        <w:p w14:paraId="2BE88B29" w14:textId="77777777" w:rsidR="00B46389" w:rsidRDefault="00B46389">
          <w:pPr>
            <w:pStyle w:val="NoSpacing"/>
            <w:jc w:val="right"/>
            <w:rPr>
              <w:rFonts w:ascii="Arial" w:hAnsi="Arial"/>
              <w:sz w:val="19"/>
              <w:szCs w:val="19"/>
            </w:rPr>
          </w:pPr>
          <w:bookmarkStart w:id="21" w:name="_Hlk43194575"/>
          <w:r>
            <w:rPr>
              <w:rFonts w:ascii="Arial" w:hAnsi="Arial"/>
              <w:sz w:val="19"/>
              <w:szCs w:val="19"/>
            </w:rPr>
            <w:t>Trade Remedies Authority</w:t>
          </w:r>
        </w:p>
        <w:p w14:paraId="132F7738" w14:textId="77777777" w:rsidR="00B46389" w:rsidRDefault="00B46389">
          <w:pPr>
            <w:tabs>
              <w:tab w:val="left" w:pos="2133"/>
            </w:tabs>
            <w:spacing w:line="276" w:lineRule="auto"/>
            <w:ind w:left="7" w:firstLine="141"/>
          </w:pPr>
          <w:r>
            <w:rPr>
              <w:rFonts w:ascii="MS Gothic" w:eastAsia="MS Gothic" w:hAnsi="MS Gothic"/>
              <w:b/>
              <w:color w:val="FF0000"/>
              <w:sz w:val="18"/>
            </w:rPr>
            <w:t>☐</w:t>
          </w:r>
          <w:r>
            <w:rPr>
              <w:color w:val="FF0000"/>
              <w:sz w:val="18"/>
            </w:rPr>
            <w:t xml:space="preserve"> Confidential</w:t>
          </w:r>
          <w:r>
            <w:rPr>
              <w:color w:val="FF0000"/>
              <w:sz w:val="18"/>
            </w:rPr>
            <w:tab/>
          </w:r>
          <w:r>
            <w:rPr>
              <w:rFonts w:ascii="MS Gothic" w:eastAsia="MS Gothic" w:hAnsi="MS Gothic"/>
              <w:b/>
              <w:color w:val="FF0000"/>
              <w:sz w:val="18"/>
            </w:rPr>
            <w:t>☐</w:t>
          </w:r>
          <w:r>
            <w:rPr>
              <w:color w:val="FF0000"/>
              <w:sz w:val="18"/>
            </w:rPr>
            <w:t xml:space="preserve"> </w:t>
          </w:r>
          <w:proofErr w:type="gramStart"/>
          <w:r>
            <w:rPr>
              <w:color w:val="FF0000"/>
              <w:sz w:val="18"/>
            </w:rPr>
            <w:t>Non-Confidential</w:t>
          </w:r>
          <w:proofErr w:type="gramEnd"/>
        </w:p>
        <w:bookmarkEnd w:id="21"/>
        <w:p w14:paraId="1EFD5239" w14:textId="77777777" w:rsidR="00B46389" w:rsidRDefault="00B46389">
          <w:pPr>
            <w:pStyle w:val="NoSpacing"/>
            <w:ind w:firstLine="148"/>
            <w:rPr>
              <w:rFonts w:ascii="Arial" w:hAnsi="Arial"/>
              <w:color w:val="FF0000"/>
              <w:sz w:val="18"/>
              <w:szCs w:val="24"/>
            </w:rPr>
          </w:pPr>
        </w:p>
      </w:tc>
    </w:tr>
    <w:bookmarkEnd w:id="20"/>
  </w:tbl>
  <w:p w14:paraId="235A4EA2" w14:textId="77777777" w:rsidR="00B46389" w:rsidRDefault="00B463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A656C9"/>
    <w:multiLevelType w:val="multilevel"/>
    <w:tmpl w:val="5F1E8EA0"/>
    <w:lvl w:ilvl="0">
      <w:numFmt w:val="bullet"/>
      <w:lvlText w:val=""/>
      <w:lvlJc w:val="left"/>
      <w:pPr>
        <w:ind w:left="720" w:hanging="360"/>
      </w:pPr>
      <w:rPr>
        <w:rFonts w:ascii="Symbol" w:eastAsia="Times New Roman"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5E703E9C"/>
    <w:multiLevelType w:val="multilevel"/>
    <w:tmpl w:val="510CC756"/>
    <w:lvl w:ilvl="0">
      <w:numFmt w:val="bullet"/>
      <w:lvlText w:val=""/>
      <w:lvlJc w:val="left"/>
      <w:pPr>
        <w:ind w:left="720" w:hanging="360"/>
      </w:pPr>
      <w:rPr>
        <w:rFonts w:ascii="Symbol" w:eastAsia="Times New Roman"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75460198">
    <w:abstractNumId w:val="0"/>
  </w:num>
  <w:num w:numId="2" w16cid:durableId="1533225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396796"/>
    <w:rsid w:val="00396796"/>
    <w:rsid w:val="00B46389"/>
    <w:rsid w:val="00D838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A55F69A"/>
  <w15:docId w15:val="{F9A5815C-910B-4F6C-A92C-0E30E572F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GB" w:eastAsia="en-US" w:bidi="ar-SA"/>
      </w:rPr>
    </w:rPrDefault>
    <w:pPrDefault>
      <w:pPr>
        <w:autoSpaceDN w:val="0"/>
        <w:spacing w:after="160" w:line="247"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Arial" w:eastAsia="Yu Mincho" w:hAnsi="Arial"/>
      <w:sz w:val="24"/>
      <w:szCs w:val="24"/>
    </w:rPr>
  </w:style>
  <w:style w:type="paragraph" w:styleId="Heading1">
    <w:name w:val="heading 1"/>
    <w:basedOn w:val="Normal"/>
    <w:next w:val="Normal"/>
    <w:uiPriority w:val="9"/>
    <w:qFormat/>
    <w:pPr>
      <w:keepNext/>
      <w:keepLines/>
      <w:spacing w:before="240"/>
      <w:outlineLvl w:val="0"/>
    </w:pPr>
    <w:rPr>
      <w:rFonts w:eastAsia="Yu Gothic Light" w:cs="Times New Roman"/>
      <w:b/>
      <w:sz w:val="36"/>
      <w:szCs w:val="32"/>
    </w:rPr>
  </w:style>
  <w:style w:type="paragraph" w:styleId="Heading2">
    <w:name w:val="heading 2"/>
    <w:basedOn w:val="Normal"/>
    <w:next w:val="Normal"/>
    <w:uiPriority w:val="9"/>
    <w:unhideWhenUsed/>
    <w:qFormat/>
    <w:pPr>
      <w:keepNext/>
      <w:keepLines/>
      <w:spacing w:before="40"/>
      <w:outlineLvl w:val="1"/>
    </w:pPr>
    <w:rPr>
      <w:rFonts w:eastAsia="Yu Gothic Light" w:cs="Times New Roman"/>
      <w:b/>
      <w:sz w:val="32"/>
      <w:szCs w:val="26"/>
    </w:rPr>
  </w:style>
  <w:style w:type="paragraph" w:styleId="Heading3">
    <w:name w:val="heading 3"/>
    <w:basedOn w:val="Normal"/>
    <w:next w:val="Normal"/>
    <w:uiPriority w:val="9"/>
    <w:unhideWhenUsed/>
    <w:qFormat/>
    <w:pPr>
      <w:keepNext/>
      <w:keepLines/>
      <w:spacing w:before="40"/>
      <w:outlineLvl w:val="2"/>
    </w:pPr>
    <w:rPr>
      <w:rFonts w:eastAsia="Yu Gothic Light"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rial" w:eastAsia="Yu Gothic Light" w:hAnsi="Arial" w:cs="Times New Roman"/>
      <w:b/>
      <w:sz w:val="36"/>
      <w:szCs w:val="32"/>
    </w:rPr>
  </w:style>
  <w:style w:type="character" w:customStyle="1" w:styleId="Heading2Char">
    <w:name w:val="Heading 2 Char"/>
    <w:basedOn w:val="DefaultParagraphFont"/>
    <w:rPr>
      <w:rFonts w:ascii="Arial" w:eastAsia="Yu Gothic Light" w:hAnsi="Arial" w:cs="Times New Roman"/>
      <w:b/>
      <w:sz w:val="32"/>
      <w:szCs w:val="26"/>
    </w:rPr>
  </w:style>
  <w:style w:type="character" w:customStyle="1" w:styleId="Heading3Char">
    <w:name w:val="Heading 3 Char"/>
    <w:basedOn w:val="DefaultParagraphFont"/>
    <w:rPr>
      <w:rFonts w:ascii="Arial" w:eastAsia="Yu Gothic Light" w:hAnsi="Arial" w:cs="Times New Roman"/>
      <w:b/>
      <w:sz w:val="28"/>
      <w:szCs w:val="24"/>
    </w:rPr>
  </w:style>
  <w:style w:type="paragraph" w:styleId="ListParagraph">
    <w:name w:val="List Paragraph"/>
    <w:basedOn w:val="Normal"/>
    <w:pPr>
      <w:ind w:left="720"/>
      <w:contextualSpacing/>
    </w:p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rFonts w:ascii="Arial" w:eastAsia="Yu Mincho" w:hAnsi="Arial"/>
      <w:sz w:val="20"/>
      <w:szCs w:val="20"/>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eastAsia="Yu Mincho" w:hAnsi="Segoe UI" w:cs="Segoe UI"/>
      <w:sz w:val="18"/>
      <w:szCs w:val="18"/>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eastAsia="Yu Mincho" w:hAnsi="Arial"/>
      <w:b/>
      <w:bCs/>
      <w:sz w:val="20"/>
      <w:szCs w:val="20"/>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ascii="Arial" w:eastAsia="Yu Mincho" w:hAnsi="Arial"/>
      <w:sz w:val="24"/>
      <w:szCs w:val="24"/>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Arial" w:eastAsia="Yu Mincho" w:hAnsi="Arial"/>
      <w:sz w:val="24"/>
      <w:szCs w:val="24"/>
    </w:rPr>
  </w:style>
  <w:style w:type="character" w:styleId="Hyperlink">
    <w:name w:val="Hyperlink"/>
    <w:basedOn w:val="DefaultParagraphFont"/>
    <w:rPr>
      <w:color w:val="0563C1"/>
      <w:u w:val="single"/>
    </w:rPr>
  </w:style>
  <w:style w:type="paragraph" w:styleId="TOCHeading">
    <w:name w:val="TOC Heading"/>
    <w:basedOn w:val="Heading1"/>
    <w:next w:val="Normal"/>
    <w:pPr>
      <w:spacing w:line="247" w:lineRule="auto"/>
    </w:pPr>
    <w:rPr>
      <w:lang w:val="en-US"/>
    </w:rPr>
  </w:style>
  <w:style w:type="paragraph" w:styleId="TOC1">
    <w:name w:val="toc 1"/>
    <w:basedOn w:val="Normal"/>
    <w:next w:val="Normal"/>
    <w:autoRedefine/>
    <w:pPr>
      <w:tabs>
        <w:tab w:val="right" w:leader="dot" w:pos="9016"/>
      </w:tabs>
      <w:spacing w:after="100" w:line="22" w:lineRule="atLeast"/>
    </w:pPr>
  </w:style>
  <w:style w:type="paragraph" w:styleId="TOC2">
    <w:name w:val="toc 2"/>
    <w:basedOn w:val="Normal"/>
    <w:next w:val="Normal"/>
    <w:autoRedefine/>
    <w:pPr>
      <w:tabs>
        <w:tab w:val="right" w:leader="dot" w:pos="9016"/>
      </w:tabs>
      <w:spacing w:after="100" w:line="22" w:lineRule="atLeast"/>
      <w:ind w:left="240"/>
    </w:pPr>
  </w:style>
  <w:style w:type="paragraph" w:customStyle="1" w:styleId="paragraph">
    <w:name w:val="paragraph"/>
    <w:basedOn w:val="Normal"/>
    <w:pPr>
      <w:spacing w:before="100" w:after="100"/>
    </w:pPr>
    <w:rPr>
      <w:rFonts w:ascii="Times New Roman" w:eastAsia="Times New Roman" w:hAnsi="Times New Roman" w:cs="Times New Roman"/>
      <w:lang w:eastAsia="en-GB"/>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contextualspellingandgrammarerror">
    <w:name w:val="contextualspellingandgrammarerror"/>
    <w:basedOn w:val="DefaultParagraphFont"/>
  </w:style>
  <w:style w:type="character" w:customStyle="1" w:styleId="advancedproofingissue">
    <w:name w:val="advancedproofingissue"/>
    <w:basedOn w:val="DefaultParagraphFont"/>
  </w:style>
  <w:style w:type="character" w:styleId="UnresolvedMention">
    <w:name w:val="Unresolved Mention"/>
    <w:basedOn w:val="DefaultParagraphFont"/>
    <w:rPr>
      <w:color w:val="605E5C"/>
      <w:shd w:val="clear" w:color="auto" w:fill="E1DFDD"/>
    </w:rPr>
  </w:style>
  <w:style w:type="paragraph" w:styleId="Revision">
    <w:name w:val="Revision"/>
    <w:pPr>
      <w:suppressAutoHyphens/>
      <w:spacing w:after="0" w:line="240" w:lineRule="auto"/>
    </w:pPr>
    <w:rPr>
      <w:rFonts w:eastAsia="Yu Mincho"/>
      <w:sz w:val="24"/>
      <w:szCs w:val="24"/>
    </w:rPr>
  </w:style>
  <w:style w:type="character" w:customStyle="1" w:styleId="findhit">
    <w:name w:val="findhit"/>
    <w:basedOn w:val="DefaultParagraphFont"/>
  </w:style>
  <w:style w:type="paragraph" w:styleId="TOC3">
    <w:name w:val="toc 3"/>
    <w:basedOn w:val="Normal"/>
    <w:next w:val="Normal"/>
    <w:autoRedefine/>
    <w:pPr>
      <w:spacing w:after="100"/>
      <w:ind w:left="480"/>
    </w:pPr>
  </w:style>
  <w:style w:type="paragraph" w:styleId="NormalWeb">
    <w:name w:val="Normal (Web)"/>
    <w:basedOn w:val="Normal"/>
    <w:pPr>
      <w:spacing w:before="100" w:after="100"/>
    </w:pPr>
    <w:rPr>
      <w:rFonts w:ascii="Times New Roman" w:eastAsia="Times New Roman" w:hAnsi="Times New Roman" w:cs="Times New Roman"/>
      <w:lang w:eastAsia="en-GB"/>
    </w:rPr>
  </w:style>
  <w:style w:type="paragraph" w:styleId="NoSpacing">
    <w:name w:val="No Spacing"/>
    <w:pPr>
      <w:suppressAutoHyphens/>
      <w:spacing w:after="0" w:line="240" w:lineRule="auto"/>
    </w:pPr>
    <w:rPr>
      <w:rFonts w:eastAsia="Yu Mincho"/>
      <w:lang w:eastAsia="zh-CN"/>
    </w:rPr>
  </w:style>
  <w:style w:type="character" w:styleId="PlaceholderText">
    <w:name w:val="Placeholder Text"/>
    <w:basedOn w:val="DefaultParagraphFont"/>
    <w:rPr>
      <w:color w:val="808080"/>
    </w:rPr>
  </w:style>
  <w:style w:type="character" w:styleId="FollowedHyperlink">
    <w:name w:val="FollowedHyperlink"/>
    <w:basedOn w:val="DefaultParagraphFont"/>
    <w:rPr>
      <w:color w:val="954F72"/>
      <w:u w:val="single"/>
    </w:rPr>
  </w:style>
  <w:style w:type="character" w:styleId="Mention">
    <w:name w:val="Mention"/>
    <w:basedOn w:val="DefaultParagraphFont"/>
    <w:rPr>
      <w:color w:val="2B579A"/>
      <w:shd w:val="clear" w:color="auto" w:fill="E1DFDD"/>
    </w:rPr>
  </w:style>
  <w:style w:type="paragraph" w:styleId="FootnoteText">
    <w:name w:val="footnote text"/>
    <w:basedOn w:val="Normal"/>
    <w:pPr>
      <w:suppressAutoHyphens w:val="0"/>
    </w:pPr>
    <w:rPr>
      <w:rFonts w:ascii="Calibri" w:eastAsia="Calibri" w:hAnsi="Calibri"/>
      <w:sz w:val="20"/>
      <w:szCs w:val="20"/>
    </w:rPr>
  </w:style>
  <w:style w:type="character" w:customStyle="1" w:styleId="FootnoteTextChar">
    <w:name w:val="Footnote Text Char"/>
    <w:basedOn w:val="DefaultParagraphFont"/>
    <w:rPr>
      <w:rFonts w:ascii="Calibri" w:eastAsia="Calibri" w:hAnsi="Calibri" w:cs="Arial"/>
      <w:sz w:val="20"/>
      <w:szCs w:val="20"/>
    </w:rPr>
  </w:style>
  <w:style w:type="character" w:styleId="FootnoteReference">
    <w:name w:val="footnote reference"/>
    <w:basedOn w:val="DefaultParagraphFont"/>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_Toc157513139" TargetMode="External"/><Relationship Id="rId13" Type="http://schemas.openxmlformats.org/officeDocument/2006/relationships/hyperlink" Target="#_Toc157513144" TargetMode="External"/><Relationship Id="rId18" Type="http://schemas.openxmlformats.org/officeDocument/2006/relationships/hyperlink" Target="http://www.trade-remedies.service.gov.uk/public/case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gov.uk/government/publications/trade-remedies-notices-tariff-rate-quotas-on-steel-goods/trade-remedies-notice-202310-safeguard-measure-tariff-rate-quota-on-steel-goods" TargetMode="External"/><Relationship Id="rId12" Type="http://schemas.openxmlformats.org/officeDocument/2006/relationships/hyperlink" Target="#_Toc157513143" TargetMode="External"/><Relationship Id="rId17" Type="http://schemas.openxmlformats.org/officeDocument/2006/relationships/hyperlink" Target="http://www.trade-remedies.service.gov.uk/public/cases" TargetMode="Externa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www.gov.uk/government/publications/trade-remedies-notices-tariff-rate-quotas-on-steel-goods/trade-remedies-notice-202310-safeguard-measure-tariff-rate-quota-on-steel-good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_Toc157513142"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s://www.gov.uk/government/publications/trade-remedies-notices-tariff-rate-quotas-on-steel-goods/trade-remedies-notice-202201-safeguard-measure-tariff-rate-quota-on-steel-goods" TargetMode="External"/><Relationship Id="rId23" Type="http://schemas.openxmlformats.org/officeDocument/2006/relationships/customXml" Target="../customXml/item1.xml"/><Relationship Id="rId10" Type="http://schemas.openxmlformats.org/officeDocument/2006/relationships/hyperlink" Target="#_Toc157513141"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_Toc157513140" TargetMode="External"/><Relationship Id="rId14" Type="http://schemas.openxmlformats.org/officeDocument/2006/relationships/hyperlink" Target="#_Toc157513145"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7FF3BFFA-2A4C-4B34-BF64-1201472926C3}"/>
</file>

<file path=customXml/itemProps2.xml><?xml version="1.0" encoding="utf-8"?>
<ds:datastoreItem xmlns:ds="http://schemas.openxmlformats.org/officeDocument/2006/customXml" ds:itemID="{AF6C0C3D-FFA5-4FD6-A275-EBEBB207274C}"/>
</file>

<file path=customXml/itemProps3.xml><?xml version="1.0" encoding="utf-8"?>
<ds:datastoreItem xmlns:ds="http://schemas.openxmlformats.org/officeDocument/2006/customXml" ds:itemID="{CA2270F0-99EF-4CD6-88F0-0CD01D9F967E}"/>
</file>

<file path=docProps/app.xml><?xml version="1.0" encoding="utf-8"?>
<Properties xmlns="http://schemas.openxmlformats.org/officeDocument/2006/extended-properties" xmlns:vt="http://schemas.openxmlformats.org/officeDocument/2006/docPropsVTypes">
  <Template>Normal</Template>
  <TotalTime>8</TotalTime>
  <Pages>7</Pages>
  <Words>1274</Words>
  <Characters>7268</Characters>
  <Application>Microsoft Office Word</Application>
  <DocSecurity>0</DocSecurity>
  <Lines>60</Lines>
  <Paragraphs>17</Paragraphs>
  <ScaleCrop>false</ScaleCrop>
  <Company/>
  <LinksUpToDate>false</LinksUpToDate>
  <CharactersWithSpaces>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Darby</dc:creator>
  <dc:description/>
  <cp:lastModifiedBy>Ian Darby</cp:lastModifiedBy>
  <cp:revision>2</cp:revision>
  <dcterms:created xsi:type="dcterms:W3CDTF">2024-09-02T11:13:00Z</dcterms:created>
  <dcterms:modified xsi:type="dcterms:W3CDTF">2024-09-02T11:13:00Z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