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C643" w14:textId="77777777" w:rsidR="00566154" w:rsidRDefault="00872502">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E99BAB9" w14:textId="77777777" w:rsidR="00566154" w:rsidRDefault="00872502">
      <w:pPr>
        <w:spacing w:line="22" w:lineRule="atLeast"/>
        <w:jc w:val="center"/>
      </w:pPr>
      <w:r>
        <w:rPr>
          <w:rFonts w:ascii="Arial" w:eastAsia="Arial" w:hAnsi="Arial" w:cs="Arial"/>
          <w:b/>
          <w:sz w:val="24"/>
          <w:szCs w:val="24"/>
        </w:rPr>
        <w:t>For all Interested Parties and Contributors</w:t>
      </w:r>
    </w:p>
    <w:p w14:paraId="1A9D48DD" w14:textId="77777777" w:rsidR="00566154" w:rsidRDefault="00872502">
      <w:pPr>
        <w:spacing w:line="22" w:lineRule="atLeast"/>
        <w:jc w:val="center"/>
      </w:pPr>
      <w:r>
        <w:rPr>
          <w:rFonts w:ascii="Arial" w:hAnsi="Arial" w:cs="Arial"/>
          <w:b/>
          <w:sz w:val="36"/>
          <w:szCs w:val="36"/>
        </w:rPr>
        <w:t>Tariff Rate Quota Review</w:t>
      </w:r>
    </w:p>
    <w:p w14:paraId="1F01114A" w14:textId="77777777" w:rsidR="00566154" w:rsidRDefault="00872502">
      <w:pPr>
        <w:tabs>
          <w:tab w:val="left" w:pos="2130"/>
        </w:tabs>
        <w:spacing w:after="0" w:line="22" w:lineRule="atLeast"/>
        <w:jc w:val="center"/>
      </w:pPr>
      <w:r>
        <w:rPr>
          <w:rFonts w:ascii="Arial" w:eastAsia="Arial" w:hAnsi="Arial" w:cs="Arial"/>
          <w:b/>
          <w:bCs/>
          <w:sz w:val="36"/>
          <w:szCs w:val="36"/>
        </w:rPr>
        <w:t xml:space="preserve">Case </w:t>
      </w:r>
      <w:r>
        <w:rPr>
          <w:rFonts w:ascii="Arial" w:eastAsia="Arial" w:hAnsi="Arial" w:cs="Arial"/>
          <w:b/>
          <w:bCs/>
          <w:color w:val="FF0000"/>
          <w:sz w:val="36"/>
          <w:szCs w:val="36"/>
        </w:rPr>
        <w:t>TQ0030</w:t>
      </w:r>
      <w:r>
        <w:rPr>
          <w:rFonts w:ascii="Arial" w:eastAsia="Arial" w:hAnsi="Arial" w:cs="Arial"/>
          <w:b/>
          <w:bCs/>
          <w:sz w:val="36"/>
          <w:szCs w:val="36"/>
        </w:rPr>
        <w:t>: Category 13 Steel products – Rebar</w:t>
      </w:r>
    </w:p>
    <w:p w14:paraId="070116E8" w14:textId="77777777" w:rsidR="00566154" w:rsidRDefault="00872502">
      <w:pPr>
        <w:tabs>
          <w:tab w:val="left" w:pos="2130"/>
        </w:tabs>
        <w:spacing w:after="0" w:line="22" w:lineRule="atLeast"/>
        <w:jc w:val="center"/>
        <w:rPr>
          <w:rFonts w:ascii="Arial" w:eastAsia="Arial" w:hAnsi="Arial" w:cs="Arial"/>
          <w:b/>
          <w:bCs/>
          <w:sz w:val="36"/>
          <w:szCs w:val="36"/>
        </w:rPr>
      </w:pPr>
      <w:r>
        <w:rPr>
          <w:rFonts w:ascii="Arial" w:eastAsia="Arial" w:hAnsi="Arial" w:cs="Arial"/>
          <w:b/>
          <w:bCs/>
          <w:sz w:val="36"/>
          <w:szCs w:val="36"/>
        </w:rPr>
        <w:t>Developing Countries Exception</w:t>
      </w:r>
    </w:p>
    <w:p w14:paraId="4FD87FA6" w14:textId="77777777" w:rsidR="00566154" w:rsidRDefault="00566154">
      <w:pPr>
        <w:tabs>
          <w:tab w:val="left" w:pos="2130"/>
        </w:tabs>
        <w:spacing w:after="0" w:line="22" w:lineRule="atLeast"/>
        <w:jc w:val="center"/>
      </w:pPr>
    </w:p>
    <w:tbl>
      <w:tblPr>
        <w:tblW w:w="9498" w:type="dxa"/>
        <w:tblCellMar>
          <w:left w:w="10" w:type="dxa"/>
          <w:right w:w="10" w:type="dxa"/>
        </w:tblCellMar>
        <w:tblLook w:val="04A0" w:firstRow="1" w:lastRow="0" w:firstColumn="1" w:lastColumn="0" w:noHBand="0" w:noVBand="1"/>
      </w:tblPr>
      <w:tblGrid>
        <w:gridCol w:w="3875"/>
        <w:gridCol w:w="5623"/>
      </w:tblGrid>
      <w:tr w:rsidR="00566154" w14:paraId="5BA67327" w14:textId="77777777">
        <w:tc>
          <w:tcPr>
            <w:tcW w:w="3875" w:type="dxa"/>
            <w:tcBorders>
              <w:right w:val="single" w:sz="4" w:space="0" w:color="000000"/>
            </w:tcBorders>
            <w:shd w:val="clear" w:color="auto" w:fill="auto"/>
            <w:tcMar>
              <w:top w:w="0" w:type="dxa"/>
              <w:left w:w="108" w:type="dxa"/>
              <w:bottom w:w="0" w:type="dxa"/>
              <w:right w:w="108" w:type="dxa"/>
            </w:tcMar>
          </w:tcPr>
          <w:p w14:paraId="3FA5D414" w14:textId="77777777" w:rsidR="00566154" w:rsidRDefault="00872502">
            <w:pPr>
              <w:tabs>
                <w:tab w:val="left" w:pos="2130"/>
              </w:tabs>
              <w:spacing w:after="0" w:line="22" w:lineRule="atLeast"/>
            </w:pPr>
            <w:bookmarkStart w:id="0" w:name="_Toc32829438"/>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D5C3" w14:textId="77777777" w:rsidR="00566154" w:rsidRDefault="00872502">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2022 – 31 December 2022</w:t>
            </w:r>
          </w:p>
        </w:tc>
      </w:tr>
      <w:tr w:rsidR="00566154" w14:paraId="14213C95" w14:textId="77777777">
        <w:tc>
          <w:tcPr>
            <w:tcW w:w="3875" w:type="dxa"/>
            <w:shd w:val="clear" w:color="auto" w:fill="auto"/>
            <w:tcMar>
              <w:top w:w="0" w:type="dxa"/>
              <w:left w:w="108" w:type="dxa"/>
              <w:bottom w:w="0" w:type="dxa"/>
              <w:right w:w="108" w:type="dxa"/>
            </w:tcMar>
          </w:tcPr>
          <w:p w14:paraId="1B9C8CCA" w14:textId="77777777" w:rsidR="00566154" w:rsidRDefault="00566154">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5FD1F141" w14:textId="77777777" w:rsidR="00566154" w:rsidRDefault="00566154">
            <w:pPr>
              <w:tabs>
                <w:tab w:val="left" w:pos="2130"/>
              </w:tabs>
              <w:spacing w:after="0" w:line="22" w:lineRule="atLeast"/>
              <w:rPr>
                <w:rFonts w:ascii="Arial" w:eastAsia="Arial" w:hAnsi="Arial" w:cs="Arial"/>
                <w:sz w:val="24"/>
                <w:szCs w:val="24"/>
              </w:rPr>
            </w:pPr>
          </w:p>
        </w:tc>
      </w:tr>
      <w:tr w:rsidR="00566154" w14:paraId="40E67328" w14:textId="77777777">
        <w:tc>
          <w:tcPr>
            <w:tcW w:w="3875" w:type="dxa"/>
            <w:tcBorders>
              <w:right w:val="single" w:sz="4" w:space="0" w:color="000000"/>
            </w:tcBorders>
            <w:shd w:val="clear" w:color="auto" w:fill="auto"/>
            <w:tcMar>
              <w:top w:w="0" w:type="dxa"/>
              <w:left w:w="108" w:type="dxa"/>
              <w:bottom w:w="0" w:type="dxa"/>
              <w:right w:w="108" w:type="dxa"/>
            </w:tcMar>
          </w:tcPr>
          <w:p w14:paraId="5A1DDE2B" w14:textId="77777777" w:rsidR="00566154" w:rsidRDefault="00872502">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00BF" w14:textId="77777777" w:rsidR="00566154" w:rsidRDefault="00872502">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2020 – 31 December 2022</w:t>
            </w:r>
          </w:p>
        </w:tc>
      </w:tr>
      <w:tr w:rsidR="00566154" w14:paraId="410B894F" w14:textId="77777777">
        <w:tc>
          <w:tcPr>
            <w:tcW w:w="3875" w:type="dxa"/>
            <w:shd w:val="clear" w:color="auto" w:fill="auto"/>
            <w:tcMar>
              <w:top w:w="0" w:type="dxa"/>
              <w:left w:w="108" w:type="dxa"/>
              <w:bottom w:w="0" w:type="dxa"/>
              <w:right w:w="108" w:type="dxa"/>
            </w:tcMar>
          </w:tcPr>
          <w:p w14:paraId="63DCA237" w14:textId="77777777" w:rsidR="00566154" w:rsidRDefault="00566154">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22480C45" w14:textId="77777777" w:rsidR="00566154" w:rsidRDefault="00566154">
            <w:pPr>
              <w:tabs>
                <w:tab w:val="left" w:pos="2130"/>
              </w:tabs>
              <w:spacing w:after="0" w:line="22" w:lineRule="atLeast"/>
              <w:rPr>
                <w:rFonts w:ascii="Arial" w:eastAsia="Arial" w:hAnsi="Arial" w:cs="Arial"/>
                <w:sz w:val="24"/>
                <w:szCs w:val="24"/>
              </w:rPr>
            </w:pPr>
          </w:p>
        </w:tc>
      </w:tr>
      <w:tr w:rsidR="00566154" w14:paraId="0665327A" w14:textId="77777777">
        <w:tc>
          <w:tcPr>
            <w:tcW w:w="3875" w:type="dxa"/>
            <w:tcBorders>
              <w:right w:val="single" w:sz="4" w:space="0" w:color="000000"/>
            </w:tcBorders>
            <w:shd w:val="clear" w:color="auto" w:fill="auto"/>
            <w:tcMar>
              <w:top w:w="0" w:type="dxa"/>
              <w:left w:w="108" w:type="dxa"/>
              <w:bottom w:w="0" w:type="dxa"/>
              <w:right w:w="108" w:type="dxa"/>
            </w:tcMar>
          </w:tcPr>
          <w:p w14:paraId="729F7828" w14:textId="77777777" w:rsidR="00566154" w:rsidRDefault="00872502">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19C47" w14:textId="77777777" w:rsidR="00566154" w:rsidRDefault="00872502">
            <w:pPr>
              <w:tabs>
                <w:tab w:val="left" w:pos="2130"/>
              </w:tabs>
              <w:spacing w:after="0" w:line="22" w:lineRule="atLeast"/>
            </w:pPr>
            <w:r>
              <w:rPr>
                <w:rFonts w:ascii="Arial" w:eastAsia="Arial" w:hAnsi="Arial" w:cs="Arial"/>
                <w:b/>
                <w:sz w:val="24"/>
                <w:szCs w:val="24"/>
              </w:rPr>
              <w:t>30 January 2023</w:t>
            </w:r>
          </w:p>
        </w:tc>
      </w:tr>
      <w:tr w:rsidR="00566154" w14:paraId="5AA6FD94" w14:textId="77777777">
        <w:tc>
          <w:tcPr>
            <w:tcW w:w="3875" w:type="dxa"/>
            <w:shd w:val="clear" w:color="auto" w:fill="auto"/>
            <w:tcMar>
              <w:top w:w="0" w:type="dxa"/>
              <w:left w:w="108" w:type="dxa"/>
              <w:bottom w:w="0" w:type="dxa"/>
              <w:right w:w="108" w:type="dxa"/>
            </w:tcMar>
          </w:tcPr>
          <w:p w14:paraId="734E2E56" w14:textId="77777777" w:rsidR="00566154" w:rsidRDefault="00566154">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1954860A" w14:textId="77777777" w:rsidR="00566154" w:rsidRDefault="00566154">
            <w:pPr>
              <w:tabs>
                <w:tab w:val="left" w:pos="2130"/>
              </w:tabs>
              <w:spacing w:after="0" w:line="22" w:lineRule="atLeast"/>
              <w:rPr>
                <w:rFonts w:ascii="Arial" w:eastAsia="Arial" w:hAnsi="Arial" w:cs="Arial"/>
                <w:sz w:val="24"/>
                <w:szCs w:val="24"/>
              </w:rPr>
            </w:pPr>
          </w:p>
        </w:tc>
      </w:tr>
      <w:tr w:rsidR="00566154" w14:paraId="3AA88E33" w14:textId="77777777">
        <w:tc>
          <w:tcPr>
            <w:tcW w:w="3875" w:type="dxa"/>
            <w:tcBorders>
              <w:right w:val="single" w:sz="4" w:space="0" w:color="000000"/>
            </w:tcBorders>
            <w:shd w:val="clear" w:color="auto" w:fill="auto"/>
            <w:tcMar>
              <w:top w:w="0" w:type="dxa"/>
              <w:left w:w="108" w:type="dxa"/>
              <w:bottom w:w="0" w:type="dxa"/>
              <w:right w:w="108" w:type="dxa"/>
            </w:tcMar>
          </w:tcPr>
          <w:p w14:paraId="535B0FB3" w14:textId="77777777" w:rsidR="00566154" w:rsidRDefault="00872502">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264F" w14:textId="77777777" w:rsidR="00566154" w:rsidRDefault="00872502">
            <w:pPr>
              <w:tabs>
                <w:tab w:val="left" w:pos="2130"/>
              </w:tabs>
              <w:spacing w:after="0" w:line="22" w:lineRule="atLeast"/>
            </w:pPr>
            <w:r>
              <w:rPr>
                <w:rFonts w:ascii="Arial" w:eastAsia="Arial" w:hAnsi="Arial" w:cs="Arial"/>
                <w:b/>
                <w:sz w:val="24"/>
                <w:szCs w:val="24"/>
              </w:rPr>
              <w:t>TQ0030@traderemedies.gov.uk</w:t>
            </w:r>
          </w:p>
        </w:tc>
      </w:tr>
      <w:tr w:rsidR="00566154" w14:paraId="135EFED4" w14:textId="77777777">
        <w:tc>
          <w:tcPr>
            <w:tcW w:w="3875" w:type="dxa"/>
            <w:shd w:val="clear" w:color="auto" w:fill="auto"/>
            <w:tcMar>
              <w:top w:w="0" w:type="dxa"/>
              <w:left w:w="108" w:type="dxa"/>
              <w:bottom w:w="0" w:type="dxa"/>
              <w:right w:w="108" w:type="dxa"/>
            </w:tcMar>
          </w:tcPr>
          <w:p w14:paraId="6F640AC6" w14:textId="77777777" w:rsidR="00566154" w:rsidRDefault="00566154">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6BFE3C5F" w14:textId="77777777" w:rsidR="00566154" w:rsidRDefault="00566154">
            <w:pPr>
              <w:tabs>
                <w:tab w:val="left" w:pos="2130"/>
              </w:tabs>
              <w:spacing w:after="0" w:line="22" w:lineRule="atLeast"/>
              <w:rPr>
                <w:rFonts w:ascii="Arial" w:eastAsia="Arial" w:hAnsi="Arial" w:cs="Arial"/>
                <w:color w:val="FF0000"/>
                <w:sz w:val="24"/>
                <w:szCs w:val="24"/>
              </w:rPr>
            </w:pPr>
          </w:p>
        </w:tc>
      </w:tr>
      <w:tr w:rsidR="00566154" w14:paraId="602950AB" w14:textId="77777777">
        <w:tc>
          <w:tcPr>
            <w:tcW w:w="3875" w:type="dxa"/>
            <w:tcBorders>
              <w:right w:val="single" w:sz="4" w:space="0" w:color="000000"/>
            </w:tcBorders>
            <w:shd w:val="clear" w:color="auto" w:fill="auto"/>
            <w:tcMar>
              <w:top w:w="0" w:type="dxa"/>
              <w:left w:w="108" w:type="dxa"/>
              <w:bottom w:w="0" w:type="dxa"/>
              <w:right w:w="108" w:type="dxa"/>
            </w:tcMar>
          </w:tcPr>
          <w:p w14:paraId="3E62B74C" w14:textId="77777777" w:rsidR="00566154" w:rsidRDefault="00872502">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EC5DC" w14:textId="2A189791" w:rsidR="00566154" w:rsidRPr="004D3D6B" w:rsidRDefault="003E18E4">
            <w:pPr>
              <w:tabs>
                <w:tab w:val="left" w:pos="2130"/>
              </w:tabs>
              <w:spacing w:after="0" w:line="22" w:lineRule="atLeast"/>
              <w:rPr>
                <w:rFonts w:ascii="Arial" w:eastAsia="Arial" w:hAnsi="Arial" w:cs="Arial"/>
                <w:color w:val="4472C4" w:themeColor="accent1"/>
                <w:sz w:val="24"/>
                <w:szCs w:val="24"/>
              </w:rPr>
            </w:pPr>
            <w:r w:rsidRPr="004D3D6B">
              <w:rPr>
                <w:rFonts w:ascii="Arial" w:eastAsia="Arial" w:hAnsi="Arial" w:cs="Arial"/>
                <w:color w:val="4472C4" w:themeColor="accent1"/>
                <w:sz w:val="24"/>
                <w:szCs w:val="24"/>
              </w:rPr>
              <w:t>Liberty Steel UK</w:t>
            </w:r>
          </w:p>
          <w:p w14:paraId="73996E4C" w14:textId="77777777" w:rsidR="00566154" w:rsidRDefault="00566154">
            <w:pPr>
              <w:tabs>
                <w:tab w:val="left" w:pos="2130"/>
              </w:tabs>
              <w:spacing w:after="0" w:line="22" w:lineRule="atLeast"/>
              <w:rPr>
                <w:rFonts w:ascii="Arial" w:eastAsia="Arial" w:hAnsi="Arial" w:cs="Arial"/>
                <w:color w:val="FF0000"/>
                <w:sz w:val="24"/>
                <w:szCs w:val="24"/>
              </w:rPr>
            </w:pPr>
          </w:p>
        </w:tc>
      </w:tr>
      <w:tr w:rsidR="00566154" w14:paraId="277EADD1" w14:textId="77777777">
        <w:tc>
          <w:tcPr>
            <w:tcW w:w="3875" w:type="dxa"/>
            <w:tcBorders>
              <w:right w:val="single" w:sz="4" w:space="0" w:color="FFFFFF"/>
            </w:tcBorders>
            <w:shd w:val="clear" w:color="auto" w:fill="auto"/>
            <w:tcMar>
              <w:top w:w="0" w:type="dxa"/>
              <w:left w:w="108" w:type="dxa"/>
              <w:bottom w:w="0" w:type="dxa"/>
              <w:right w:w="108" w:type="dxa"/>
            </w:tcMar>
          </w:tcPr>
          <w:p w14:paraId="2C08A217" w14:textId="77777777" w:rsidR="00566154" w:rsidRDefault="00566154">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623F0A65" w14:textId="77777777" w:rsidR="00566154" w:rsidRDefault="00566154">
            <w:pPr>
              <w:tabs>
                <w:tab w:val="left" w:pos="2130"/>
              </w:tabs>
              <w:spacing w:after="0" w:line="22" w:lineRule="atLeast"/>
              <w:rPr>
                <w:rFonts w:ascii="Arial" w:eastAsia="Arial" w:hAnsi="Arial" w:cs="Arial"/>
                <w:b/>
                <w:bCs/>
                <w:color w:val="FF0000"/>
                <w:sz w:val="24"/>
                <w:szCs w:val="24"/>
              </w:rPr>
            </w:pPr>
          </w:p>
        </w:tc>
      </w:tr>
      <w:tr w:rsidR="00566154" w14:paraId="62FA049B" w14:textId="77777777">
        <w:tc>
          <w:tcPr>
            <w:tcW w:w="3875" w:type="dxa"/>
            <w:tcBorders>
              <w:right w:val="single" w:sz="4" w:space="0" w:color="000000"/>
            </w:tcBorders>
            <w:shd w:val="clear" w:color="auto" w:fill="auto"/>
            <w:tcMar>
              <w:top w:w="0" w:type="dxa"/>
              <w:left w:w="108" w:type="dxa"/>
              <w:bottom w:w="0" w:type="dxa"/>
              <w:right w:w="108" w:type="dxa"/>
            </w:tcMar>
          </w:tcPr>
          <w:p w14:paraId="41DEFEB2" w14:textId="77777777" w:rsidR="00566154" w:rsidRDefault="00872502">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CF5A"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32687D9F"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6DA81300"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63EDE9D3"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39302330" w14:textId="76D3A83A" w:rsidR="00566154" w:rsidRDefault="003E18E4">
            <w:pPr>
              <w:tabs>
                <w:tab w:val="left" w:pos="2130"/>
              </w:tabs>
              <w:spacing w:after="0" w:line="22" w:lineRule="atLeast"/>
            </w:pPr>
            <w:r w:rsidRPr="004D3D6B">
              <w:rPr>
                <w:rFonts w:ascii="Arial" w:eastAsia="DengXian" w:hAnsi="Arial" w:cs="Arial"/>
                <w:color w:val="4472C4" w:themeColor="accent1"/>
                <w:sz w:val="24"/>
                <w:szCs w:val="24"/>
              </w:rPr>
              <w:t>X</w:t>
            </w:r>
            <w:r w:rsidR="00872502">
              <w:rPr>
                <w:rFonts w:ascii="Arial" w:eastAsia="DengXian" w:hAnsi="Arial" w:cs="Arial"/>
                <w:sz w:val="24"/>
                <w:szCs w:val="24"/>
              </w:rPr>
              <w:t xml:space="preserve"> UK Producer</w:t>
            </w:r>
          </w:p>
          <w:p w14:paraId="06C2B29F"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Importer</w:t>
            </w:r>
          </w:p>
          <w:p w14:paraId="764B2A7E" w14:textId="77777777" w:rsidR="00566154" w:rsidRDefault="00872502">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3CAA0E79" w14:textId="77777777" w:rsidR="00566154" w:rsidRDefault="00566154">
            <w:pPr>
              <w:tabs>
                <w:tab w:val="left" w:pos="2130"/>
              </w:tabs>
              <w:spacing w:after="0" w:line="22" w:lineRule="atLeast"/>
              <w:rPr>
                <w:rFonts w:ascii="Arial" w:eastAsia="Arial" w:hAnsi="Arial" w:cs="Arial"/>
                <w:color w:val="FF0000"/>
                <w:sz w:val="24"/>
                <w:szCs w:val="24"/>
              </w:rPr>
            </w:pPr>
          </w:p>
        </w:tc>
      </w:tr>
      <w:tr w:rsidR="00566154" w14:paraId="19A3D0E6" w14:textId="77777777">
        <w:tc>
          <w:tcPr>
            <w:tcW w:w="3875" w:type="dxa"/>
            <w:tcBorders>
              <w:right w:val="single" w:sz="4" w:space="0" w:color="000000"/>
            </w:tcBorders>
            <w:shd w:val="clear" w:color="auto" w:fill="auto"/>
            <w:tcMar>
              <w:top w:w="0" w:type="dxa"/>
              <w:left w:w="108" w:type="dxa"/>
              <w:bottom w:w="0" w:type="dxa"/>
              <w:right w:w="108" w:type="dxa"/>
            </w:tcMar>
          </w:tcPr>
          <w:p w14:paraId="2C8FA78B" w14:textId="77777777" w:rsidR="00566154" w:rsidRDefault="00566154">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554B" w14:textId="77777777" w:rsidR="00566154" w:rsidRDefault="00566154">
            <w:pPr>
              <w:tabs>
                <w:tab w:val="left" w:pos="2130"/>
              </w:tabs>
              <w:spacing w:after="0" w:line="22" w:lineRule="atLeast"/>
              <w:rPr>
                <w:rFonts w:ascii="MS Gothic" w:eastAsia="MS Gothic" w:hAnsi="MS Gothic" w:cs="Arial"/>
                <w:sz w:val="24"/>
                <w:szCs w:val="24"/>
              </w:rPr>
            </w:pPr>
          </w:p>
        </w:tc>
      </w:tr>
      <w:tr w:rsidR="00566154" w14:paraId="356C69FC" w14:textId="77777777">
        <w:tc>
          <w:tcPr>
            <w:tcW w:w="3875" w:type="dxa"/>
            <w:tcBorders>
              <w:right w:val="single" w:sz="4" w:space="0" w:color="000000"/>
            </w:tcBorders>
            <w:shd w:val="clear" w:color="auto" w:fill="auto"/>
            <w:tcMar>
              <w:top w:w="0" w:type="dxa"/>
              <w:left w:w="108" w:type="dxa"/>
              <w:bottom w:w="0" w:type="dxa"/>
              <w:right w:w="108" w:type="dxa"/>
            </w:tcMar>
          </w:tcPr>
          <w:p w14:paraId="3C91D94D" w14:textId="77777777" w:rsidR="00566154" w:rsidRDefault="00566154">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3F55" w14:textId="77777777" w:rsidR="00566154" w:rsidRDefault="00566154">
            <w:pPr>
              <w:tabs>
                <w:tab w:val="left" w:pos="2130"/>
              </w:tabs>
              <w:spacing w:after="0" w:line="22" w:lineRule="atLeast"/>
              <w:rPr>
                <w:rFonts w:ascii="MS Gothic" w:eastAsia="MS Gothic" w:hAnsi="MS Gothic" w:cs="Arial"/>
                <w:sz w:val="24"/>
                <w:szCs w:val="24"/>
              </w:rPr>
            </w:pPr>
          </w:p>
        </w:tc>
      </w:tr>
      <w:tr w:rsidR="00566154" w14:paraId="5E71919D" w14:textId="77777777">
        <w:tc>
          <w:tcPr>
            <w:tcW w:w="3875" w:type="dxa"/>
            <w:tcBorders>
              <w:right w:val="single" w:sz="4" w:space="0" w:color="000000"/>
            </w:tcBorders>
            <w:shd w:val="clear" w:color="auto" w:fill="auto"/>
            <w:tcMar>
              <w:top w:w="0" w:type="dxa"/>
              <w:left w:w="108" w:type="dxa"/>
              <w:bottom w:w="0" w:type="dxa"/>
              <w:right w:w="108" w:type="dxa"/>
            </w:tcMar>
          </w:tcPr>
          <w:p w14:paraId="1B2AB4AD" w14:textId="77777777" w:rsidR="00566154" w:rsidRDefault="00566154">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94D" w14:textId="77777777" w:rsidR="00566154" w:rsidRDefault="00566154">
            <w:pPr>
              <w:tabs>
                <w:tab w:val="left" w:pos="2130"/>
              </w:tabs>
              <w:spacing w:after="0" w:line="22" w:lineRule="atLeast"/>
              <w:rPr>
                <w:rFonts w:ascii="MS Gothic" w:eastAsia="MS Gothic" w:hAnsi="MS Gothic" w:cs="Arial"/>
                <w:sz w:val="24"/>
                <w:szCs w:val="24"/>
              </w:rPr>
            </w:pPr>
          </w:p>
        </w:tc>
      </w:tr>
    </w:tbl>
    <w:p w14:paraId="45EC0A6D" w14:textId="77777777" w:rsidR="00566154" w:rsidRDefault="00566154"/>
    <w:p w14:paraId="0B58E200" w14:textId="77777777" w:rsidR="00566154" w:rsidRDefault="00872502">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6BE2CAC7" w14:textId="77777777" w:rsidR="00566154" w:rsidRDefault="00566154">
      <w:pPr>
        <w:spacing w:after="0" w:line="22" w:lineRule="atLeast"/>
        <w:contextualSpacing/>
        <w:rPr>
          <w:rFonts w:ascii="Arial" w:eastAsia="Arial" w:hAnsi="Arial" w:cs="Arial"/>
          <w:color w:val="000000"/>
          <w:sz w:val="24"/>
          <w:szCs w:val="24"/>
        </w:rPr>
      </w:pPr>
    </w:p>
    <w:p w14:paraId="768A17A5" w14:textId="72A1B5B2" w:rsidR="00566154" w:rsidRDefault="00872502">
      <w:pPr>
        <w:spacing w:after="0" w:line="22" w:lineRule="atLeast"/>
        <w:contextualSpacing/>
      </w:pPr>
      <w:r>
        <w:rPr>
          <w:rFonts w:ascii="Arial" w:eastAsia="Arial" w:hAnsi="Arial" w:cs="Arial"/>
          <w:color w:val="000000"/>
          <w:sz w:val="24"/>
          <w:szCs w:val="24"/>
        </w:rPr>
        <w:t xml:space="preserve"> Confidential</w:t>
      </w:r>
    </w:p>
    <w:p w14:paraId="2ABA0FC0" w14:textId="479E5317" w:rsidR="00566154" w:rsidRDefault="0082062C">
      <w:pPr>
        <w:spacing w:after="0" w:line="22" w:lineRule="atLeast"/>
        <w:contextualSpacing/>
      </w:pPr>
      <w:r w:rsidRPr="0082062C">
        <w:rPr>
          <w:rFonts w:ascii="Arial" w:eastAsia="Arial" w:hAnsi="Arial" w:cs="Arial"/>
          <w:color w:val="FF0000"/>
          <w:sz w:val="24"/>
          <w:szCs w:val="24"/>
        </w:rPr>
        <w:t>X</w:t>
      </w:r>
      <w:r w:rsidR="00872502" w:rsidRPr="0082062C">
        <w:rPr>
          <w:rFonts w:ascii="Arial" w:eastAsia="Arial" w:hAnsi="Arial" w:cs="Arial"/>
          <w:color w:val="FF0000"/>
          <w:sz w:val="24"/>
          <w:szCs w:val="24"/>
        </w:rPr>
        <w:t xml:space="preserve"> </w:t>
      </w:r>
      <w:r w:rsidR="00872502">
        <w:rPr>
          <w:rFonts w:ascii="Arial" w:eastAsia="Arial" w:hAnsi="Arial" w:cs="Arial"/>
          <w:color w:val="000000"/>
          <w:sz w:val="24"/>
          <w:szCs w:val="24"/>
        </w:rPr>
        <w:t>Non-Confidential – will be made publicly available</w:t>
      </w:r>
    </w:p>
    <w:p w14:paraId="3EFB0780" w14:textId="77777777" w:rsidR="00566154" w:rsidRDefault="00566154">
      <w:pPr>
        <w:spacing w:after="0" w:line="22" w:lineRule="atLeast"/>
        <w:contextualSpacing/>
        <w:rPr>
          <w:rFonts w:ascii="Arial" w:eastAsia="Arial" w:hAnsi="Arial" w:cs="Arial"/>
          <w:color w:val="000000"/>
          <w:sz w:val="24"/>
          <w:szCs w:val="24"/>
        </w:rPr>
      </w:pPr>
    </w:p>
    <w:p w14:paraId="3F5B8FAB" w14:textId="77777777" w:rsidR="00566154" w:rsidRDefault="00872502">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 xml:space="preserve">Both copies must be returned to the </w:t>
      </w:r>
      <w:r>
        <w:rPr>
          <w:rFonts w:ascii="Arial" w:eastAsia="Arial" w:hAnsi="Arial" w:cs="Arial"/>
          <w:color w:val="000000"/>
          <w:sz w:val="24"/>
          <w:szCs w:val="24"/>
        </w:rPr>
        <w:lastRenderedPageBreak/>
        <w:t>TRA using the Trade Remedies Service (</w:t>
      </w:r>
      <w:hyperlink r:id="rId6" w:history="1">
        <w:r>
          <w:rPr>
            <w:rStyle w:val="Hyperlink"/>
            <w:rFonts w:ascii="Arial" w:hAnsi="Arial" w:cs="Arial"/>
          </w:rPr>
          <w:t>(trade-remedies.service.gov.uk)</w:t>
        </w:r>
      </w:hyperlink>
      <w:r>
        <w:rPr>
          <w:rFonts w:ascii="Arial" w:eastAsia="Arial" w:hAnsi="Arial" w:cs="Arial"/>
          <w:color w:val="000000"/>
          <w:sz w:val="24"/>
          <w:szCs w:val="24"/>
        </w:rPr>
        <w:t xml:space="preserve">) </w:t>
      </w:r>
      <w:r>
        <w:rPr>
          <w:rFonts w:ascii="Arial" w:eastAsia="Arial" w:hAnsi="Arial" w:cs="Arial"/>
          <w:sz w:val="24"/>
          <w:szCs w:val="24"/>
        </w:rPr>
        <w:t xml:space="preserve">by </w:t>
      </w:r>
      <w:r>
        <w:rPr>
          <w:rFonts w:ascii="Arial" w:eastAsia="Arial" w:hAnsi="Arial" w:cs="Arial"/>
          <w:b/>
          <w:bCs/>
          <w:sz w:val="24"/>
          <w:szCs w:val="24"/>
        </w:rPr>
        <w:t>30 January 2023</w:t>
      </w:r>
      <w:r>
        <w:rPr>
          <w:rFonts w:ascii="Arial" w:eastAsia="Arial" w:hAnsi="Arial" w:cs="Arial"/>
          <w:sz w:val="24"/>
          <w:szCs w:val="24"/>
        </w:rPr>
        <w:t>.</w:t>
      </w:r>
    </w:p>
    <w:p w14:paraId="36A3689D" w14:textId="77777777" w:rsidR="00566154" w:rsidRDefault="00566154">
      <w:pPr>
        <w:pageBreakBefore/>
      </w:pPr>
    </w:p>
    <w:p w14:paraId="35F1328A" w14:textId="77777777" w:rsidR="00566154" w:rsidRDefault="00566154">
      <w:pPr>
        <w:jc w:val="center"/>
        <w:rPr>
          <w:rFonts w:ascii="Arial" w:hAnsi="Arial" w:cs="Arial"/>
          <w:b/>
          <w:bCs/>
          <w:sz w:val="28"/>
          <w:szCs w:val="28"/>
        </w:rPr>
      </w:pPr>
    </w:p>
    <w:p w14:paraId="012CBA5E" w14:textId="77777777" w:rsidR="00566154" w:rsidRDefault="00872502">
      <w:pPr>
        <w:jc w:val="center"/>
        <w:rPr>
          <w:rFonts w:ascii="Arial" w:hAnsi="Arial" w:cs="Arial"/>
          <w:b/>
          <w:bCs/>
          <w:sz w:val="28"/>
          <w:szCs w:val="28"/>
        </w:rPr>
      </w:pPr>
      <w:r>
        <w:rPr>
          <w:rFonts w:ascii="Arial" w:hAnsi="Arial" w:cs="Arial"/>
          <w:b/>
          <w:bCs/>
          <w:sz w:val="28"/>
          <w:szCs w:val="28"/>
        </w:rPr>
        <w:t>Table of Contents</w:t>
      </w:r>
    </w:p>
    <w:p w14:paraId="2BF660A5" w14:textId="77777777" w:rsidR="00566154" w:rsidRDefault="00566154"/>
    <w:p w14:paraId="25E67223" w14:textId="77777777" w:rsidR="00566154" w:rsidRDefault="00872502">
      <w:pPr>
        <w:pStyle w:val="TOC2"/>
        <w:tabs>
          <w:tab w:val="right" w:leader="dot" w:pos="9016"/>
        </w:tabs>
      </w:pPr>
      <w:r>
        <w:fldChar w:fldCharType="begin"/>
      </w:r>
      <w:r>
        <w:instrText xml:space="preserve"> TOC \o "1-3" \u \h </w:instrText>
      </w:r>
      <w:r>
        <w:fldChar w:fldCharType="separate"/>
      </w:r>
      <w:hyperlink w:anchor="_Toc119950640" w:history="1">
        <w:r>
          <w:rPr>
            <w:rStyle w:val="Hyperlink"/>
            <w:rFonts w:ascii="Arial" w:hAnsi="Arial" w:cs="Arial"/>
            <w:b/>
            <w:bCs/>
          </w:rPr>
          <w:t>The scope of this review</w:t>
        </w:r>
        <w:r>
          <w:tab/>
          <w:t>4</w:t>
        </w:r>
      </w:hyperlink>
    </w:p>
    <w:p w14:paraId="14B55FAD" w14:textId="77777777" w:rsidR="00566154" w:rsidRDefault="00446DC4">
      <w:pPr>
        <w:pStyle w:val="TOC1"/>
        <w:tabs>
          <w:tab w:val="right" w:leader="dot" w:pos="9016"/>
        </w:tabs>
      </w:pPr>
      <w:hyperlink w:anchor="_Toc119950641" w:history="1">
        <w:r w:rsidR="00872502">
          <w:rPr>
            <w:rStyle w:val="Hyperlink"/>
            <w:rFonts w:ascii="Arial" w:hAnsi="Arial" w:cs="Arial"/>
            <w:b/>
            <w:bCs/>
          </w:rPr>
          <w:t>Instructions</w:t>
        </w:r>
        <w:r w:rsidR="00872502">
          <w:tab/>
          <w:t>6</w:t>
        </w:r>
      </w:hyperlink>
    </w:p>
    <w:p w14:paraId="0D243F76" w14:textId="77777777" w:rsidR="00566154" w:rsidRDefault="00446DC4">
      <w:pPr>
        <w:pStyle w:val="TOC3"/>
      </w:pPr>
      <w:hyperlink w:anchor="_Toc119950642" w:history="1">
        <w:r w:rsidR="00872502">
          <w:rPr>
            <w:rStyle w:val="Hyperlink"/>
          </w:rPr>
          <w:t>Who should complete this form?</w:t>
        </w:r>
        <w:r w:rsidR="00872502">
          <w:tab/>
          <w:t>6</w:t>
        </w:r>
      </w:hyperlink>
    </w:p>
    <w:p w14:paraId="42A35843" w14:textId="77777777" w:rsidR="00566154" w:rsidRDefault="00446DC4">
      <w:pPr>
        <w:pStyle w:val="TOC2"/>
        <w:tabs>
          <w:tab w:val="right" w:leader="dot" w:pos="9016"/>
        </w:tabs>
      </w:pPr>
      <w:hyperlink w:anchor="_Toc119950643" w:history="1">
        <w:r w:rsidR="00872502">
          <w:rPr>
            <w:rStyle w:val="Hyperlink"/>
            <w:rFonts w:ascii="Arial" w:eastAsia="Times New Roman" w:hAnsi="Arial" w:cs="Arial"/>
            <w:lang w:eastAsia="en-GB"/>
          </w:rPr>
          <w:t>You should complete this form if you are would like to register your interest in this case.</w:t>
        </w:r>
        <w:r w:rsidR="00872502">
          <w:tab/>
          <w:t>6</w:t>
        </w:r>
      </w:hyperlink>
    </w:p>
    <w:p w14:paraId="0F7DE1FD" w14:textId="77777777" w:rsidR="00566154" w:rsidRDefault="00446DC4">
      <w:pPr>
        <w:pStyle w:val="TOC3"/>
      </w:pPr>
      <w:hyperlink w:anchor="_Toc119950644" w:history="1">
        <w:r w:rsidR="00872502">
          <w:rPr>
            <w:rStyle w:val="Hyperlink"/>
            <w:lang w:eastAsia="zh-CN"/>
          </w:rPr>
          <w:t>Note about confidentiality</w:t>
        </w:r>
        <w:r w:rsidR="00872502">
          <w:tab/>
          <w:t>6</w:t>
        </w:r>
      </w:hyperlink>
    </w:p>
    <w:p w14:paraId="6B536865" w14:textId="77777777" w:rsidR="00566154" w:rsidRDefault="00446DC4">
      <w:pPr>
        <w:pStyle w:val="TOC1"/>
        <w:tabs>
          <w:tab w:val="right" w:leader="dot" w:pos="9016"/>
        </w:tabs>
      </w:pPr>
      <w:hyperlink w:anchor="_Toc119950645" w:history="1">
        <w:r w:rsidR="00872502">
          <w:rPr>
            <w:rStyle w:val="Hyperlink"/>
            <w:rFonts w:ascii="Arial" w:hAnsi="Arial" w:cs="Arial"/>
            <w:b/>
            <w:bCs/>
          </w:rPr>
          <w:t>Section A – Your organisation’s interest in the case</w:t>
        </w:r>
        <w:r w:rsidR="00872502">
          <w:tab/>
          <w:t>7</w:t>
        </w:r>
      </w:hyperlink>
    </w:p>
    <w:p w14:paraId="79D8E173" w14:textId="77777777" w:rsidR="00566154" w:rsidRDefault="00446DC4">
      <w:pPr>
        <w:pStyle w:val="TOC1"/>
        <w:tabs>
          <w:tab w:val="right" w:leader="dot" w:pos="9016"/>
        </w:tabs>
      </w:pPr>
      <w:hyperlink w:anchor="_Toc119950646" w:history="1">
        <w:r w:rsidR="00872502">
          <w:rPr>
            <w:rStyle w:val="Hyperlink"/>
            <w:rFonts w:ascii="Arial" w:hAnsi="Arial" w:cs="Arial"/>
            <w:b/>
            <w:bCs/>
          </w:rPr>
          <w:t>Section B – Additional information</w:t>
        </w:r>
        <w:r w:rsidR="00872502">
          <w:tab/>
          <w:t>8</w:t>
        </w:r>
      </w:hyperlink>
    </w:p>
    <w:p w14:paraId="104DF53D" w14:textId="77777777" w:rsidR="00566154" w:rsidRDefault="00872502">
      <w:r>
        <w:fldChar w:fldCharType="end"/>
      </w:r>
    </w:p>
    <w:p w14:paraId="19C5CD66" w14:textId="77777777" w:rsidR="00566154" w:rsidRDefault="00566154"/>
    <w:p w14:paraId="54658A49" w14:textId="77777777" w:rsidR="00566154" w:rsidRDefault="00566154">
      <w:pPr>
        <w:pStyle w:val="Heading3"/>
        <w:rPr>
          <w:sz w:val="32"/>
        </w:rPr>
      </w:pPr>
    </w:p>
    <w:p w14:paraId="5676F041" w14:textId="77777777" w:rsidR="00566154" w:rsidRDefault="00566154">
      <w:pPr>
        <w:pageBreakBefore/>
        <w:rPr>
          <w:rFonts w:ascii="Arial" w:eastAsia="Times New Roman" w:hAnsi="Arial"/>
          <w:b/>
          <w:sz w:val="32"/>
          <w:szCs w:val="26"/>
        </w:rPr>
      </w:pPr>
    </w:p>
    <w:p w14:paraId="2BEBD05F" w14:textId="77777777" w:rsidR="00566154" w:rsidRDefault="00566154">
      <w:pPr>
        <w:pStyle w:val="Heading1"/>
        <w:rPr>
          <w:rFonts w:ascii="Arial" w:hAnsi="Arial" w:cs="Arial"/>
          <w:b/>
          <w:bCs/>
          <w:color w:val="auto"/>
        </w:rPr>
      </w:pPr>
      <w:bookmarkStart w:id="1" w:name="_Toc32519544"/>
      <w:bookmarkStart w:id="2" w:name="_Toc53524891"/>
    </w:p>
    <w:p w14:paraId="10A58F6D" w14:textId="77777777" w:rsidR="00566154" w:rsidRDefault="00872502">
      <w:pPr>
        <w:pStyle w:val="Heading2"/>
      </w:pPr>
      <w:bookmarkStart w:id="3" w:name="_Toc98165159"/>
      <w:bookmarkStart w:id="4" w:name="_Toc119950640"/>
      <w:r>
        <w:rPr>
          <w:rStyle w:val="normaltextrun"/>
          <w:rFonts w:ascii="Arial" w:hAnsi="Arial" w:cs="Arial"/>
          <w:b/>
          <w:bCs/>
          <w:color w:val="auto"/>
          <w:sz w:val="32"/>
          <w:szCs w:val="32"/>
        </w:rPr>
        <w:t>The scope of this review</w:t>
      </w:r>
      <w:bookmarkEnd w:id="3"/>
      <w:bookmarkEnd w:id="4"/>
    </w:p>
    <w:p w14:paraId="3A7C03F1" w14:textId="77777777" w:rsidR="00566154" w:rsidRDefault="00872502">
      <w:pPr>
        <w:pStyle w:val="paragraph"/>
        <w:spacing w:before="0" w:after="0"/>
        <w:textAlignment w:val="baseline"/>
      </w:pPr>
      <w:r>
        <w:rPr>
          <w:rStyle w:val="eop"/>
          <w:rFonts w:ascii="Arial" w:hAnsi="Arial" w:cs="Arial"/>
          <w:b/>
          <w:bCs/>
          <w:sz w:val="32"/>
          <w:szCs w:val="32"/>
        </w:rPr>
        <w:t xml:space="preserve"> </w:t>
      </w:r>
    </w:p>
    <w:p w14:paraId="42B008FF" w14:textId="77777777" w:rsidR="00566154" w:rsidRDefault="00566154">
      <w:pPr>
        <w:pStyle w:val="paragraph"/>
        <w:spacing w:before="0" w:after="0"/>
        <w:textAlignment w:val="baseline"/>
        <w:rPr>
          <w:rFonts w:ascii="Segoe UI" w:hAnsi="Segoe UI" w:cs="Segoe UI"/>
          <w:b/>
          <w:bCs/>
          <w:sz w:val="18"/>
          <w:szCs w:val="18"/>
        </w:rPr>
      </w:pPr>
    </w:p>
    <w:p w14:paraId="7655ED4F" w14:textId="77777777" w:rsidR="00566154" w:rsidRDefault="00872502">
      <w:pPr>
        <w:pStyle w:val="paragraph"/>
        <w:spacing w:before="0" w:after="0"/>
        <w:textAlignment w:val="baseline"/>
      </w:pPr>
      <w:r>
        <w:rPr>
          <w:rStyle w:val="normaltextrun"/>
          <w:rFonts w:ascii="Arial" w:hAnsi="Arial" w:cs="Arial"/>
          <w:b/>
          <w:bCs/>
          <w:sz w:val="28"/>
          <w:szCs w:val="32"/>
        </w:rPr>
        <w:t>Goods subject to review</w:t>
      </w:r>
    </w:p>
    <w:p w14:paraId="597DE543" w14:textId="77777777" w:rsidR="00566154" w:rsidRDefault="00566154">
      <w:pPr>
        <w:pStyle w:val="paragraph"/>
        <w:spacing w:before="0" w:after="0"/>
        <w:textAlignment w:val="baseline"/>
        <w:rPr>
          <w:rFonts w:ascii="Segoe UI" w:hAnsi="Segoe UI" w:cs="Segoe UI"/>
          <w:b/>
          <w:bCs/>
          <w:sz w:val="16"/>
          <w:szCs w:val="18"/>
        </w:rPr>
      </w:pPr>
    </w:p>
    <w:p w14:paraId="4DD11507" w14:textId="77777777" w:rsidR="00566154" w:rsidRDefault="00872502">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review covers steel goods exported from Oman, United Arab Emirates (UAE), and Egypt described as:</w:t>
      </w:r>
      <w:r>
        <w:rPr>
          <w:rStyle w:val="eop"/>
          <w:rFonts w:ascii="Arial" w:hAnsi="Arial" w:cs="Arial"/>
          <w:bCs/>
        </w:rPr>
        <w:t xml:space="preserve"> </w:t>
      </w:r>
    </w:p>
    <w:p w14:paraId="692097A4" w14:textId="77777777" w:rsidR="00566154" w:rsidRDefault="00566154">
      <w:pPr>
        <w:pStyle w:val="paragraph"/>
        <w:spacing w:before="0" w:after="0"/>
        <w:textAlignment w:val="baseline"/>
        <w:rPr>
          <w:rFonts w:ascii="Segoe UI" w:hAnsi="Segoe UI" w:cs="Segoe UI"/>
          <w:bCs/>
          <w:sz w:val="18"/>
          <w:szCs w:val="18"/>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566154" w14:paraId="75F1D2C6" w14:textId="77777777">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2665036" w14:textId="77777777" w:rsidR="00566154" w:rsidRDefault="00872502">
            <w:pPr>
              <w:spacing w:after="0"/>
              <w:rPr>
                <w:rFonts w:ascii="Arial" w:hAnsi="Arial" w:cs="Arial"/>
                <w:b/>
                <w:bCs/>
                <w:szCs w:val="24"/>
              </w:rPr>
            </w:pPr>
            <w:r>
              <w:rPr>
                <w:rFonts w:ascii="Arial" w:hAnsi="Arial" w:cs="Arial"/>
                <w:b/>
                <w:bCs/>
                <w:szCs w:val="24"/>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A1FF518" w14:textId="77777777" w:rsidR="00566154" w:rsidRDefault="00872502">
            <w:pPr>
              <w:spacing w:after="0"/>
              <w:rPr>
                <w:rFonts w:ascii="Arial" w:hAnsi="Arial" w:cs="Arial"/>
                <w:b/>
                <w:bCs/>
                <w:szCs w:val="24"/>
              </w:rPr>
            </w:pPr>
            <w:r>
              <w:rPr>
                <w:rFonts w:ascii="Arial" w:hAnsi="Arial" w:cs="Arial"/>
                <w:b/>
                <w:bCs/>
                <w:szCs w:val="24"/>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0A6C84" w14:textId="77777777" w:rsidR="00566154" w:rsidRDefault="00872502">
            <w:pPr>
              <w:spacing w:after="0"/>
              <w:rPr>
                <w:rFonts w:ascii="Arial" w:hAnsi="Arial" w:cs="Arial"/>
                <w:b/>
                <w:bCs/>
                <w:szCs w:val="24"/>
              </w:rPr>
            </w:pPr>
            <w:r>
              <w:rPr>
                <w:rFonts w:ascii="Arial" w:hAnsi="Arial" w:cs="Arial"/>
                <w:b/>
                <w:bCs/>
                <w:szCs w:val="24"/>
              </w:rPr>
              <w:t>Commodity Codes</w:t>
            </w:r>
          </w:p>
        </w:tc>
      </w:tr>
      <w:tr w:rsidR="00566154" w14:paraId="01D1CD15"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FF96D" w14:textId="77777777" w:rsidR="00566154" w:rsidRDefault="00872502">
            <w:pPr>
              <w:spacing w:after="0" w:line="276" w:lineRule="auto"/>
              <w:rPr>
                <w:rFonts w:ascii="Arial" w:hAnsi="Arial" w:cs="Arial"/>
                <w:szCs w:val="24"/>
              </w:rPr>
            </w:pPr>
            <w:r>
              <w:rPr>
                <w:rFonts w:ascii="Arial" w:hAnsi="Arial" w:cs="Arial"/>
                <w:szCs w:val="24"/>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0C269" w14:textId="77777777" w:rsidR="00566154" w:rsidRDefault="00872502">
            <w:pPr>
              <w:spacing w:after="0" w:line="276" w:lineRule="auto"/>
              <w:rPr>
                <w:rFonts w:ascii="Arial" w:hAnsi="Arial" w:cs="Arial"/>
                <w:szCs w:val="24"/>
              </w:rPr>
            </w:pPr>
            <w:r>
              <w:rPr>
                <w:rFonts w:ascii="Arial" w:hAnsi="Arial" w:cs="Arial"/>
                <w:szCs w:val="24"/>
              </w:rPr>
              <w:t>Rebar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EFAA2" w14:textId="77777777" w:rsidR="00566154" w:rsidRDefault="00872502">
            <w:pPr>
              <w:spacing w:after="0" w:line="276" w:lineRule="auto"/>
              <w:rPr>
                <w:rFonts w:ascii="Arial" w:hAnsi="Arial" w:cs="Arial"/>
                <w:szCs w:val="24"/>
              </w:rPr>
            </w:pPr>
            <w:r>
              <w:rPr>
                <w:rFonts w:ascii="Arial" w:hAnsi="Arial" w:cs="Arial"/>
                <w:szCs w:val="24"/>
              </w:rPr>
              <w:t>72142000, 72149910</w:t>
            </w:r>
          </w:p>
        </w:tc>
      </w:tr>
    </w:tbl>
    <w:p w14:paraId="68B542E4" w14:textId="77777777" w:rsidR="00566154" w:rsidRDefault="00566154">
      <w:pPr>
        <w:pStyle w:val="paragraph"/>
        <w:spacing w:before="0" w:after="0"/>
        <w:ind w:left="720"/>
        <w:textAlignment w:val="baseline"/>
        <w:rPr>
          <w:rFonts w:ascii="Segoe UI" w:hAnsi="Segoe UI" w:cs="Segoe UI"/>
          <w:sz w:val="18"/>
          <w:szCs w:val="18"/>
        </w:rPr>
      </w:pPr>
    </w:p>
    <w:p w14:paraId="0CD421BD" w14:textId="77777777" w:rsidR="00566154" w:rsidRDefault="00872502">
      <w:pPr>
        <w:pStyle w:val="paragraph"/>
        <w:spacing w:before="0" w:after="0"/>
        <w:textAlignment w:val="baseline"/>
      </w:pPr>
      <w:r>
        <w:rPr>
          <w:rStyle w:val="normaltextrun"/>
          <w:rFonts w:ascii="Arial" w:hAnsi="Arial" w:cs="Arial"/>
        </w:rPr>
        <w:t xml:space="preserve">These steel goods are currently classifiable within the commodity code(s) listed above. These commodity codes are only given for information. </w:t>
      </w:r>
      <w:r>
        <w:rPr>
          <w:rStyle w:val="eop"/>
          <w:rFonts w:ascii="Arial" w:hAnsi="Arial" w:cs="Arial"/>
        </w:rPr>
        <w:t xml:space="preserve"> </w:t>
      </w:r>
    </w:p>
    <w:p w14:paraId="411F1246" w14:textId="77777777" w:rsidR="00566154" w:rsidRDefault="00872502">
      <w:pPr>
        <w:pStyle w:val="paragraph"/>
        <w:spacing w:before="0" w:after="0"/>
        <w:textAlignment w:val="baseline"/>
      </w:pPr>
      <w:r>
        <w:rPr>
          <w:rStyle w:val="eop"/>
          <w:rFonts w:ascii="Arial" w:hAnsi="Arial" w:cs="Arial"/>
        </w:rPr>
        <w:t xml:space="preserve"> </w:t>
      </w:r>
    </w:p>
    <w:p w14:paraId="600CCD43" w14:textId="77777777" w:rsidR="00566154" w:rsidRDefault="00872502">
      <w:pPr>
        <w:pStyle w:val="paragraph"/>
        <w:spacing w:before="0" w:after="0"/>
        <w:textAlignment w:val="baseline"/>
      </w:pPr>
      <w:r>
        <w:rPr>
          <w:rStyle w:val="normaltextrun"/>
          <w:rFonts w:ascii="Arial" w:hAnsi="Arial" w:cs="Arial"/>
        </w:rPr>
        <w:t>In this document, these goods will be referred to as the goods subject to review. Any reference to goods subject to review</w:t>
      </w:r>
      <w:r>
        <w:rPr>
          <w:rStyle w:val="normaltextrun"/>
          <w:rFonts w:ascii="Arial" w:hAnsi="Arial" w:cs="Arial"/>
          <w:b/>
          <w:bCs/>
        </w:rPr>
        <w:t xml:space="preserve"> </w:t>
      </w:r>
      <w:r>
        <w:rPr>
          <w:rStyle w:val="normaltextrun"/>
          <w:rFonts w:ascii="Arial" w:hAnsi="Arial" w:cs="Arial"/>
        </w:rPr>
        <w:t>in this document refers to the goods described above, regardless of the commodity code under which they are exported.</w:t>
      </w:r>
      <w:r>
        <w:rPr>
          <w:rStyle w:val="eop"/>
          <w:rFonts w:ascii="Arial" w:hAnsi="Arial" w:cs="Arial"/>
        </w:rPr>
        <w:t xml:space="preserve"> </w:t>
      </w:r>
    </w:p>
    <w:p w14:paraId="662B6844" w14:textId="77777777" w:rsidR="00566154" w:rsidRDefault="00872502">
      <w:pPr>
        <w:pStyle w:val="paragraph"/>
        <w:spacing w:before="0" w:after="0"/>
        <w:jc w:val="right"/>
        <w:textAlignment w:val="baseline"/>
      </w:pPr>
      <w:r>
        <w:rPr>
          <w:rStyle w:val="eop"/>
          <w:rFonts w:ascii="Arial" w:hAnsi="Arial" w:cs="Arial"/>
        </w:rPr>
        <w:t xml:space="preserve"> </w:t>
      </w:r>
    </w:p>
    <w:p w14:paraId="2A4BEC3F" w14:textId="77777777" w:rsidR="00566154" w:rsidRDefault="00566154">
      <w:pPr>
        <w:pStyle w:val="paragraph"/>
        <w:spacing w:before="0" w:after="0"/>
        <w:textAlignment w:val="baseline"/>
        <w:rPr>
          <w:rFonts w:ascii="Segoe UI" w:hAnsi="Segoe UI" w:cs="Segoe UI"/>
          <w:sz w:val="18"/>
          <w:szCs w:val="18"/>
        </w:rPr>
      </w:pPr>
    </w:p>
    <w:p w14:paraId="3DB2E3CF" w14:textId="77777777" w:rsidR="00566154" w:rsidRDefault="00872502">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12DA5B83" w14:textId="77777777" w:rsidR="00566154" w:rsidRDefault="00566154">
      <w:pPr>
        <w:pStyle w:val="paragraph"/>
        <w:spacing w:before="0" w:after="0"/>
        <w:textAlignment w:val="baseline"/>
      </w:pPr>
    </w:p>
    <w:p w14:paraId="5DF565DD" w14:textId="77777777" w:rsidR="00566154" w:rsidRDefault="00872502">
      <w:pPr>
        <w:pStyle w:val="paragraph"/>
        <w:spacing w:before="0" w:after="0"/>
        <w:textAlignment w:val="baseline"/>
      </w:pPr>
      <w:r>
        <w:rPr>
          <w:rStyle w:val="normaltextrun"/>
          <w:rFonts w:ascii="Arial" w:hAnsi="Arial" w:cs="Arial"/>
        </w:rPr>
        <w:t xml:space="preserve">Any reference to ‘like goods’ in this document refers to goods produced in the UK or imported to the UK from a country other than </w:t>
      </w:r>
      <w:r>
        <w:rPr>
          <w:rStyle w:val="normaltextrun"/>
          <w:rFonts w:ascii="Arial" w:hAnsi="Arial" w:cs="Arial"/>
          <w:bCs/>
        </w:rPr>
        <w:t>Oman, UAE, and Egypt which are like the goods subject to review</w:t>
      </w:r>
      <w:r>
        <w:rPr>
          <w:rStyle w:val="normaltextrun"/>
          <w:rFonts w:ascii="Arial" w:hAnsi="Arial" w:cs="Arial"/>
          <w:b/>
        </w:rPr>
        <w:t xml:space="preserve"> </w:t>
      </w:r>
      <w:r>
        <w:rPr>
          <w:rStyle w:val="normaltextrun"/>
          <w:rFonts w:ascii="Arial" w:hAnsi="Arial" w:cs="Arial"/>
        </w:rPr>
        <w:t xml:space="preserve">in all respects, or with characteristics closely resembling them.  </w:t>
      </w:r>
    </w:p>
    <w:p w14:paraId="2A51AEBF" w14:textId="77777777" w:rsidR="00566154" w:rsidRDefault="00872502">
      <w:pPr>
        <w:pStyle w:val="paragraph"/>
        <w:spacing w:before="0" w:after="0"/>
        <w:textAlignment w:val="baseline"/>
      </w:pPr>
      <w:r>
        <w:rPr>
          <w:rStyle w:val="eop"/>
          <w:rFonts w:ascii="Arial" w:hAnsi="Arial" w:cs="Arial"/>
          <w:b/>
        </w:rPr>
        <w:t xml:space="preserve"> </w:t>
      </w:r>
    </w:p>
    <w:p w14:paraId="1AA9989A" w14:textId="77777777" w:rsidR="00566154" w:rsidRDefault="00872502">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774FFCCC" w14:textId="77777777" w:rsidR="00566154" w:rsidRDefault="00566154">
      <w:pPr>
        <w:spacing w:after="0"/>
      </w:pPr>
    </w:p>
    <w:p w14:paraId="52A2086F" w14:textId="77777777" w:rsidR="00566154" w:rsidRDefault="00872502">
      <w:pPr>
        <w:spacing w:after="0"/>
      </w:pPr>
      <w:r>
        <w:rPr>
          <w:rFonts w:ascii="Arial" w:hAnsi="Arial" w:cs="Arial"/>
          <w:sz w:val="24"/>
          <w:szCs w:val="24"/>
        </w:rPr>
        <w:t xml:space="preserve">For more information about this case, you may refer to the Notice of Initiation published at: </w:t>
      </w:r>
      <w:hyperlink r:id="rId7" w:history="1">
        <w:r>
          <w:rPr>
            <w:rFonts w:ascii="Arial" w:hAnsi="Arial" w:cs="Arial"/>
            <w:color w:val="0070C0"/>
            <w:sz w:val="24"/>
            <w:szCs w:val="24"/>
            <w:u w:val="single"/>
          </w:rPr>
          <w:t>Trade remedies (trade-remedies.service.gov.uk)</w:t>
        </w:r>
      </w:hyperlink>
    </w:p>
    <w:p w14:paraId="2D2A5A93" w14:textId="77777777" w:rsidR="00566154" w:rsidRDefault="00566154">
      <w:pPr>
        <w:pageBreakBefore/>
        <w:rPr>
          <w:rFonts w:ascii="Arial" w:hAnsi="Arial" w:cs="Arial"/>
          <w:sz w:val="24"/>
          <w:szCs w:val="24"/>
        </w:rPr>
      </w:pPr>
    </w:p>
    <w:p w14:paraId="4CE1817C" w14:textId="77777777" w:rsidR="00566154" w:rsidRDefault="00872502">
      <w:pPr>
        <w:pStyle w:val="Heading1"/>
        <w:rPr>
          <w:rFonts w:ascii="Arial" w:hAnsi="Arial" w:cs="Arial"/>
          <w:b/>
          <w:bCs/>
          <w:color w:val="auto"/>
        </w:rPr>
      </w:pPr>
      <w:bookmarkStart w:id="5" w:name="_Toc119950641"/>
      <w:r>
        <w:rPr>
          <w:rFonts w:ascii="Arial" w:hAnsi="Arial" w:cs="Arial"/>
          <w:b/>
          <w:bCs/>
          <w:color w:val="auto"/>
        </w:rPr>
        <w:t>Instructions</w:t>
      </w:r>
      <w:bookmarkEnd w:id="1"/>
      <w:bookmarkEnd w:id="2"/>
      <w:bookmarkEnd w:id="5"/>
    </w:p>
    <w:p w14:paraId="023141D9" w14:textId="77777777" w:rsidR="00566154" w:rsidRDefault="00566154"/>
    <w:p w14:paraId="36B7E678" w14:textId="77777777" w:rsidR="00566154" w:rsidRDefault="00872502">
      <w:pPr>
        <w:pStyle w:val="Heading3"/>
      </w:pPr>
      <w:bookmarkStart w:id="6" w:name="_Toc119950642"/>
      <w:r>
        <w:t>Who should complete this form?</w:t>
      </w:r>
      <w:bookmarkEnd w:id="6"/>
    </w:p>
    <w:p w14:paraId="48114BC2" w14:textId="77777777" w:rsidR="00566154" w:rsidRDefault="00566154">
      <w:pPr>
        <w:keepNext/>
        <w:keepLines/>
        <w:spacing w:before="40" w:after="0"/>
        <w:outlineLvl w:val="1"/>
        <w:rPr>
          <w:rFonts w:ascii="Arial" w:eastAsia="Times New Roman" w:hAnsi="Arial" w:cs="Arial"/>
          <w:color w:val="000000"/>
          <w:sz w:val="24"/>
          <w:szCs w:val="24"/>
          <w:lang w:eastAsia="en-GB"/>
        </w:rPr>
      </w:pPr>
    </w:p>
    <w:p w14:paraId="5A942ADD" w14:textId="77777777" w:rsidR="00566154" w:rsidRDefault="00872502">
      <w:pPr>
        <w:keepNext/>
        <w:keepLines/>
        <w:spacing w:before="40" w:after="0"/>
        <w:outlineLvl w:val="1"/>
        <w:rPr>
          <w:rFonts w:ascii="Arial" w:eastAsia="Times New Roman" w:hAnsi="Arial" w:cs="Arial"/>
          <w:color w:val="000000"/>
          <w:sz w:val="24"/>
          <w:szCs w:val="24"/>
          <w:lang w:eastAsia="en-GB"/>
        </w:rPr>
      </w:pPr>
      <w:bookmarkStart w:id="7" w:name="_Toc78880221"/>
      <w:bookmarkStart w:id="8" w:name="_Toc119950643"/>
      <w:r>
        <w:rPr>
          <w:rFonts w:ascii="Arial" w:eastAsia="Times New Roman" w:hAnsi="Arial" w:cs="Arial"/>
          <w:color w:val="000000"/>
          <w:sz w:val="24"/>
          <w:szCs w:val="24"/>
          <w:lang w:eastAsia="en-GB"/>
        </w:rPr>
        <w:t xml:space="preserve">You should complete this form if you </w:t>
      </w:r>
      <w:proofErr w:type="gramStart"/>
      <w:r>
        <w:rPr>
          <w:rFonts w:ascii="Arial" w:eastAsia="Times New Roman" w:hAnsi="Arial" w:cs="Arial"/>
          <w:color w:val="000000"/>
          <w:sz w:val="24"/>
          <w:szCs w:val="24"/>
          <w:lang w:eastAsia="en-GB"/>
        </w:rPr>
        <w:t>are would like</w:t>
      </w:r>
      <w:proofErr w:type="gramEnd"/>
      <w:r>
        <w:rPr>
          <w:rFonts w:ascii="Arial" w:eastAsia="Times New Roman" w:hAnsi="Arial" w:cs="Arial"/>
          <w:color w:val="000000"/>
          <w:sz w:val="24"/>
          <w:szCs w:val="24"/>
          <w:lang w:eastAsia="en-GB"/>
        </w:rPr>
        <w:t xml:space="preserve"> to register your interest in this case.</w:t>
      </w:r>
      <w:bookmarkEnd w:id="7"/>
      <w:bookmarkEnd w:id="8"/>
    </w:p>
    <w:p w14:paraId="013D54E1" w14:textId="77777777" w:rsidR="00566154" w:rsidRDefault="00566154">
      <w:pPr>
        <w:keepNext/>
        <w:keepLines/>
        <w:spacing w:before="40" w:after="0"/>
        <w:outlineLvl w:val="1"/>
        <w:rPr>
          <w:rFonts w:ascii="Arial" w:eastAsia="Times New Roman" w:hAnsi="Arial" w:cs="Arial"/>
          <w:color w:val="000000"/>
          <w:sz w:val="24"/>
          <w:szCs w:val="24"/>
          <w:lang w:eastAsia="en-GB"/>
        </w:rPr>
      </w:pPr>
    </w:p>
    <w:p w14:paraId="28EDE121" w14:textId="77777777" w:rsidR="00566154" w:rsidRDefault="00872502">
      <w:pPr>
        <w:pStyle w:val="Heading3"/>
        <w:rPr>
          <w:rFonts w:cs="Arial"/>
          <w:lang w:eastAsia="zh-CN"/>
        </w:rPr>
      </w:pPr>
      <w:bookmarkStart w:id="9" w:name="_Toc32519549"/>
      <w:bookmarkStart w:id="10" w:name="_Toc53524892"/>
      <w:bookmarkStart w:id="11" w:name="_Toc53524939"/>
      <w:bookmarkStart w:id="12" w:name="_Toc53525039"/>
      <w:bookmarkStart w:id="13" w:name="_Toc119950644"/>
      <w:r>
        <w:rPr>
          <w:rFonts w:cs="Arial"/>
          <w:lang w:eastAsia="zh-CN"/>
        </w:rPr>
        <w:t>Note about confidentiality</w:t>
      </w:r>
      <w:bookmarkEnd w:id="9"/>
      <w:bookmarkEnd w:id="10"/>
      <w:bookmarkEnd w:id="11"/>
      <w:bookmarkEnd w:id="12"/>
      <w:bookmarkEnd w:id="13"/>
    </w:p>
    <w:p w14:paraId="48E27AF7" w14:textId="77777777" w:rsidR="00566154" w:rsidRDefault="00872502">
      <w:pPr>
        <w:pStyle w:val="NormalWeb"/>
        <w:rPr>
          <w:rFonts w:ascii="Arial" w:hAnsi="Arial" w:cs="Arial"/>
          <w:color w:val="000000"/>
        </w:rPr>
      </w:pPr>
      <w:bookmarkStart w:id="14" w:name="_Hlk4494759"/>
      <w:bookmarkEnd w:id="14"/>
      <w:r>
        <w:rPr>
          <w:rFonts w:ascii="Arial" w:hAnsi="Arial" w:cs="Arial"/>
          <w:color w:val="000000"/>
        </w:rPr>
        <w:t>You will need to submit one confidential version and one non-confidential version of this document.</w:t>
      </w:r>
    </w:p>
    <w:p w14:paraId="3394421E" w14:textId="77777777" w:rsidR="00566154" w:rsidRDefault="00872502">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59B935BD" w14:textId="77777777" w:rsidR="00566154" w:rsidRDefault="00872502">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14F8062" w14:textId="77777777" w:rsidR="00566154" w:rsidRDefault="00872502">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51FCF895" w14:textId="77777777" w:rsidR="00566154" w:rsidRDefault="00872502">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14:paraId="70D942D1" w14:textId="77777777" w:rsidR="00566154" w:rsidRDefault="00872502">
      <w:pPr>
        <w:pStyle w:val="NormalWeb"/>
      </w:pPr>
      <w:r>
        <w:rPr>
          <w:rFonts w:ascii="Arial" w:hAnsi="Arial" w:cs="Arial"/>
          <w:color w:val="000000"/>
        </w:rPr>
        <w:t xml:space="preserve">The non-confidential version of your submission will be placed on the public file, which is available on: </w:t>
      </w:r>
      <w:hyperlink r:id="rId9" w:history="1">
        <w:r>
          <w:rPr>
            <w:rFonts w:ascii="Arial" w:hAnsi="Arial" w:cs="Arial"/>
            <w:color w:val="0070C0"/>
            <w:u w:val="single"/>
          </w:rPr>
          <w:t>Trade remedies (trade-remedies.service.gov.uk)</w:t>
        </w:r>
      </w:hyperlink>
    </w:p>
    <w:p w14:paraId="59E55232" w14:textId="77777777" w:rsidR="00566154" w:rsidRDefault="00566154">
      <w:pPr>
        <w:keepNext/>
        <w:keepLines/>
        <w:spacing w:before="40" w:after="0"/>
        <w:outlineLvl w:val="1"/>
        <w:rPr>
          <w:rFonts w:ascii="Arial" w:eastAsia="Times New Roman" w:hAnsi="Arial"/>
          <w:b/>
          <w:sz w:val="32"/>
          <w:szCs w:val="26"/>
        </w:rPr>
      </w:pPr>
    </w:p>
    <w:p w14:paraId="4D8F352F" w14:textId="77777777" w:rsidR="00566154" w:rsidRDefault="00566154">
      <w:pPr>
        <w:pageBreakBefore/>
        <w:rPr>
          <w:rFonts w:ascii="Arial" w:eastAsia="Times New Roman" w:hAnsi="Arial"/>
          <w:b/>
          <w:sz w:val="32"/>
          <w:szCs w:val="26"/>
        </w:rPr>
      </w:pPr>
    </w:p>
    <w:p w14:paraId="09F830EE" w14:textId="77777777" w:rsidR="00566154" w:rsidRDefault="00872502">
      <w:pPr>
        <w:pStyle w:val="Heading1"/>
        <w:rPr>
          <w:rFonts w:ascii="Arial" w:hAnsi="Arial" w:cs="Arial"/>
          <w:b/>
          <w:bCs/>
          <w:color w:val="auto"/>
        </w:rPr>
      </w:pPr>
      <w:bookmarkStart w:id="15" w:name="_Toc53524893"/>
      <w:bookmarkStart w:id="16" w:name="_Toc119950645"/>
      <w:r>
        <w:rPr>
          <w:rFonts w:ascii="Arial" w:hAnsi="Arial" w:cs="Arial"/>
          <w:b/>
          <w:bCs/>
          <w:color w:val="auto"/>
        </w:rPr>
        <w:t xml:space="preserve">Section A – Your </w:t>
      </w:r>
      <w:bookmarkEnd w:id="0"/>
      <w:r>
        <w:rPr>
          <w:rFonts w:ascii="Arial" w:hAnsi="Arial" w:cs="Arial"/>
          <w:b/>
          <w:bCs/>
          <w:color w:val="auto"/>
        </w:rPr>
        <w:t>organisation’s interest in the case</w:t>
      </w:r>
      <w:bookmarkEnd w:id="15"/>
      <w:bookmarkEnd w:id="16"/>
    </w:p>
    <w:p w14:paraId="1179E0AC" w14:textId="77777777" w:rsidR="00566154" w:rsidRDefault="00566154">
      <w:pPr>
        <w:spacing w:after="0" w:line="22" w:lineRule="atLeast"/>
        <w:rPr>
          <w:rFonts w:eastAsia="Arial" w:cs="Arial"/>
          <w:sz w:val="24"/>
          <w:szCs w:val="24"/>
        </w:rPr>
      </w:pPr>
    </w:p>
    <w:p w14:paraId="0BACE188" w14:textId="77777777" w:rsidR="00566154" w:rsidRDefault="00872502">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0254D6FB" w14:textId="77777777" w:rsidR="00566154" w:rsidRDefault="00566154">
      <w:pPr>
        <w:spacing w:after="0" w:line="22" w:lineRule="atLeast"/>
      </w:pPr>
    </w:p>
    <w:p w14:paraId="0BC813FC" w14:textId="77777777" w:rsidR="00566154" w:rsidRDefault="00872502">
      <w:pPr>
        <w:spacing w:after="0" w:line="22" w:lineRule="atLeast"/>
        <w:rPr>
          <w:rFonts w:ascii="Arial" w:hAnsi="Arial" w:cs="Arial"/>
          <w:sz w:val="24"/>
          <w:szCs w:val="24"/>
        </w:rPr>
      </w:pPr>
      <w:r>
        <w:rPr>
          <w:rFonts w:ascii="Arial" w:hAnsi="Arial" w:cs="Arial"/>
          <w:sz w:val="24"/>
          <w:szCs w:val="24"/>
        </w:rPr>
        <w:t>Please describe your role with regards to the goods subject to review:</w:t>
      </w:r>
    </w:p>
    <w:p w14:paraId="15B351E4" w14:textId="77777777" w:rsidR="00566154" w:rsidRDefault="00872502">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BD892A4" wp14:editId="2E7E5507">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7AB32FE" w14:textId="77777777" w:rsidR="003E18E4" w:rsidRPr="003E18E4" w:rsidRDefault="003E18E4" w:rsidP="003E18E4">
                            <w:pPr>
                              <w:rPr>
                                <w:color w:val="4472C4" w:themeColor="accent1"/>
                              </w:rPr>
                            </w:pPr>
                            <w:r w:rsidRPr="003E18E4">
                              <w:rPr>
                                <w:color w:val="4472C4" w:themeColor="accent1"/>
                              </w:rPr>
                              <w:t>Liberty Steel is a UK producer of the goods under review.</w:t>
                            </w:r>
                          </w:p>
                          <w:p w14:paraId="76359F1B" w14:textId="005E2B2E" w:rsidR="00566154" w:rsidRDefault="00566154"/>
                        </w:txbxContent>
                      </wps:txbx>
                      <wps:bodyPr vert="horz" wrap="square" lIns="91440" tIns="45720" rIns="91440" bIns="45720" anchor="t" anchorCtr="0" compatLnSpc="0">
                        <a:noAutofit/>
                      </wps:bodyPr>
                    </wps:wsp>
                  </a:graphicData>
                </a:graphic>
              </wp:anchor>
            </w:drawing>
          </mc:Choice>
          <mc:Fallback>
            <w:pict>
              <v:shapetype w14:anchorId="2BD892A4"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37AB32FE" w14:textId="77777777" w:rsidR="003E18E4" w:rsidRPr="003E18E4" w:rsidRDefault="003E18E4" w:rsidP="003E18E4">
                      <w:pPr>
                        <w:rPr>
                          <w:color w:val="4472C4" w:themeColor="accent1"/>
                        </w:rPr>
                      </w:pPr>
                      <w:r w:rsidRPr="003E18E4">
                        <w:rPr>
                          <w:color w:val="4472C4" w:themeColor="accent1"/>
                        </w:rPr>
                        <w:t>Liberty Steel is a UK producer of the goods under review.</w:t>
                      </w:r>
                    </w:p>
                    <w:p w14:paraId="76359F1B" w14:textId="005E2B2E" w:rsidR="00566154" w:rsidRDefault="00566154"/>
                  </w:txbxContent>
                </v:textbox>
                <w10:wrap type="square" anchorx="margin"/>
              </v:shape>
            </w:pict>
          </mc:Fallback>
        </mc:AlternateContent>
      </w:r>
    </w:p>
    <w:p w14:paraId="1B5949CC" w14:textId="77777777" w:rsidR="00566154" w:rsidRDefault="00566154">
      <w:pPr>
        <w:spacing w:line="22" w:lineRule="atLeast"/>
        <w:rPr>
          <w:rFonts w:ascii="Arial" w:hAnsi="Arial" w:cs="Arial"/>
          <w:sz w:val="24"/>
          <w:szCs w:val="24"/>
        </w:rPr>
      </w:pPr>
    </w:p>
    <w:p w14:paraId="4B70E79F" w14:textId="77777777" w:rsidR="00566154" w:rsidRDefault="00872502">
      <w:pPr>
        <w:spacing w:line="22" w:lineRule="atLeast"/>
      </w:pPr>
      <w:r>
        <w:rPr>
          <w:rFonts w:ascii="Arial" w:hAnsi="Arial" w:cs="Arial"/>
          <w:sz w:val="24"/>
          <w:szCs w:val="24"/>
        </w:rPr>
        <w:t>Please describe your interest in this review:</w:t>
      </w:r>
    </w:p>
    <w:p w14:paraId="45728C0D" w14:textId="77777777" w:rsidR="00566154" w:rsidRDefault="00872502">
      <w:pPr>
        <w:spacing w:line="22" w:lineRule="atLeast"/>
      </w:pPr>
      <w:r>
        <w:rPr>
          <w:noProof/>
        </w:rPr>
        <mc:AlternateContent>
          <mc:Choice Requires="wps">
            <w:drawing>
              <wp:anchor distT="0" distB="0" distL="114300" distR="114300" simplePos="0" relativeHeight="251658241" behindDoc="0" locked="0" layoutInCell="1" allowOverlap="1" wp14:anchorId="3F90B0E7" wp14:editId="2CDF731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E643B19" w14:textId="1C5FB016" w:rsidR="00566154" w:rsidRPr="00946FC3" w:rsidRDefault="00946FC3">
                            <w:pPr>
                              <w:rPr>
                                <w:color w:val="4472C4" w:themeColor="accent1"/>
                              </w:rPr>
                            </w:pPr>
                            <w:r w:rsidRPr="003E18E4">
                              <w:rPr>
                                <w:color w:val="4472C4" w:themeColor="accent1"/>
                              </w:rPr>
                              <w:t xml:space="preserve">Liberty Steel is </w:t>
                            </w:r>
                            <w:r>
                              <w:rPr>
                                <w:color w:val="4472C4" w:themeColor="accent1"/>
                              </w:rPr>
                              <w:t>aware of increasing imports</w:t>
                            </w:r>
                            <w:r w:rsidR="004D3D6B">
                              <w:rPr>
                                <w:color w:val="4472C4" w:themeColor="accent1"/>
                              </w:rPr>
                              <w:t xml:space="preserve"> of the goods under review</w:t>
                            </w:r>
                            <w:r>
                              <w:rPr>
                                <w:color w:val="4472C4" w:themeColor="accent1"/>
                              </w:rPr>
                              <w:t xml:space="preserve"> coming from the above-mentioned developing countries and request that a review of the current safeguarding measures be undertaken. </w:t>
                            </w:r>
                          </w:p>
                        </w:txbxContent>
                      </wps:txbx>
                      <wps:bodyPr vert="horz" wrap="square" lIns="91440" tIns="45720" rIns="91440" bIns="45720" anchor="t" anchorCtr="0" compatLnSpc="0">
                        <a:noAutofit/>
                      </wps:bodyPr>
                    </wps:wsp>
                  </a:graphicData>
                </a:graphic>
              </wp:anchor>
            </w:drawing>
          </mc:Choice>
          <mc:Fallback>
            <w:pict>
              <v:shape w14:anchorId="3F90B0E7"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4E643B19" w14:textId="1C5FB016" w:rsidR="00566154" w:rsidRPr="00946FC3" w:rsidRDefault="00946FC3">
                      <w:pPr>
                        <w:rPr>
                          <w:color w:val="4472C4" w:themeColor="accent1"/>
                        </w:rPr>
                      </w:pPr>
                      <w:r w:rsidRPr="003E18E4">
                        <w:rPr>
                          <w:color w:val="4472C4" w:themeColor="accent1"/>
                        </w:rPr>
                        <w:t xml:space="preserve">Liberty Steel is </w:t>
                      </w:r>
                      <w:r>
                        <w:rPr>
                          <w:color w:val="4472C4" w:themeColor="accent1"/>
                        </w:rPr>
                        <w:t>aware of increasing imports</w:t>
                      </w:r>
                      <w:r w:rsidR="004D3D6B">
                        <w:rPr>
                          <w:color w:val="4472C4" w:themeColor="accent1"/>
                        </w:rPr>
                        <w:t xml:space="preserve"> of the goods under review</w:t>
                      </w:r>
                      <w:r>
                        <w:rPr>
                          <w:color w:val="4472C4" w:themeColor="accent1"/>
                        </w:rPr>
                        <w:t xml:space="preserve"> coming from the above-mentioned developing countries and request that a review of the current safeguarding measures be undertaken. </w:t>
                      </w:r>
                    </w:p>
                  </w:txbxContent>
                </v:textbox>
                <w10:wrap type="square" anchorx="margin"/>
              </v:shape>
            </w:pict>
          </mc:Fallback>
        </mc:AlternateContent>
      </w:r>
    </w:p>
    <w:p w14:paraId="5673A33E" w14:textId="77777777" w:rsidR="00566154" w:rsidRDefault="00566154"/>
    <w:p w14:paraId="2D4A572B" w14:textId="77777777" w:rsidR="00566154" w:rsidRDefault="00566154">
      <w:pPr>
        <w:rPr>
          <w:rFonts w:ascii="Arial" w:eastAsia="Times New Roman" w:hAnsi="Arial"/>
          <w:b/>
          <w:sz w:val="32"/>
          <w:szCs w:val="26"/>
        </w:rPr>
      </w:pPr>
      <w:bookmarkStart w:id="17" w:name="_Toc32519559"/>
    </w:p>
    <w:p w14:paraId="17FED7B4" w14:textId="77777777" w:rsidR="00566154" w:rsidRDefault="00872502">
      <w:pPr>
        <w:pStyle w:val="Heading1"/>
        <w:pageBreakBefore/>
        <w:rPr>
          <w:rFonts w:ascii="Arial" w:hAnsi="Arial" w:cs="Arial"/>
          <w:b/>
          <w:bCs/>
          <w:color w:val="auto"/>
        </w:rPr>
      </w:pPr>
      <w:bookmarkStart w:id="18" w:name="_Toc53524894"/>
      <w:bookmarkStart w:id="19" w:name="_Toc11995064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26A5C805" w14:textId="77777777" w:rsidR="00566154" w:rsidRDefault="00566154"/>
    <w:p w14:paraId="40F72110" w14:textId="77777777" w:rsidR="00566154" w:rsidRDefault="00872502">
      <w:pPr>
        <w:spacing w:after="0"/>
        <w:textAlignment w:val="auto"/>
        <w:rPr>
          <w:rFonts w:ascii="Arial" w:eastAsia="Yu Mincho" w:hAnsi="Arial" w:cs="Arial"/>
          <w:sz w:val="24"/>
          <w:szCs w:val="24"/>
        </w:rPr>
      </w:pPr>
      <w:r>
        <w:rPr>
          <w:rFonts w:ascii="Arial" w:eastAsia="Yu Mincho" w:hAnsi="Arial" w:cs="Arial"/>
          <w:sz w:val="24"/>
          <w:szCs w:val="24"/>
        </w:rPr>
        <w:t>Please use the box below to provide information about anything else you consider relevant to this review</w:t>
      </w:r>
    </w:p>
    <w:p w14:paraId="63BC33F5" w14:textId="77777777" w:rsidR="00566154" w:rsidRDefault="00872502">
      <w:r>
        <w:rPr>
          <w:noProof/>
        </w:rPr>
        <mc:AlternateContent>
          <mc:Choice Requires="wps">
            <w:drawing>
              <wp:anchor distT="0" distB="0" distL="114300" distR="114300" simplePos="0" relativeHeight="251658244" behindDoc="0" locked="0" layoutInCell="1" allowOverlap="1" wp14:anchorId="134E5BA0" wp14:editId="4C7209CF">
                <wp:simplePos x="0" y="0"/>
                <wp:positionH relativeFrom="margin">
                  <wp:align>left</wp:align>
                </wp:positionH>
                <wp:positionV relativeFrom="paragraph">
                  <wp:posOffset>269240</wp:posOffset>
                </wp:positionV>
                <wp:extent cx="5704840" cy="1733550"/>
                <wp:effectExtent l="0" t="0" r="10160" b="19050"/>
                <wp:wrapSquare wrapText="bothSides"/>
                <wp:docPr id="4" name="Text Box 4"/>
                <wp:cNvGraphicFramePr/>
                <a:graphic xmlns:a="http://schemas.openxmlformats.org/drawingml/2006/main">
                  <a:graphicData uri="http://schemas.microsoft.com/office/word/2010/wordprocessingShape">
                    <wps:wsp>
                      <wps:cNvSpPr txBox="1"/>
                      <wps:spPr>
                        <a:xfrm>
                          <a:off x="0" y="0"/>
                          <a:ext cx="5704840" cy="1733550"/>
                        </a:xfrm>
                        <a:prstGeom prst="rect">
                          <a:avLst/>
                        </a:prstGeom>
                        <a:solidFill>
                          <a:srgbClr val="FFFFFF"/>
                        </a:solidFill>
                        <a:ln w="9528">
                          <a:solidFill>
                            <a:srgbClr val="000000"/>
                          </a:solidFill>
                          <a:prstDash val="solid"/>
                        </a:ln>
                      </wps:spPr>
                      <wps:txbx>
                        <w:txbxContent>
                          <w:p w14:paraId="4F9E0CBD" w14:textId="77777777" w:rsidR="00B65C0C" w:rsidRDefault="004D3D6B" w:rsidP="00B65C0C">
                            <w:r w:rsidRPr="003E18E4">
                              <w:rPr>
                                <w:color w:val="4472C4" w:themeColor="accent1"/>
                              </w:rPr>
                              <w:t>Liberty Steel</w:t>
                            </w:r>
                            <w:r>
                              <w:rPr>
                                <w:color w:val="4472C4" w:themeColor="accent1"/>
                              </w:rPr>
                              <w:t xml:space="preserve"> welcomes the </w:t>
                            </w:r>
                            <w:r w:rsidRPr="004D3D6B">
                              <w:rPr>
                                <w:color w:val="4472C4" w:themeColor="accent1"/>
                              </w:rPr>
                              <w:t>proposal to revise and expand the scope and matters of the review to conduct a full DCE review across all steel categories</w:t>
                            </w:r>
                            <w:r w:rsidR="00B65C0C">
                              <w:rPr>
                                <w:color w:val="4472C4" w:themeColor="accent1"/>
                              </w:rPr>
                              <w:t xml:space="preserve"> including but not limited to the following:</w:t>
                            </w:r>
                            <w:r w:rsidR="00B65C0C" w:rsidRPr="00B65C0C">
                              <w:t xml:space="preserve"> </w:t>
                            </w:r>
                          </w:p>
                          <w:p w14:paraId="0CC2B5FE" w14:textId="17D08783" w:rsidR="00B65C0C" w:rsidRPr="00B65C0C" w:rsidRDefault="00B65C0C" w:rsidP="00B65C0C">
                            <w:pPr>
                              <w:rPr>
                                <w:color w:val="4472C4" w:themeColor="accent1"/>
                              </w:rPr>
                            </w:pPr>
                            <w:r w:rsidRPr="00B65C0C">
                              <w:rPr>
                                <w:color w:val="4472C4" w:themeColor="accent1"/>
                              </w:rPr>
                              <w:t>Liberty Pipes Hartlepool is a manufacturer of LSAW Linepipe.  The LSAW Linepipe manufacturing process uses steel plates as feedstock/raw material.  Liberty Pipes Hartlepool is required to import well over 80% of our raw materials (carbon steel plate) due to lack of availability from any UK manufacturer.  Current safeguarding rules and quotas make no allowance for this.</w:t>
                            </w:r>
                          </w:p>
                          <w:p w14:paraId="702EDDE9" w14:textId="414ADB3C" w:rsidR="00B65C0C" w:rsidRPr="00B65C0C" w:rsidRDefault="00B65C0C" w:rsidP="00B65C0C">
                            <w:pPr>
                              <w:rPr>
                                <w:color w:val="4472C4" w:themeColor="accent1"/>
                              </w:rPr>
                            </w:pPr>
                            <w:r w:rsidRPr="00B65C0C">
                              <w:rPr>
                                <w:color w:val="4472C4" w:themeColor="accent1"/>
                              </w:rPr>
                              <w:t>We register our desire for a review of how the relevant product category (07) is defined.</w:t>
                            </w:r>
                          </w:p>
                          <w:p w14:paraId="15A39874" w14:textId="1846E881" w:rsidR="00566154" w:rsidRDefault="00566154">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34E5BA0" id="_x0000_s1028" type="#_x0000_t202" style="position:absolute;margin-left:0;margin-top:21.2pt;width:449.2pt;height:136.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" strokeweight=".26467mm">
                <v:textbox>
                  <w:txbxContent>
                    <w:p w14:paraId="4F9E0CBD" w14:textId="77777777" w:rsidR="00B65C0C" w:rsidRDefault="004D3D6B" w:rsidP="00B65C0C">
                      <w:r w:rsidRPr="003E18E4">
                        <w:rPr>
                          <w:color w:val="4472C4" w:themeColor="accent1"/>
                        </w:rPr>
                        <w:t>Liberty Steel</w:t>
                      </w:r>
                      <w:r>
                        <w:rPr>
                          <w:color w:val="4472C4" w:themeColor="accent1"/>
                        </w:rPr>
                        <w:t xml:space="preserve"> welcomes the </w:t>
                      </w:r>
                      <w:r w:rsidRPr="004D3D6B">
                        <w:rPr>
                          <w:color w:val="4472C4" w:themeColor="accent1"/>
                        </w:rPr>
                        <w:t>proposal to revise and expand the scope and matters of the review to conduct a full DCE review across all steel categories</w:t>
                      </w:r>
                      <w:r w:rsidR="00B65C0C">
                        <w:rPr>
                          <w:color w:val="4472C4" w:themeColor="accent1"/>
                        </w:rPr>
                        <w:t xml:space="preserve"> including but not limited to the following:</w:t>
                      </w:r>
                      <w:r w:rsidR="00B65C0C" w:rsidRPr="00B65C0C">
                        <w:t xml:space="preserve"> </w:t>
                      </w:r>
                    </w:p>
                    <w:p w14:paraId="0CC2B5FE" w14:textId="17D08783" w:rsidR="00B65C0C" w:rsidRPr="00B65C0C" w:rsidRDefault="00B65C0C" w:rsidP="00B65C0C">
                      <w:pPr>
                        <w:rPr>
                          <w:color w:val="4472C4" w:themeColor="accent1"/>
                        </w:rPr>
                      </w:pPr>
                      <w:r w:rsidRPr="00B65C0C">
                        <w:rPr>
                          <w:color w:val="4472C4" w:themeColor="accent1"/>
                        </w:rPr>
                        <w:t>Liberty Pipes Hartlepool is a manufacturer of LSAW Linepipe.  The LSAW Linepipe manufacturing process uses steel plates as feedstock/raw material.  Liberty Pipes Hartlepool is required to import well over 80% of our raw materials (carbon steel plate) due to lack of availability from any UK manufacturer.  Current safeguarding rules and quotas make no allowance for this.</w:t>
                      </w:r>
                    </w:p>
                    <w:p w14:paraId="702EDDE9" w14:textId="414ADB3C" w:rsidR="00B65C0C" w:rsidRPr="00B65C0C" w:rsidRDefault="00B65C0C" w:rsidP="00B65C0C">
                      <w:pPr>
                        <w:rPr>
                          <w:color w:val="4472C4" w:themeColor="accent1"/>
                        </w:rPr>
                      </w:pPr>
                      <w:r w:rsidRPr="00B65C0C">
                        <w:rPr>
                          <w:color w:val="4472C4" w:themeColor="accent1"/>
                        </w:rPr>
                        <w:t>We register our desire for a review of how the relevant product category (07) is defined.</w:t>
                      </w:r>
                    </w:p>
                    <w:p w14:paraId="15A39874" w14:textId="1846E881" w:rsidR="00566154" w:rsidRDefault="00566154">
                      <w:pPr>
                        <w:rPr>
                          <w:rFonts w:cs="Arial"/>
                        </w:rPr>
                      </w:pPr>
                    </w:p>
                  </w:txbxContent>
                </v:textbox>
                <w10:wrap type="square" anchorx="margin"/>
              </v:shape>
            </w:pict>
          </mc:Fallback>
        </mc:AlternateContent>
      </w:r>
    </w:p>
    <w:p w14:paraId="46223357" w14:textId="77777777" w:rsidR="00566154" w:rsidRDefault="00566154">
      <w:pPr>
        <w:pStyle w:val="NormalWeb"/>
        <w:spacing w:line="22" w:lineRule="atLeast"/>
        <w:contextualSpacing/>
        <w:rPr>
          <w:rFonts w:eastAsia="Arial" w:cs="Arial"/>
          <w:b/>
          <w:i/>
          <w:color w:val="FF0000"/>
          <w:szCs w:val="22"/>
        </w:rPr>
      </w:pPr>
    </w:p>
    <w:p w14:paraId="29187BAE" w14:textId="77777777" w:rsidR="00566154" w:rsidRDefault="00872502">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2B4D8B58" w14:textId="77777777" w:rsidR="00566154" w:rsidRDefault="00566154">
      <w:pPr>
        <w:rPr>
          <w:lang w:eastAsia="en-GB"/>
        </w:rPr>
      </w:pPr>
    </w:p>
    <w:p w14:paraId="58E76D3C" w14:textId="77777777" w:rsidR="00566154" w:rsidRDefault="00566154"/>
    <w:p w14:paraId="41566E77" w14:textId="77777777" w:rsidR="00566154" w:rsidRDefault="00566154"/>
    <w:sectPr w:rsidR="00566154">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8DB6" w14:textId="77777777" w:rsidR="00DC1CBD" w:rsidRDefault="00872502">
      <w:pPr>
        <w:spacing w:after="0"/>
      </w:pPr>
      <w:r>
        <w:separator/>
      </w:r>
    </w:p>
  </w:endnote>
  <w:endnote w:type="continuationSeparator" w:id="0">
    <w:p w14:paraId="5C4ACA30" w14:textId="77777777" w:rsidR="00DC1CBD" w:rsidRDefault="00872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4C84" w14:textId="77777777" w:rsidR="00946DA3" w:rsidRDefault="0087250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85020F3" w14:textId="77777777" w:rsidR="00946DA3" w:rsidRDefault="00446DC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2102" w14:textId="77777777" w:rsidR="00DC1CBD" w:rsidRDefault="00872502">
      <w:pPr>
        <w:spacing w:after="0"/>
      </w:pPr>
      <w:r>
        <w:rPr>
          <w:color w:val="000000"/>
        </w:rPr>
        <w:separator/>
      </w:r>
    </w:p>
  </w:footnote>
  <w:footnote w:type="continuationSeparator" w:id="0">
    <w:p w14:paraId="748EF27A" w14:textId="77777777" w:rsidR="00DC1CBD" w:rsidRDefault="00872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946DA3" w14:paraId="4DCAD7B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190CF4C" w14:textId="77777777" w:rsidR="00946DA3" w:rsidRDefault="00872502">
          <w:pPr>
            <w:spacing w:before="20" w:after="20"/>
          </w:pPr>
          <w:bookmarkStart w:id="20" w:name="_Hlk43194599"/>
          <w:r>
            <w:rPr>
              <w:noProof/>
              <w:sz w:val="24"/>
              <w:szCs w:val="24"/>
            </w:rPr>
            <w:drawing>
              <wp:inline distT="0" distB="0" distL="0" distR="0" wp14:anchorId="7C916A7F" wp14:editId="71AF895D">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B6D7445" w14:textId="77777777" w:rsidR="00946DA3" w:rsidRDefault="00872502">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1256DA" w14:textId="77777777" w:rsidR="00946DA3" w:rsidRDefault="00446DC4">
          <w:pPr>
            <w:pStyle w:val="NoSpacing"/>
            <w:jc w:val="right"/>
            <w:rPr>
              <w:rFonts w:ascii="Arial" w:hAnsi="Arial"/>
              <w:sz w:val="19"/>
              <w:szCs w:val="19"/>
            </w:rPr>
          </w:pPr>
        </w:p>
        <w:p w14:paraId="679AD697" w14:textId="77777777" w:rsidR="00946DA3" w:rsidRDefault="00872502">
          <w:pPr>
            <w:pStyle w:val="NoSpacing"/>
            <w:jc w:val="right"/>
            <w:rPr>
              <w:rFonts w:ascii="Arial" w:hAnsi="Arial"/>
              <w:sz w:val="19"/>
              <w:szCs w:val="19"/>
            </w:rPr>
          </w:pPr>
          <w:bookmarkStart w:id="21" w:name="_Hlk43194575"/>
          <w:r>
            <w:rPr>
              <w:rFonts w:ascii="Arial" w:hAnsi="Arial"/>
              <w:sz w:val="19"/>
              <w:szCs w:val="19"/>
            </w:rPr>
            <w:t>Trade Remedies Authority</w:t>
          </w:r>
        </w:p>
        <w:p w14:paraId="3A274030" w14:textId="61B9A011" w:rsidR="00946DA3" w:rsidRDefault="00872502">
          <w:pPr>
            <w:tabs>
              <w:tab w:val="left" w:pos="2133"/>
            </w:tabs>
            <w:spacing w:after="0" w:line="276" w:lineRule="auto"/>
            <w:ind w:left="7" w:firstLine="141"/>
          </w:pPr>
          <w:r>
            <w:rPr>
              <w:rFonts w:ascii="Arial" w:hAnsi="Arial" w:cs="Arial"/>
              <w:color w:val="FF0000"/>
              <w:sz w:val="18"/>
              <w:szCs w:val="24"/>
            </w:rPr>
            <w:t xml:space="preserve"> Confidential</w:t>
          </w:r>
          <w:r>
            <w:rPr>
              <w:rFonts w:ascii="Arial" w:hAnsi="Arial" w:cs="Arial"/>
              <w:color w:val="FF0000"/>
              <w:sz w:val="18"/>
              <w:szCs w:val="24"/>
            </w:rPr>
            <w:tab/>
          </w:r>
          <w:r w:rsidR="0082062C">
            <w:rPr>
              <w:rFonts w:ascii="Arial" w:hAnsi="Arial" w:cs="Arial"/>
              <w:color w:val="FF0000"/>
              <w:sz w:val="18"/>
              <w:szCs w:val="24"/>
            </w:rPr>
            <w:t>X</w:t>
          </w:r>
          <w:r>
            <w:rPr>
              <w:rFonts w:ascii="Arial" w:hAnsi="Arial" w:cs="Arial"/>
              <w:color w:val="FF0000"/>
              <w:sz w:val="18"/>
              <w:szCs w:val="24"/>
            </w:rPr>
            <w:t xml:space="preserve"> Non-Confidential</w:t>
          </w:r>
        </w:p>
        <w:bookmarkEnd w:id="21"/>
        <w:p w14:paraId="0ED64968" w14:textId="77777777" w:rsidR="00946DA3" w:rsidRDefault="00446DC4">
          <w:pPr>
            <w:tabs>
              <w:tab w:val="left" w:pos="2133"/>
            </w:tabs>
            <w:spacing w:after="0" w:line="276" w:lineRule="auto"/>
            <w:ind w:left="7" w:firstLine="141"/>
            <w:rPr>
              <w:rFonts w:ascii="Arial" w:hAnsi="Arial" w:cs="Arial"/>
              <w:color w:val="FF0000"/>
              <w:sz w:val="18"/>
              <w:szCs w:val="24"/>
            </w:rPr>
          </w:pPr>
        </w:p>
      </w:tc>
    </w:tr>
    <w:bookmarkEnd w:id="20"/>
  </w:tbl>
  <w:p w14:paraId="79C1BB5A" w14:textId="77777777" w:rsidR="00946DA3" w:rsidRDefault="00446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54"/>
    <w:rsid w:val="003E18E4"/>
    <w:rsid w:val="00446DC4"/>
    <w:rsid w:val="004D3D6B"/>
    <w:rsid w:val="00566154"/>
    <w:rsid w:val="00715018"/>
    <w:rsid w:val="0082062C"/>
    <w:rsid w:val="00872502"/>
    <w:rsid w:val="00927D9B"/>
    <w:rsid w:val="00946FC3"/>
    <w:rsid w:val="009B6E03"/>
    <w:rsid w:val="00A35544"/>
    <w:rsid w:val="00B65C0C"/>
    <w:rsid w:val="00D92AAD"/>
    <w:rsid w:val="00DC1CBD"/>
    <w:rsid w:val="00E22558"/>
    <w:rsid w:val="00EE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59DD"/>
  <w15:docId w15:val="{767186D8-0E16-442F-8B02-4FC92D38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tabs>
        <w:tab w:val="right" w:leader="dot" w:pos="9016"/>
      </w:tabs>
      <w:spacing w:after="100"/>
      <w:ind w:left="440"/>
    </w:pPr>
    <w:rPr>
      <w:rFonts w:ascii="Arial" w:hAnsi="Arial" w:cs="Arial"/>
    </w:r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9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de-remedies.service.gov.uk/public/case/TQ003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trade-remedies.service.gov.uk/public/case/TQ00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public/case/TQ0030/" TargetMode="External"/><Relationship Id="rId4" Type="http://schemas.openxmlformats.org/officeDocument/2006/relationships/footnotes" Target="footnotes.xml"/><Relationship Id="rId9" Type="http://schemas.openxmlformats.org/officeDocument/2006/relationships/hyperlink" Target="https://www.trade-remedies.service.gov.uk/public/case/TQ00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405F18-0B23-4B25-9D69-97903D972AA1}"/>
</file>

<file path=customXml/itemProps2.xml><?xml version="1.0" encoding="utf-8"?>
<ds:datastoreItem xmlns:ds="http://schemas.openxmlformats.org/officeDocument/2006/customXml" ds:itemID="{B6244C0C-75B4-4C93-97D6-B274B78CA390}"/>
</file>

<file path=customXml/itemProps3.xml><?xml version="1.0" encoding="utf-8"?>
<ds:datastoreItem xmlns:ds="http://schemas.openxmlformats.org/officeDocument/2006/customXml" ds:itemID="{9E7B5C16-1FD7-43BD-9669-0B394588789F}"/>
</file>

<file path=docProps/app.xml><?xml version="1.0" encoding="utf-8"?>
<Properties xmlns="http://schemas.openxmlformats.org/officeDocument/2006/extended-properties" xmlns:vt="http://schemas.openxmlformats.org/officeDocument/2006/docPropsVTypes">
  <Template>Normal</Template>
  <TotalTime>1</TotalTime>
  <Pages>7</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Griffith</dc:creator>
  <dc:description/>
  <cp:lastModifiedBy>Angela Ashton</cp:lastModifiedBy>
  <cp:revision>2</cp:revision>
  <dcterms:created xsi:type="dcterms:W3CDTF">2023-01-20T10:01:00Z</dcterms:created>
  <dcterms:modified xsi:type="dcterms:W3CDTF">2023-01-20T10:01:00Z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58;#Registration Form|5141b018-6a49-42b8-9b7f-e53d01ab16a9</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RelatedCountry">
    <vt:lpwstr/>
  </property>
  <property fmtid="{D5CDD505-2E9C-101B-9397-08002B2CF9AE}" pid="15" name="CaseCountry">
    <vt:lpwstr/>
  </property>
  <property fmtid="{D5CDD505-2E9C-101B-9397-08002B2CF9AE}" pid="16" name="CaseType">
    <vt:lpwstr>161</vt:lpwstr>
  </property>
  <property fmtid="{D5CDD505-2E9C-101B-9397-08002B2CF9AE}" pid="17" name="l7d4d839682148a3803912ed0553a91f">
    <vt:lpwstr/>
  </property>
  <property fmtid="{D5CDD505-2E9C-101B-9397-08002B2CF9AE}" pid="18" name="MediaServiceImageTags">
    <vt:lpwstr/>
  </property>
  <property fmtid="{D5CDD505-2E9C-101B-9397-08002B2CF9AE}" pid="19" name="Party_x0020_Class_x0020__x0028_Test_x0029_0">
    <vt:lpwstr/>
  </property>
  <property fmtid="{D5CDD505-2E9C-101B-9397-08002B2CF9AE}" pid="20" name="je5f999ba81145d0a853d1225b304e8c">
    <vt:lpwstr/>
  </property>
  <property fmtid="{D5CDD505-2E9C-101B-9397-08002B2CF9AE}" pid="21" name="QC_x0020_Gate0">
    <vt:lpwstr/>
  </property>
  <property fmtid="{D5CDD505-2E9C-101B-9397-08002B2CF9AE}" pid="22" name="Party_x0020_Class_x0020__x0028_Test_x0029_">
    <vt:lpwstr/>
  </property>
  <property fmtid="{D5CDD505-2E9C-101B-9397-08002B2CF9AE}" pid="23" name="h31aa1d1531c459d9eb5ec40e81997b1">
    <vt:lpwstr/>
  </property>
  <property fmtid="{D5CDD505-2E9C-101B-9397-08002B2CF9AE}" pid="24" name="lcf76f155ced4ddcb4097134ff3c332f">
    <vt:lpwstr/>
  </property>
  <property fmtid="{D5CDD505-2E9C-101B-9397-08002B2CF9AE}" pid="25" name="Party Class (Test)">
    <vt:lpwstr/>
  </property>
  <property fmtid="{D5CDD505-2E9C-101B-9397-08002B2CF9AE}" pid="26" name="QC Gate0">
    <vt:lpwstr/>
  </property>
  <property fmtid="{D5CDD505-2E9C-101B-9397-08002B2CF9AE}" pid="27" name="Party Class (Test)0">
    <vt:lpwstr/>
  </property>
</Properties>
</file>