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65999ED-992E-4E25-BA1A-4DE3FB9569D4}"/>
</file>

<file path=customXml/itemProps2.xml><?xml version="1.0" encoding="utf-8"?>
<ds:datastoreItem xmlns:ds="http://schemas.openxmlformats.org/officeDocument/2006/customXml" ds:itemID="{CABD0149-5288-4A1A-B58A-723264A22ADC}"/>
</file>

<file path=customXml/itemProps3.xml><?xml version="1.0" encoding="utf-8"?>
<ds:datastoreItem xmlns:ds="http://schemas.openxmlformats.org/officeDocument/2006/customXml" ds:itemID="{9F8D05C0-ED8A-45FF-A745-EC5A99629D62}"/>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