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05B31CF0" w:rsidR="004A4F2F" w:rsidRPr="005335A2" w:rsidRDefault="006354DE" w:rsidP="004A4F2F">
            <w:pPr>
              <w:tabs>
                <w:tab w:val="left" w:pos="2130"/>
              </w:tabs>
              <w:spacing w:line="22" w:lineRule="atLeast"/>
              <w:rPr>
                <w:rFonts w:cs="Arial"/>
                <w:color w:val="FF0000"/>
              </w:rPr>
            </w:pPr>
            <w:r>
              <w:rPr>
                <w:rFonts w:cs="Arial"/>
                <w:color w:val="FF0000"/>
              </w:rPr>
              <w:t>Greenergy Fuels Ltd</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2FAAA0CB" w:rsidR="008B7352" w:rsidRPr="00294B82" w:rsidRDefault="00F71E05"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7754E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27DE2372" w:rsidR="008B7352" w:rsidRPr="00294B82" w:rsidRDefault="00F71E05"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7754E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0">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D73916">
          <w:pPr>
            <w:pStyle w:val="TOC2"/>
            <w:rPr>
              <w:rFonts w:asciiTheme="minorHAnsi" w:hAnsiTheme="minorHAnsi"/>
              <w:noProof/>
              <w:kern w:val="2"/>
              <w:lang w:eastAsia="en-GB"/>
              <w14:ligatures w14:val="standardContextual"/>
            </w:rPr>
          </w:pPr>
          <w:hyperlink w:anchor="_Toc192875393" w:history="1">
            <w:r w:rsidRPr="009221B4">
              <w:rPr>
                <w:rStyle w:val="Hyperlink"/>
                <w:noProof/>
              </w:rPr>
              <w:t>Instructions</w:t>
            </w:r>
            <w:r>
              <w:rPr>
                <w:noProof/>
                <w:webHidden/>
              </w:rPr>
              <w:tab/>
            </w:r>
            <w:r>
              <w:rPr>
                <w:noProof/>
                <w:webHidden/>
              </w:rPr>
              <w:fldChar w:fldCharType="begin"/>
            </w:r>
            <w:r>
              <w:rPr>
                <w:noProof/>
                <w:webHidden/>
              </w:rPr>
              <w:instrText xml:space="preserve"> PAGEREF _Toc192875393 \h </w:instrText>
            </w:r>
            <w:r>
              <w:rPr>
                <w:noProof/>
                <w:webHidden/>
              </w:rPr>
            </w:r>
            <w:r>
              <w:rPr>
                <w:noProof/>
                <w:webHidden/>
              </w:rPr>
              <w:fldChar w:fldCharType="separate"/>
            </w:r>
            <w:r>
              <w:rPr>
                <w:noProof/>
                <w:webHidden/>
              </w:rPr>
              <w:t>5</w:t>
            </w:r>
            <w:r>
              <w:rPr>
                <w:noProof/>
                <w:webHidden/>
              </w:rPr>
              <w:fldChar w:fldCharType="end"/>
            </w:r>
          </w:hyperlink>
        </w:p>
        <w:p w14:paraId="63CE41FC" w14:textId="0E76027D" w:rsidR="00D73916" w:rsidRDefault="00D73916">
          <w:pPr>
            <w:pStyle w:val="TOC3"/>
            <w:rPr>
              <w:rFonts w:asciiTheme="minorHAnsi" w:hAnsiTheme="minorHAnsi"/>
              <w:noProof/>
              <w:kern w:val="2"/>
              <w:lang w:eastAsia="en-GB"/>
              <w14:ligatures w14:val="standardContextual"/>
            </w:rPr>
          </w:pPr>
          <w:hyperlink w:anchor="_Toc192875394" w:history="1">
            <w:r w:rsidRPr="009221B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_Toc192875394 \h </w:instrText>
            </w:r>
            <w:r>
              <w:rPr>
                <w:noProof/>
                <w:webHidden/>
              </w:rPr>
            </w:r>
            <w:r>
              <w:rPr>
                <w:noProof/>
                <w:webHidden/>
              </w:rPr>
              <w:fldChar w:fldCharType="separate"/>
            </w:r>
            <w:r>
              <w:rPr>
                <w:noProof/>
                <w:webHidden/>
              </w:rPr>
              <w:t>5</w:t>
            </w:r>
            <w:r>
              <w:rPr>
                <w:noProof/>
                <w:webHidden/>
              </w:rPr>
              <w:fldChar w:fldCharType="end"/>
            </w:r>
          </w:hyperlink>
        </w:p>
        <w:p w14:paraId="7AC640FA" w14:textId="2C810AEB" w:rsidR="00D73916" w:rsidRDefault="00D73916">
          <w:pPr>
            <w:pStyle w:val="TOC3"/>
            <w:rPr>
              <w:rFonts w:asciiTheme="minorHAnsi" w:hAnsiTheme="minorHAnsi"/>
              <w:noProof/>
              <w:kern w:val="2"/>
              <w:lang w:eastAsia="en-GB"/>
              <w14:ligatures w14:val="standardContextual"/>
            </w:rPr>
          </w:pPr>
          <w:hyperlink w:anchor="_Toc192875395" w:history="1">
            <w:r w:rsidRPr="009221B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_Toc192875395 \h </w:instrText>
            </w:r>
            <w:r>
              <w:rPr>
                <w:noProof/>
                <w:webHidden/>
              </w:rPr>
            </w:r>
            <w:r>
              <w:rPr>
                <w:noProof/>
                <w:webHidden/>
              </w:rPr>
              <w:fldChar w:fldCharType="separate"/>
            </w:r>
            <w:r>
              <w:rPr>
                <w:noProof/>
                <w:webHidden/>
              </w:rPr>
              <w:t>5</w:t>
            </w:r>
            <w:r>
              <w:rPr>
                <w:noProof/>
                <w:webHidden/>
              </w:rPr>
              <w:fldChar w:fldCharType="end"/>
            </w:r>
          </w:hyperlink>
        </w:p>
        <w:p w14:paraId="22B7AE42" w14:textId="73C10358" w:rsidR="00D73916" w:rsidRDefault="00D73916">
          <w:pPr>
            <w:pStyle w:val="TOC3"/>
            <w:rPr>
              <w:rFonts w:asciiTheme="minorHAnsi" w:hAnsiTheme="minorHAnsi"/>
              <w:noProof/>
              <w:kern w:val="2"/>
              <w:lang w:eastAsia="en-GB"/>
              <w14:ligatures w14:val="standardContextual"/>
            </w:rPr>
          </w:pPr>
          <w:hyperlink w:anchor="_Toc192875396" w:history="1">
            <w:r w:rsidRPr="009221B4">
              <w:rPr>
                <w:rStyle w:val="Hyperlink"/>
                <w:noProof/>
                <w:lang w:eastAsia="zh-CN"/>
              </w:rPr>
              <w:t>Deadline for response</w:t>
            </w:r>
            <w:r>
              <w:rPr>
                <w:noProof/>
                <w:webHidden/>
              </w:rPr>
              <w:tab/>
            </w:r>
            <w:r>
              <w:rPr>
                <w:noProof/>
                <w:webHidden/>
              </w:rPr>
              <w:fldChar w:fldCharType="begin"/>
            </w:r>
            <w:r>
              <w:rPr>
                <w:noProof/>
                <w:webHidden/>
              </w:rPr>
              <w:instrText xml:space="preserve"> PAGEREF _Toc192875396 \h </w:instrText>
            </w:r>
            <w:r>
              <w:rPr>
                <w:noProof/>
                <w:webHidden/>
              </w:rPr>
            </w:r>
            <w:r>
              <w:rPr>
                <w:noProof/>
                <w:webHidden/>
              </w:rPr>
              <w:fldChar w:fldCharType="separate"/>
            </w:r>
            <w:r>
              <w:rPr>
                <w:noProof/>
                <w:webHidden/>
              </w:rPr>
              <w:t>5</w:t>
            </w:r>
            <w:r>
              <w:rPr>
                <w:noProof/>
                <w:webHidden/>
              </w:rPr>
              <w:fldChar w:fldCharType="end"/>
            </w:r>
          </w:hyperlink>
        </w:p>
        <w:p w14:paraId="7BA4E221" w14:textId="16739407" w:rsidR="00D73916" w:rsidRDefault="00D73916">
          <w:pPr>
            <w:pStyle w:val="TOC3"/>
            <w:rPr>
              <w:rFonts w:asciiTheme="minorHAnsi" w:hAnsiTheme="minorHAnsi"/>
              <w:noProof/>
              <w:kern w:val="2"/>
              <w:lang w:eastAsia="en-GB"/>
              <w14:ligatures w14:val="standardContextual"/>
            </w:rPr>
          </w:pPr>
          <w:hyperlink w:anchor="_Toc192875397" w:history="1">
            <w:r w:rsidRPr="009221B4">
              <w:rPr>
                <w:rStyle w:val="Hyperlink"/>
                <w:noProof/>
                <w:lang w:eastAsia="zh-CN"/>
              </w:rPr>
              <w:t>Note about confidentiality</w:t>
            </w:r>
            <w:r>
              <w:rPr>
                <w:noProof/>
                <w:webHidden/>
              </w:rPr>
              <w:tab/>
            </w:r>
            <w:r>
              <w:rPr>
                <w:noProof/>
                <w:webHidden/>
              </w:rPr>
              <w:fldChar w:fldCharType="begin"/>
            </w:r>
            <w:r>
              <w:rPr>
                <w:noProof/>
                <w:webHidden/>
              </w:rPr>
              <w:instrText xml:space="preserve"> PAGEREF _Toc192875397 \h </w:instrText>
            </w:r>
            <w:r>
              <w:rPr>
                <w:noProof/>
                <w:webHidden/>
              </w:rPr>
            </w:r>
            <w:r>
              <w:rPr>
                <w:noProof/>
                <w:webHidden/>
              </w:rPr>
              <w:fldChar w:fldCharType="separate"/>
            </w:r>
            <w:r>
              <w:rPr>
                <w:noProof/>
                <w:webHidden/>
              </w:rPr>
              <w:t>5</w:t>
            </w:r>
            <w:r>
              <w:rPr>
                <w:noProof/>
                <w:webHidden/>
              </w:rPr>
              <w:fldChar w:fldCharType="end"/>
            </w:r>
          </w:hyperlink>
        </w:p>
        <w:p w14:paraId="7F84091D" w14:textId="1751AE07" w:rsidR="00D73916" w:rsidRDefault="00D73916">
          <w:pPr>
            <w:pStyle w:val="TOC2"/>
            <w:rPr>
              <w:rFonts w:asciiTheme="minorHAnsi" w:hAnsiTheme="minorHAnsi"/>
              <w:noProof/>
              <w:kern w:val="2"/>
              <w:lang w:eastAsia="en-GB"/>
              <w14:ligatures w14:val="standardContextual"/>
            </w:rPr>
          </w:pPr>
          <w:hyperlink w:anchor="_Toc192875398" w:history="1">
            <w:r w:rsidRPr="009221B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_Toc192875398 \h </w:instrText>
            </w:r>
            <w:r>
              <w:rPr>
                <w:noProof/>
                <w:webHidden/>
              </w:rPr>
            </w:r>
            <w:r>
              <w:rPr>
                <w:noProof/>
                <w:webHidden/>
              </w:rPr>
              <w:fldChar w:fldCharType="separate"/>
            </w:r>
            <w:r>
              <w:rPr>
                <w:noProof/>
                <w:webHidden/>
              </w:rPr>
              <w:t>7</w:t>
            </w:r>
            <w:r>
              <w:rPr>
                <w:noProof/>
                <w:webHidden/>
              </w:rPr>
              <w:fldChar w:fldCharType="end"/>
            </w:r>
          </w:hyperlink>
        </w:p>
        <w:p w14:paraId="075EAAEE" w14:textId="6346CAB8" w:rsidR="00D73916" w:rsidRDefault="00D73916">
          <w:pPr>
            <w:pStyle w:val="TOC3"/>
            <w:rPr>
              <w:rFonts w:asciiTheme="minorHAnsi" w:hAnsiTheme="minorHAnsi"/>
              <w:noProof/>
              <w:kern w:val="2"/>
              <w:lang w:eastAsia="en-GB"/>
              <w14:ligatures w14:val="standardContextual"/>
            </w:rPr>
          </w:pPr>
          <w:hyperlink w:anchor="_Toc192875399" w:history="1">
            <w:r w:rsidRPr="009221B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_Toc192875399 \h </w:instrText>
            </w:r>
            <w:r>
              <w:rPr>
                <w:noProof/>
                <w:webHidden/>
              </w:rPr>
            </w:r>
            <w:r>
              <w:rPr>
                <w:noProof/>
                <w:webHidden/>
              </w:rPr>
              <w:fldChar w:fldCharType="separate"/>
            </w:r>
            <w:r>
              <w:rPr>
                <w:noProof/>
                <w:webHidden/>
              </w:rPr>
              <w:t>7</w:t>
            </w:r>
            <w:r>
              <w:rPr>
                <w:noProof/>
                <w:webHidden/>
              </w:rPr>
              <w:fldChar w:fldCharType="end"/>
            </w:r>
          </w:hyperlink>
        </w:p>
        <w:p w14:paraId="55D016A5" w14:textId="1AE0A0D9" w:rsidR="00D73916" w:rsidRDefault="00D73916">
          <w:pPr>
            <w:pStyle w:val="TOC3"/>
            <w:rPr>
              <w:rFonts w:asciiTheme="minorHAnsi" w:hAnsiTheme="minorHAnsi"/>
              <w:noProof/>
              <w:kern w:val="2"/>
              <w:lang w:eastAsia="en-GB"/>
              <w14:ligatures w14:val="standardContextual"/>
            </w:rPr>
          </w:pPr>
          <w:hyperlink w:anchor="_Toc192875400" w:history="1">
            <w:r w:rsidRPr="009221B4">
              <w:rPr>
                <w:rStyle w:val="Hyperlink"/>
                <w:noProof/>
              </w:rPr>
              <w:t>A2 – Associated parties and operational links</w:t>
            </w:r>
            <w:r>
              <w:rPr>
                <w:noProof/>
                <w:webHidden/>
              </w:rPr>
              <w:tab/>
            </w:r>
            <w:r>
              <w:rPr>
                <w:noProof/>
                <w:webHidden/>
              </w:rPr>
              <w:fldChar w:fldCharType="begin"/>
            </w:r>
            <w:r>
              <w:rPr>
                <w:noProof/>
                <w:webHidden/>
              </w:rPr>
              <w:instrText xml:space="preserve"> PAGEREF _Toc192875400 \h </w:instrText>
            </w:r>
            <w:r>
              <w:rPr>
                <w:noProof/>
                <w:webHidden/>
              </w:rPr>
            </w:r>
            <w:r>
              <w:rPr>
                <w:noProof/>
                <w:webHidden/>
              </w:rPr>
              <w:fldChar w:fldCharType="separate"/>
            </w:r>
            <w:r>
              <w:rPr>
                <w:noProof/>
                <w:webHidden/>
              </w:rPr>
              <w:t>8</w:t>
            </w:r>
            <w:r>
              <w:rPr>
                <w:noProof/>
                <w:webHidden/>
              </w:rPr>
              <w:fldChar w:fldCharType="end"/>
            </w:r>
          </w:hyperlink>
        </w:p>
        <w:p w14:paraId="2B019BE6" w14:textId="7C4F50AA" w:rsidR="00D73916" w:rsidRDefault="00D73916">
          <w:pPr>
            <w:pStyle w:val="TOC2"/>
            <w:rPr>
              <w:rFonts w:asciiTheme="minorHAnsi" w:hAnsiTheme="minorHAnsi"/>
              <w:noProof/>
              <w:kern w:val="2"/>
              <w:lang w:eastAsia="en-GB"/>
              <w14:ligatures w14:val="standardContextual"/>
            </w:rPr>
          </w:pPr>
          <w:hyperlink w:anchor="_Toc192875401" w:history="1">
            <w:r w:rsidRPr="009221B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_Toc192875401 \h </w:instrText>
            </w:r>
            <w:r>
              <w:rPr>
                <w:noProof/>
                <w:webHidden/>
              </w:rPr>
            </w:r>
            <w:r>
              <w:rPr>
                <w:noProof/>
                <w:webHidden/>
              </w:rPr>
              <w:fldChar w:fldCharType="separate"/>
            </w:r>
            <w:r>
              <w:rPr>
                <w:noProof/>
                <w:webHidden/>
              </w:rPr>
              <w:t>9</w:t>
            </w:r>
            <w:r>
              <w:rPr>
                <w:noProof/>
                <w:webHidden/>
              </w:rPr>
              <w:fldChar w:fldCharType="end"/>
            </w:r>
          </w:hyperlink>
        </w:p>
        <w:p w14:paraId="77C685DE" w14:textId="592671C0" w:rsidR="00D73916" w:rsidRDefault="00D73916">
          <w:pPr>
            <w:pStyle w:val="TOC3"/>
            <w:rPr>
              <w:rFonts w:asciiTheme="minorHAnsi" w:hAnsiTheme="minorHAnsi"/>
              <w:noProof/>
              <w:kern w:val="2"/>
              <w:lang w:eastAsia="en-GB"/>
              <w14:ligatures w14:val="standardContextual"/>
            </w:rPr>
          </w:pPr>
          <w:hyperlink w:anchor="_Toc192875402" w:history="1">
            <w:r w:rsidRPr="009221B4">
              <w:rPr>
                <w:rStyle w:val="Hyperlink"/>
                <w:noProof/>
              </w:rPr>
              <w:t>B1 – Production</w:t>
            </w:r>
            <w:r>
              <w:rPr>
                <w:noProof/>
                <w:webHidden/>
              </w:rPr>
              <w:tab/>
            </w:r>
            <w:r>
              <w:rPr>
                <w:noProof/>
                <w:webHidden/>
              </w:rPr>
              <w:fldChar w:fldCharType="begin"/>
            </w:r>
            <w:r>
              <w:rPr>
                <w:noProof/>
                <w:webHidden/>
              </w:rPr>
              <w:instrText xml:space="preserve"> PAGEREF _Toc192875402 \h </w:instrText>
            </w:r>
            <w:r>
              <w:rPr>
                <w:noProof/>
                <w:webHidden/>
              </w:rPr>
            </w:r>
            <w:r>
              <w:rPr>
                <w:noProof/>
                <w:webHidden/>
              </w:rPr>
              <w:fldChar w:fldCharType="separate"/>
            </w:r>
            <w:r>
              <w:rPr>
                <w:noProof/>
                <w:webHidden/>
              </w:rPr>
              <w:t>9</w:t>
            </w:r>
            <w:r>
              <w:rPr>
                <w:noProof/>
                <w:webHidden/>
              </w:rPr>
              <w:fldChar w:fldCharType="end"/>
            </w:r>
          </w:hyperlink>
        </w:p>
        <w:p w14:paraId="160A8226" w14:textId="08FB13B9" w:rsidR="00D73916" w:rsidRDefault="00D73916">
          <w:pPr>
            <w:pStyle w:val="TOC3"/>
            <w:rPr>
              <w:rFonts w:asciiTheme="minorHAnsi" w:hAnsiTheme="minorHAnsi"/>
              <w:noProof/>
              <w:kern w:val="2"/>
              <w:lang w:eastAsia="en-GB"/>
              <w14:ligatures w14:val="standardContextual"/>
            </w:rPr>
          </w:pPr>
          <w:hyperlink w:anchor="_Toc192875403" w:history="1">
            <w:r w:rsidRPr="009221B4">
              <w:rPr>
                <w:rStyle w:val="Hyperlink"/>
                <w:noProof/>
              </w:rPr>
              <w:t>B2 – Sales volume and value</w:t>
            </w:r>
            <w:r>
              <w:rPr>
                <w:noProof/>
                <w:webHidden/>
              </w:rPr>
              <w:tab/>
            </w:r>
            <w:r>
              <w:rPr>
                <w:noProof/>
                <w:webHidden/>
              </w:rPr>
              <w:fldChar w:fldCharType="begin"/>
            </w:r>
            <w:r>
              <w:rPr>
                <w:noProof/>
                <w:webHidden/>
              </w:rPr>
              <w:instrText xml:space="preserve"> PAGEREF _Toc192875403 \h </w:instrText>
            </w:r>
            <w:r>
              <w:rPr>
                <w:noProof/>
                <w:webHidden/>
              </w:rPr>
            </w:r>
            <w:r>
              <w:rPr>
                <w:noProof/>
                <w:webHidden/>
              </w:rPr>
              <w:fldChar w:fldCharType="separate"/>
            </w:r>
            <w:r>
              <w:rPr>
                <w:noProof/>
                <w:webHidden/>
              </w:rPr>
              <w:t>9</w:t>
            </w:r>
            <w:r>
              <w:rPr>
                <w:noProof/>
                <w:webHidden/>
              </w:rPr>
              <w:fldChar w:fldCharType="end"/>
            </w:r>
          </w:hyperlink>
        </w:p>
        <w:p w14:paraId="2C2F9FE2" w14:textId="40703DA1" w:rsidR="00D73916" w:rsidRDefault="00D73916">
          <w:pPr>
            <w:pStyle w:val="TOC3"/>
            <w:rPr>
              <w:rFonts w:asciiTheme="minorHAnsi" w:hAnsiTheme="minorHAnsi"/>
              <w:noProof/>
              <w:kern w:val="2"/>
              <w:lang w:eastAsia="en-GB"/>
              <w14:ligatures w14:val="standardContextual"/>
            </w:rPr>
          </w:pPr>
          <w:hyperlink w:anchor="_Toc192875404" w:history="1">
            <w:r w:rsidRPr="009221B4">
              <w:rPr>
                <w:rStyle w:val="Hyperlink"/>
                <w:noProof/>
              </w:rPr>
              <w:t>B3 – Imports and Sales</w:t>
            </w:r>
            <w:r>
              <w:rPr>
                <w:noProof/>
                <w:webHidden/>
              </w:rPr>
              <w:tab/>
            </w:r>
            <w:r>
              <w:rPr>
                <w:noProof/>
                <w:webHidden/>
              </w:rPr>
              <w:fldChar w:fldCharType="begin"/>
            </w:r>
            <w:r>
              <w:rPr>
                <w:noProof/>
                <w:webHidden/>
              </w:rPr>
              <w:instrText xml:space="preserve"> PAGEREF _Toc192875404 \h </w:instrText>
            </w:r>
            <w:r>
              <w:rPr>
                <w:noProof/>
                <w:webHidden/>
              </w:rPr>
            </w:r>
            <w:r>
              <w:rPr>
                <w:noProof/>
                <w:webHidden/>
              </w:rPr>
              <w:fldChar w:fldCharType="separate"/>
            </w:r>
            <w:r>
              <w:rPr>
                <w:noProof/>
                <w:webHidden/>
              </w:rPr>
              <w:t>10</w:t>
            </w:r>
            <w:r>
              <w:rPr>
                <w:noProof/>
                <w:webHidden/>
              </w:rPr>
              <w:fldChar w:fldCharType="end"/>
            </w:r>
          </w:hyperlink>
        </w:p>
        <w:p w14:paraId="3A155DCB" w14:textId="2FCBAF94" w:rsidR="00D73916" w:rsidRDefault="00D73916">
          <w:pPr>
            <w:pStyle w:val="TOC3"/>
            <w:rPr>
              <w:rFonts w:asciiTheme="minorHAnsi" w:hAnsiTheme="minorHAnsi"/>
              <w:noProof/>
              <w:kern w:val="2"/>
              <w:lang w:eastAsia="en-GB"/>
              <w14:ligatures w14:val="standardContextual"/>
            </w:rPr>
          </w:pPr>
          <w:hyperlink w:anchor="_Toc192875405" w:history="1">
            <w:r w:rsidRPr="009221B4">
              <w:rPr>
                <w:rStyle w:val="Hyperlink"/>
                <w:rFonts w:cs="Arial"/>
                <w:noProof/>
              </w:rPr>
              <w:t>B4 – Conversion</w:t>
            </w:r>
            <w:r>
              <w:rPr>
                <w:noProof/>
                <w:webHidden/>
              </w:rPr>
              <w:tab/>
            </w:r>
            <w:r>
              <w:rPr>
                <w:noProof/>
                <w:webHidden/>
              </w:rPr>
              <w:fldChar w:fldCharType="begin"/>
            </w:r>
            <w:r>
              <w:rPr>
                <w:noProof/>
                <w:webHidden/>
              </w:rPr>
              <w:instrText xml:space="preserve"> PAGEREF _Toc192875405 \h </w:instrText>
            </w:r>
            <w:r>
              <w:rPr>
                <w:noProof/>
                <w:webHidden/>
              </w:rPr>
            </w:r>
            <w:r>
              <w:rPr>
                <w:noProof/>
                <w:webHidden/>
              </w:rPr>
              <w:fldChar w:fldCharType="separate"/>
            </w:r>
            <w:r>
              <w:rPr>
                <w:noProof/>
                <w:webHidden/>
              </w:rPr>
              <w:t>11</w:t>
            </w:r>
            <w:r>
              <w:rPr>
                <w:noProof/>
                <w:webHidden/>
              </w:rPr>
              <w:fldChar w:fldCharType="end"/>
            </w:r>
          </w:hyperlink>
        </w:p>
        <w:p w14:paraId="60BC1387" w14:textId="34ED9529" w:rsidR="00D73916" w:rsidRDefault="00D73916">
          <w:pPr>
            <w:pStyle w:val="TOC2"/>
            <w:rPr>
              <w:rFonts w:asciiTheme="minorHAnsi" w:hAnsiTheme="minorHAnsi"/>
              <w:noProof/>
              <w:kern w:val="2"/>
              <w:lang w:eastAsia="en-GB"/>
              <w14:ligatures w14:val="standardContextual"/>
            </w:rPr>
          </w:pPr>
          <w:hyperlink w:anchor="_Toc192875406" w:history="1">
            <w:r w:rsidRPr="009221B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_Toc192875406 \h </w:instrText>
            </w:r>
            <w:r>
              <w:rPr>
                <w:noProof/>
                <w:webHidden/>
              </w:rPr>
            </w:r>
            <w:r>
              <w:rPr>
                <w:noProof/>
                <w:webHidden/>
              </w:rPr>
              <w:fldChar w:fldCharType="separate"/>
            </w:r>
            <w:r>
              <w:rPr>
                <w:noProof/>
                <w:webHidden/>
              </w:rPr>
              <w:t>12</w:t>
            </w:r>
            <w:r>
              <w:rPr>
                <w:noProof/>
                <w:webHidden/>
              </w:rPr>
              <w:fldChar w:fldCharType="end"/>
            </w:r>
          </w:hyperlink>
        </w:p>
        <w:p w14:paraId="2A4619A1" w14:textId="2354C265" w:rsidR="00D73916" w:rsidRDefault="00D73916">
          <w:pPr>
            <w:pStyle w:val="TOC3"/>
            <w:rPr>
              <w:rFonts w:asciiTheme="minorHAnsi" w:hAnsiTheme="minorHAnsi"/>
              <w:noProof/>
              <w:kern w:val="2"/>
              <w:lang w:eastAsia="en-GB"/>
              <w14:ligatures w14:val="standardContextual"/>
            </w:rPr>
          </w:pPr>
          <w:hyperlink w:anchor="_Toc192875407" w:history="1">
            <w:r w:rsidRPr="009221B4">
              <w:rPr>
                <w:rStyle w:val="Hyperlink"/>
                <w:noProof/>
              </w:rPr>
              <w:t>C1 – Other interested parties</w:t>
            </w:r>
            <w:r>
              <w:rPr>
                <w:noProof/>
                <w:webHidden/>
              </w:rPr>
              <w:tab/>
            </w:r>
            <w:r>
              <w:rPr>
                <w:noProof/>
                <w:webHidden/>
              </w:rPr>
              <w:fldChar w:fldCharType="begin"/>
            </w:r>
            <w:r>
              <w:rPr>
                <w:noProof/>
                <w:webHidden/>
              </w:rPr>
              <w:instrText xml:space="preserve"> PAGEREF _Toc192875407 \h </w:instrText>
            </w:r>
            <w:r>
              <w:rPr>
                <w:noProof/>
                <w:webHidden/>
              </w:rPr>
            </w:r>
            <w:r>
              <w:rPr>
                <w:noProof/>
                <w:webHidden/>
              </w:rPr>
              <w:fldChar w:fldCharType="separate"/>
            </w:r>
            <w:r>
              <w:rPr>
                <w:noProof/>
                <w:webHidden/>
              </w:rPr>
              <w:t>12</w:t>
            </w:r>
            <w:r>
              <w:rPr>
                <w:noProof/>
                <w:webHidden/>
              </w:rPr>
              <w:fldChar w:fldCharType="end"/>
            </w:r>
          </w:hyperlink>
        </w:p>
        <w:p w14:paraId="5E520B6E" w14:textId="3DD2BB37" w:rsidR="00D73916" w:rsidRDefault="00D73916">
          <w:pPr>
            <w:pStyle w:val="TOC3"/>
            <w:rPr>
              <w:rFonts w:asciiTheme="minorHAnsi" w:hAnsiTheme="minorHAnsi"/>
              <w:noProof/>
              <w:kern w:val="2"/>
              <w:lang w:eastAsia="en-GB"/>
              <w14:ligatures w14:val="standardContextual"/>
            </w:rPr>
          </w:pPr>
          <w:hyperlink w:anchor="_Toc192875408" w:history="1">
            <w:r w:rsidRPr="009221B4">
              <w:rPr>
                <w:rStyle w:val="Hyperlink"/>
                <w:noProof/>
              </w:rPr>
              <w:t>C2 – Scope</w:t>
            </w:r>
            <w:r>
              <w:rPr>
                <w:noProof/>
                <w:webHidden/>
              </w:rPr>
              <w:tab/>
            </w:r>
            <w:r>
              <w:rPr>
                <w:noProof/>
                <w:webHidden/>
              </w:rPr>
              <w:fldChar w:fldCharType="begin"/>
            </w:r>
            <w:r>
              <w:rPr>
                <w:noProof/>
                <w:webHidden/>
              </w:rPr>
              <w:instrText xml:space="preserve"> PAGEREF _Toc192875408 \h </w:instrText>
            </w:r>
            <w:r>
              <w:rPr>
                <w:noProof/>
                <w:webHidden/>
              </w:rPr>
            </w:r>
            <w:r>
              <w:rPr>
                <w:noProof/>
                <w:webHidden/>
              </w:rPr>
              <w:fldChar w:fldCharType="separate"/>
            </w:r>
            <w:r>
              <w:rPr>
                <w:noProof/>
                <w:webHidden/>
              </w:rPr>
              <w:t>13</w:t>
            </w:r>
            <w:r>
              <w:rPr>
                <w:noProof/>
                <w:webHidden/>
              </w:rPr>
              <w:fldChar w:fldCharType="end"/>
            </w:r>
          </w:hyperlink>
        </w:p>
        <w:p w14:paraId="0C8D61EA" w14:textId="39872883" w:rsidR="00D73916" w:rsidRDefault="00D73916">
          <w:pPr>
            <w:pStyle w:val="TOC3"/>
            <w:rPr>
              <w:rFonts w:asciiTheme="minorHAnsi" w:hAnsiTheme="minorHAnsi"/>
              <w:noProof/>
              <w:kern w:val="2"/>
              <w:lang w:eastAsia="en-GB"/>
              <w14:ligatures w14:val="standardContextual"/>
            </w:rPr>
          </w:pPr>
          <w:hyperlink w:anchor="_Toc192875409" w:history="1">
            <w:r w:rsidRPr="009221B4">
              <w:rPr>
                <w:rStyle w:val="Hyperlink"/>
                <w:noProof/>
              </w:rPr>
              <w:t>C3 – Product Control Numbers</w:t>
            </w:r>
            <w:r>
              <w:rPr>
                <w:noProof/>
                <w:webHidden/>
              </w:rPr>
              <w:tab/>
            </w:r>
            <w:r>
              <w:rPr>
                <w:noProof/>
                <w:webHidden/>
              </w:rPr>
              <w:fldChar w:fldCharType="begin"/>
            </w:r>
            <w:r>
              <w:rPr>
                <w:noProof/>
                <w:webHidden/>
              </w:rPr>
              <w:instrText xml:space="preserve"> PAGEREF _Toc192875409 \h </w:instrText>
            </w:r>
            <w:r>
              <w:rPr>
                <w:noProof/>
                <w:webHidden/>
              </w:rPr>
            </w:r>
            <w:r>
              <w:rPr>
                <w:noProof/>
                <w:webHidden/>
              </w:rPr>
              <w:fldChar w:fldCharType="separate"/>
            </w:r>
            <w:r>
              <w:rPr>
                <w:noProof/>
                <w:webHidden/>
              </w:rPr>
              <w:t>14</w:t>
            </w:r>
            <w:r>
              <w:rPr>
                <w:noProof/>
                <w:webHidden/>
              </w:rPr>
              <w:fldChar w:fldCharType="end"/>
            </w:r>
          </w:hyperlink>
        </w:p>
        <w:p w14:paraId="26F21784" w14:textId="7792C106" w:rsidR="00D73916" w:rsidRDefault="00D73916">
          <w:pPr>
            <w:pStyle w:val="TOC3"/>
            <w:rPr>
              <w:rFonts w:asciiTheme="minorHAnsi" w:hAnsiTheme="minorHAnsi"/>
              <w:noProof/>
              <w:kern w:val="2"/>
              <w:lang w:eastAsia="en-GB"/>
              <w14:ligatures w14:val="standardContextual"/>
            </w:rPr>
          </w:pPr>
          <w:hyperlink w:anchor="_Toc192875410" w:history="1">
            <w:r w:rsidRPr="009221B4">
              <w:rPr>
                <w:rStyle w:val="Hyperlink"/>
                <w:noProof/>
              </w:rPr>
              <w:t>C4 – Economic Interest Test</w:t>
            </w:r>
            <w:r>
              <w:rPr>
                <w:noProof/>
                <w:webHidden/>
              </w:rPr>
              <w:tab/>
            </w:r>
            <w:r>
              <w:rPr>
                <w:noProof/>
                <w:webHidden/>
              </w:rPr>
              <w:fldChar w:fldCharType="begin"/>
            </w:r>
            <w:r>
              <w:rPr>
                <w:noProof/>
                <w:webHidden/>
              </w:rPr>
              <w:instrText xml:space="preserve"> PAGEREF _Toc192875410 \h </w:instrText>
            </w:r>
            <w:r>
              <w:rPr>
                <w:noProof/>
                <w:webHidden/>
              </w:rPr>
            </w:r>
            <w:r>
              <w:rPr>
                <w:noProof/>
                <w:webHidden/>
              </w:rPr>
              <w:fldChar w:fldCharType="separate"/>
            </w:r>
            <w:r>
              <w:rPr>
                <w:noProof/>
                <w:webHidden/>
              </w:rPr>
              <w:t>15</w:t>
            </w:r>
            <w:r>
              <w:rPr>
                <w:noProof/>
                <w:webHidden/>
              </w:rPr>
              <w:fldChar w:fldCharType="end"/>
            </w:r>
          </w:hyperlink>
        </w:p>
        <w:p w14:paraId="307CDDB3" w14:textId="08ECE969" w:rsidR="00D73916" w:rsidRDefault="00D73916">
          <w:pPr>
            <w:pStyle w:val="TOC3"/>
            <w:rPr>
              <w:rFonts w:asciiTheme="minorHAnsi" w:hAnsiTheme="minorHAnsi"/>
              <w:noProof/>
              <w:kern w:val="2"/>
              <w:lang w:eastAsia="en-GB"/>
              <w14:ligatures w14:val="standardContextual"/>
            </w:rPr>
          </w:pPr>
          <w:hyperlink w:anchor="_Toc192875411" w:history="1">
            <w:r w:rsidRPr="009221B4">
              <w:rPr>
                <w:rStyle w:val="Hyperlink"/>
                <w:noProof/>
              </w:rPr>
              <w:t>C5 – Anything else</w:t>
            </w:r>
            <w:r>
              <w:rPr>
                <w:noProof/>
                <w:webHidden/>
              </w:rPr>
              <w:tab/>
            </w:r>
            <w:r>
              <w:rPr>
                <w:noProof/>
                <w:webHidden/>
              </w:rPr>
              <w:fldChar w:fldCharType="begin"/>
            </w:r>
            <w:r>
              <w:rPr>
                <w:noProof/>
                <w:webHidden/>
              </w:rPr>
              <w:instrText xml:space="preserve"> PAGEREF _Toc192875411 \h </w:instrText>
            </w:r>
            <w:r>
              <w:rPr>
                <w:noProof/>
                <w:webHidden/>
              </w:rPr>
            </w:r>
            <w:r>
              <w:rPr>
                <w:noProof/>
                <w:webHidden/>
              </w:rPr>
              <w:fldChar w:fldCharType="separate"/>
            </w:r>
            <w:r>
              <w:rPr>
                <w:noProof/>
                <w:webHidden/>
              </w:rPr>
              <w:t>16</w:t>
            </w:r>
            <w:r>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1"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2"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3"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24A5383E" w:rsidR="008B7352" w:rsidRPr="0067189F" w:rsidRDefault="00F71E05"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8B2DFB">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F71E05"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5C652016" w:rsidR="008B7352" w:rsidRPr="007754E9" w:rsidRDefault="007754E9" w:rsidP="007754E9">
                            <w:pPr>
                              <w:spacing w:line="22" w:lineRule="atLeast"/>
                              <w:rPr>
                                <w:rFonts w:ascii="Aptos" w:hAnsi="Aptos" w:cs="Aptos"/>
                                <w:color w:val="2C7FCE"/>
                              </w:rPr>
                            </w:pPr>
                            <w:r w:rsidRPr="007754E9">
                              <w:rPr>
                                <w:rFonts w:ascii="Aptos" w:hAnsi="Aptos" w:cs="Aptos"/>
                                <w:color w:val="2C7FCE"/>
                              </w:rPr>
                              <w:t>Greenergy are a producer of the like goods and fuel supplier in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5C652016" w:rsidR="008B7352" w:rsidRPr="007754E9" w:rsidRDefault="007754E9" w:rsidP="007754E9">
                      <w:pPr>
                        <w:spacing w:line="22" w:lineRule="atLeast"/>
                        <w:rPr>
                          <w:rFonts w:ascii="Aptos" w:hAnsi="Aptos" w:cs="Aptos"/>
                          <w:color w:val="2C7FCE"/>
                        </w:rPr>
                      </w:pPr>
                      <w:r w:rsidRPr="007754E9">
                        <w:rPr>
                          <w:rFonts w:ascii="Aptos" w:hAnsi="Aptos" w:cs="Aptos"/>
                          <w:color w:val="2C7FCE"/>
                        </w:rPr>
                        <w:t>Greenergy are a producer of the like goods and fuel supplier in the UK.</w:t>
                      </w:r>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097CB948" w:rsidR="008B7352" w:rsidRPr="00FC3422" w:rsidRDefault="00400544" w:rsidP="008B7352">
                            <w:pPr>
                              <w:rPr>
                                <w:rFonts w:cs="Arial"/>
                                <w:color w:val="0070C0"/>
                              </w:rPr>
                            </w:pPr>
                            <w:r w:rsidRPr="00FC3422">
                              <w:rPr>
                                <w:rFonts w:cs="Arial"/>
                                <w:i/>
                                <w:color w:val="0070C0"/>
                              </w:rPr>
                              <w:t xml:space="preserve">Greenergy are a producer of FAME </w:t>
                            </w:r>
                            <w:r w:rsidR="00FC3422" w:rsidRPr="00FC3422">
                              <w:rPr>
                                <w:rFonts w:cs="Arial"/>
                                <w:i/>
                                <w:color w:val="0070C0"/>
                              </w:rPr>
                              <w:t>biodiesel with 2 plants located in the UK at Immingham and Teesside.</w:t>
                            </w:r>
                            <w:r w:rsidR="00FC3422">
                              <w:rPr>
                                <w:rFonts w:cs="Arial"/>
                                <w:i/>
                                <w:color w:val="0070C0"/>
                              </w:rPr>
                              <w:t xml:space="preserve"> The TRA have determined, in previous investigations, that FAME and HVO are like goods</w:t>
                            </w:r>
                            <w:r w:rsidR="009342CB">
                              <w:rPr>
                                <w:rFonts w:cs="Arial"/>
                                <w:i/>
                                <w:color w:val="0070C0"/>
                              </w:rPr>
                              <w:t>. Greenergy have suffered injury due to subsidised US HVO imports.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097CB948" w:rsidR="008B7352" w:rsidRPr="00FC3422" w:rsidRDefault="00400544" w:rsidP="008B7352">
                      <w:pPr>
                        <w:rPr>
                          <w:rFonts w:cs="Arial"/>
                          <w:color w:val="0070C0"/>
                        </w:rPr>
                      </w:pPr>
                      <w:r w:rsidRPr="00FC3422">
                        <w:rPr>
                          <w:rFonts w:cs="Arial"/>
                          <w:i/>
                          <w:color w:val="0070C0"/>
                        </w:rPr>
                        <w:t xml:space="preserve">Greenergy are a producer of FAME </w:t>
                      </w:r>
                      <w:r w:rsidR="00FC3422" w:rsidRPr="00FC3422">
                        <w:rPr>
                          <w:rFonts w:cs="Arial"/>
                          <w:i/>
                          <w:color w:val="0070C0"/>
                        </w:rPr>
                        <w:t>biodiesel with 2 plants located in the UK at Immingham and Teesside.</w:t>
                      </w:r>
                      <w:r w:rsidR="00FC3422">
                        <w:rPr>
                          <w:rFonts w:cs="Arial"/>
                          <w:i/>
                          <w:color w:val="0070C0"/>
                        </w:rPr>
                        <w:t xml:space="preserve"> The TRA have determined, in previous investigations, that FAME and HVO are like goods</w:t>
                      </w:r>
                      <w:r w:rsidR="009342CB">
                        <w:rPr>
                          <w:rFonts w:cs="Arial"/>
                          <w:i/>
                          <w:color w:val="0070C0"/>
                        </w:rPr>
                        <w:t>. Greenergy have suffered injury due to subsidised US HVO imports.</w:t>
                      </w:r>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4"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0" w:type="auto"/>
        <w:tblLook w:val="04A0" w:firstRow="1" w:lastRow="0" w:firstColumn="1" w:lastColumn="0" w:noHBand="0" w:noVBand="1"/>
      </w:tblPr>
      <w:tblGrid>
        <w:gridCol w:w="1463"/>
        <w:gridCol w:w="1711"/>
        <w:gridCol w:w="1682"/>
        <w:gridCol w:w="2012"/>
        <w:gridCol w:w="2153"/>
      </w:tblGrid>
      <w:tr w:rsidR="00471157" w14:paraId="0B2C6CA1" w14:textId="77777777" w:rsidTr="00471157">
        <w:tc>
          <w:tcPr>
            <w:tcW w:w="0" w:type="auto"/>
            <w:tcBorders>
              <w:top w:val="nil"/>
              <w:left w:val="nil"/>
              <w:bottom w:val="single" w:sz="4" w:space="0" w:color="auto"/>
              <w:right w:val="single" w:sz="4" w:space="0" w:color="auto"/>
            </w:tcBorders>
            <w:shd w:val="clear" w:color="auto" w:fill="auto"/>
          </w:tcPr>
          <w:p w14:paraId="74C9E2F4" w14:textId="77777777" w:rsidR="00471157" w:rsidRPr="00831866" w:rsidRDefault="00471157" w:rsidP="00D77F8A">
            <w:pPr>
              <w:spacing w:line="22" w:lineRule="atLeast"/>
              <w:rPr>
                <w:rFonts w:eastAsiaTheme="minorHAnsi" w:cs="Arial"/>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4B26A" w14:textId="77777777" w:rsidR="00471157" w:rsidRPr="00831866" w:rsidRDefault="00471157" w:rsidP="00D77F8A">
            <w:pPr>
              <w:spacing w:line="22" w:lineRule="atLeast"/>
              <w:jc w:val="center"/>
              <w:rPr>
                <w:rFonts w:cs="Arial"/>
                <w:b/>
                <w:szCs w:val="22"/>
              </w:rPr>
            </w:pPr>
            <w:r w:rsidRPr="00831866">
              <w:rPr>
                <w:rFonts w:cs="Arial"/>
                <w:b/>
                <w:szCs w:val="22"/>
              </w:rPr>
              <w:t>Company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D4514" w14:textId="77777777" w:rsidR="00471157" w:rsidRPr="00831866" w:rsidRDefault="00471157" w:rsidP="00D77F8A">
            <w:pPr>
              <w:spacing w:line="22" w:lineRule="atLeast"/>
              <w:jc w:val="center"/>
              <w:rPr>
                <w:rFonts w:cs="Arial"/>
                <w:b/>
                <w:szCs w:val="22"/>
              </w:rPr>
            </w:pPr>
            <w:r w:rsidRPr="00831866">
              <w:rPr>
                <w:rFonts w:cs="Arial"/>
                <w:b/>
                <w:szCs w:val="22"/>
              </w:rPr>
              <w:t>Company location</w:t>
            </w:r>
          </w:p>
          <w:p w14:paraId="591FEF6D" w14:textId="77777777" w:rsidR="00471157" w:rsidRPr="00831866" w:rsidRDefault="00471157" w:rsidP="00D77F8A">
            <w:pPr>
              <w:spacing w:line="22" w:lineRule="atLeast"/>
              <w:jc w:val="center"/>
              <w:rPr>
                <w:rFonts w:cs="Arial"/>
                <w:b/>
                <w:szCs w:val="22"/>
              </w:rPr>
            </w:pPr>
            <w:r w:rsidRPr="00831866">
              <w:rPr>
                <w:rFonts w:cs="Arial"/>
                <w:b/>
                <w:szCs w:val="22"/>
              </w:rPr>
              <w:t>(city, country)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103F0" w14:textId="77777777" w:rsidR="00471157" w:rsidRPr="00831866" w:rsidRDefault="00471157" w:rsidP="00D77F8A">
            <w:pPr>
              <w:spacing w:line="22" w:lineRule="atLeast"/>
              <w:jc w:val="center"/>
              <w:rPr>
                <w:rFonts w:cs="Arial"/>
                <w:b/>
                <w:szCs w:val="22"/>
              </w:rPr>
            </w:pPr>
            <w:r w:rsidRPr="00831866">
              <w:rPr>
                <w:rFonts w:cs="Arial"/>
                <w:b/>
                <w:szCs w:val="22"/>
              </w:rPr>
              <w:t>Activities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0D1C6" w14:textId="77777777" w:rsidR="00471157" w:rsidRPr="00831866" w:rsidRDefault="00471157" w:rsidP="00D77F8A">
            <w:pPr>
              <w:spacing w:line="22" w:lineRule="atLeast"/>
              <w:jc w:val="center"/>
              <w:rPr>
                <w:rFonts w:cs="Arial"/>
                <w:b/>
                <w:szCs w:val="22"/>
              </w:rPr>
            </w:pPr>
            <w:r w:rsidRPr="00831866">
              <w:rPr>
                <w:rFonts w:cs="Arial"/>
                <w:b/>
                <w:szCs w:val="22"/>
              </w:rPr>
              <w:t>Relationship</w:t>
            </w:r>
          </w:p>
        </w:tc>
      </w:tr>
      <w:tr w:rsidR="00471157" w14:paraId="69C6D7E2"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00BD8"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1</w:t>
            </w:r>
          </w:p>
        </w:tc>
        <w:tc>
          <w:tcPr>
            <w:tcW w:w="0" w:type="auto"/>
            <w:tcBorders>
              <w:top w:val="single" w:sz="4" w:space="0" w:color="auto"/>
              <w:left w:val="single" w:sz="4" w:space="0" w:color="auto"/>
              <w:bottom w:val="single" w:sz="4" w:space="0" w:color="auto"/>
              <w:right w:val="single" w:sz="4" w:space="0" w:color="auto"/>
            </w:tcBorders>
          </w:tcPr>
          <w:p w14:paraId="13E32F85" w14:textId="77777777" w:rsidR="00471157" w:rsidRPr="0030774E" w:rsidRDefault="00471157" w:rsidP="00D77F8A">
            <w:pPr>
              <w:spacing w:line="22" w:lineRule="atLeast"/>
              <w:rPr>
                <w:rFonts w:cs="Arial"/>
                <w:i/>
                <w:sz w:val="22"/>
                <w:szCs w:val="22"/>
              </w:rPr>
            </w:pPr>
            <w:r w:rsidRPr="001C22FF">
              <w:rPr>
                <w:rFonts w:ascii="Aptos" w:hAnsi="Aptos" w:cs="Aptos"/>
                <w:color w:val="2C7FCE"/>
              </w:rPr>
              <w:t>Greenergy Biofuels Amsterdam BV</w:t>
            </w:r>
          </w:p>
        </w:tc>
        <w:tc>
          <w:tcPr>
            <w:tcW w:w="0" w:type="auto"/>
            <w:tcBorders>
              <w:top w:val="single" w:sz="4" w:space="0" w:color="auto"/>
              <w:left w:val="single" w:sz="4" w:space="0" w:color="auto"/>
              <w:bottom w:val="single" w:sz="4" w:space="0" w:color="auto"/>
              <w:right w:val="single" w:sz="4" w:space="0" w:color="auto"/>
            </w:tcBorders>
          </w:tcPr>
          <w:p w14:paraId="0DA2B0D3" w14:textId="77777777" w:rsidR="00471157" w:rsidRPr="0030774E" w:rsidRDefault="00471157" w:rsidP="00D77F8A">
            <w:pPr>
              <w:spacing w:line="22" w:lineRule="atLeast"/>
              <w:rPr>
                <w:rFonts w:cs="Arial"/>
                <w:sz w:val="22"/>
                <w:szCs w:val="22"/>
              </w:rPr>
            </w:pPr>
            <w:r w:rsidRPr="001C22FF">
              <w:rPr>
                <w:rFonts w:ascii="Aptos" w:hAnsi="Aptos" w:cs="Aptos"/>
                <w:color w:val="2C7FCE"/>
              </w:rPr>
              <w:t>Amsterdam, The Netherlands</w:t>
            </w:r>
          </w:p>
        </w:tc>
        <w:tc>
          <w:tcPr>
            <w:tcW w:w="0" w:type="auto"/>
            <w:tcBorders>
              <w:top w:val="single" w:sz="4" w:space="0" w:color="auto"/>
              <w:left w:val="single" w:sz="4" w:space="0" w:color="auto"/>
              <w:bottom w:val="single" w:sz="4" w:space="0" w:color="auto"/>
              <w:right w:val="single" w:sz="4" w:space="0" w:color="auto"/>
            </w:tcBorders>
          </w:tcPr>
          <w:p w14:paraId="35664846"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2FEF730F" w14:textId="77777777" w:rsidR="00471157" w:rsidRPr="001C22FF" w:rsidRDefault="00471157" w:rsidP="00D77F8A">
            <w:pPr>
              <w:spacing w:line="22" w:lineRule="atLeast"/>
              <w:rPr>
                <w:rFonts w:ascii="Aptos" w:hAnsi="Aptos" w:cs="Aptos"/>
                <w:color w:val="2C7FCE"/>
              </w:rPr>
            </w:pPr>
          </w:p>
          <w:p w14:paraId="101DC0D2" w14:textId="77777777" w:rsidR="00471157" w:rsidRPr="0030774E" w:rsidRDefault="00471157" w:rsidP="00D77F8A">
            <w:pPr>
              <w:spacing w:line="22" w:lineRule="atLeast"/>
              <w:rPr>
                <w:rFonts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07AFEDF"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69908EE5" w14:textId="77777777" w:rsidR="00471157" w:rsidRPr="0030774E" w:rsidRDefault="00471157" w:rsidP="00D77F8A">
            <w:pPr>
              <w:spacing w:line="22" w:lineRule="atLeast"/>
              <w:rPr>
                <w:rFonts w:cs="Arial"/>
                <w:sz w:val="22"/>
                <w:szCs w:val="22"/>
              </w:rPr>
            </w:pPr>
          </w:p>
        </w:tc>
      </w:tr>
      <w:tr w:rsidR="00471157" w14:paraId="68FDF29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4DA23"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2</w:t>
            </w:r>
          </w:p>
        </w:tc>
        <w:tc>
          <w:tcPr>
            <w:tcW w:w="0" w:type="auto"/>
            <w:tcBorders>
              <w:top w:val="single" w:sz="4" w:space="0" w:color="auto"/>
              <w:left w:val="single" w:sz="4" w:space="0" w:color="auto"/>
              <w:bottom w:val="single" w:sz="4" w:space="0" w:color="auto"/>
              <w:right w:val="single" w:sz="4" w:space="0" w:color="auto"/>
            </w:tcBorders>
          </w:tcPr>
          <w:p w14:paraId="2E412CCF" w14:textId="77777777" w:rsidR="00471157" w:rsidRPr="0030774E" w:rsidRDefault="00471157" w:rsidP="00D77F8A">
            <w:pPr>
              <w:spacing w:line="22" w:lineRule="atLeast"/>
              <w:rPr>
                <w:rFonts w:cs="Arial"/>
                <w:i/>
                <w:sz w:val="22"/>
                <w:szCs w:val="22"/>
              </w:rPr>
            </w:pPr>
            <w:r w:rsidRPr="001C22FF">
              <w:rPr>
                <w:rFonts w:ascii="Aptos" w:hAnsi="Aptos" w:cs="Aptos"/>
                <w:color w:val="2C7FCE"/>
              </w:rPr>
              <w:t xml:space="preserve">Greenergy Biofuels </w:t>
            </w:r>
            <w:r>
              <w:rPr>
                <w:rFonts w:ascii="Aptos" w:hAnsi="Aptos" w:cs="Aptos"/>
                <w:color w:val="2C7FCE"/>
              </w:rPr>
              <w:t>Limited</w:t>
            </w:r>
          </w:p>
        </w:tc>
        <w:tc>
          <w:tcPr>
            <w:tcW w:w="0" w:type="auto"/>
            <w:tcBorders>
              <w:top w:val="single" w:sz="4" w:space="0" w:color="auto"/>
              <w:left w:val="single" w:sz="4" w:space="0" w:color="auto"/>
              <w:bottom w:val="single" w:sz="4" w:space="0" w:color="auto"/>
              <w:right w:val="single" w:sz="4" w:space="0" w:color="auto"/>
            </w:tcBorders>
          </w:tcPr>
          <w:p w14:paraId="1560CE9A" w14:textId="77777777" w:rsidR="00471157" w:rsidRPr="0030774E" w:rsidRDefault="00471157" w:rsidP="00D77F8A">
            <w:pPr>
              <w:spacing w:line="22" w:lineRule="atLeast"/>
              <w:rPr>
                <w:rFonts w:cs="Arial"/>
                <w:sz w:val="22"/>
                <w:szCs w:val="22"/>
              </w:rPr>
            </w:pPr>
            <w:r>
              <w:rPr>
                <w:rFonts w:ascii="Aptos" w:hAnsi="Aptos" w:cs="Aptos"/>
                <w:color w:val="2C7FCE"/>
              </w:rPr>
              <w:t>Immingham, UK</w:t>
            </w:r>
          </w:p>
        </w:tc>
        <w:tc>
          <w:tcPr>
            <w:tcW w:w="0" w:type="auto"/>
            <w:tcBorders>
              <w:top w:val="single" w:sz="4" w:space="0" w:color="auto"/>
              <w:left w:val="single" w:sz="4" w:space="0" w:color="auto"/>
              <w:bottom w:val="single" w:sz="4" w:space="0" w:color="auto"/>
              <w:right w:val="single" w:sz="4" w:space="0" w:color="auto"/>
            </w:tcBorders>
          </w:tcPr>
          <w:p w14:paraId="3DE2B5C6"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3D643FE0" w14:textId="77777777" w:rsidR="00471157" w:rsidRPr="001C22FF" w:rsidRDefault="00471157" w:rsidP="00D77F8A">
            <w:pPr>
              <w:spacing w:line="22" w:lineRule="atLeast"/>
              <w:rPr>
                <w:rFonts w:ascii="Aptos" w:hAnsi="Aptos" w:cs="Aptos"/>
                <w:color w:val="2C7FCE"/>
              </w:rPr>
            </w:pPr>
          </w:p>
          <w:p w14:paraId="49F35123" w14:textId="77777777" w:rsidR="00471157" w:rsidRPr="0030774E" w:rsidRDefault="00471157" w:rsidP="00D77F8A">
            <w:pPr>
              <w:spacing w:line="22" w:lineRule="atLeast"/>
              <w:rPr>
                <w:rFonts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67C809D"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415EB2CB" w14:textId="77777777" w:rsidR="00471157" w:rsidRPr="0030774E" w:rsidRDefault="00471157" w:rsidP="00D77F8A">
            <w:pPr>
              <w:spacing w:line="22" w:lineRule="atLeast"/>
              <w:rPr>
                <w:rFonts w:cs="Arial"/>
                <w:sz w:val="22"/>
                <w:szCs w:val="22"/>
              </w:rPr>
            </w:pPr>
          </w:p>
        </w:tc>
      </w:tr>
      <w:tr w:rsidR="00471157" w14:paraId="2FBEF3F6"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019FD"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3</w:t>
            </w:r>
          </w:p>
        </w:tc>
        <w:tc>
          <w:tcPr>
            <w:tcW w:w="0" w:type="auto"/>
            <w:tcBorders>
              <w:top w:val="single" w:sz="4" w:space="0" w:color="auto"/>
              <w:left w:val="single" w:sz="4" w:space="0" w:color="auto"/>
              <w:bottom w:val="single" w:sz="4" w:space="0" w:color="auto"/>
              <w:right w:val="single" w:sz="4" w:space="0" w:color="auto"/>
            </w:tcBorders>
          </w:tcPr>
          <w:p w14:paraId="2901F347"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Greenergy Biofuels</w:t>
            </w:r>
            <w:r>
              <w:rPr>
                <w:rFonts w:ascii="Aptos" w:hAnsi="Aptos" w:cs="Aptos"/>
                <w:color w:val="2C7FCE"/>
              </w:rPr>
              <w:t xml:space="preserve"> Teesside</w:t>
            </w:r>
            <w:r w:rsidRPr="001C22FF">
              <w:rPr>
                <w:rFonts w:ascii="Aptos" w:hAnsi="Aptos" w:cs="Aptos"/>
                <w:color w:val="2C7FCE"/>
              </w:rPr>
              <w:t xml:space="preserve"> </w:t>
            </w:r>
            <w:r>
              <w:rPr>
                <w:rFonts w:ascii="Aptos" w:hAnsi="Aptos" w:cs="Aptos"/>
                <w:color w:val="2C7FCE"/>
              </w:rPr>
              <w:t>Limited</w:t>
            </w:r>
          </w:p>
        </w:tc>
        <w:tc>
          <w:tcPr>
            <w:tcW w:w="0" w:type="auto"/>
            <w:tcBorders>
              <w:top w:val="single" w:sz="4" w:space="0" w:color="auto"/>
              <w:left w:val="single" w:sz="4" w:space="0" w:color="auto"/>
              <w:bottom w:val="single" w:sz="4" w:space="0" w:color="auto"/>
              <w:right w:val="single" w:sz="4" w:space="0" w:color="auto"/>
            </w:tcBorders>
          </w:tcPr>
          <w:p w14:paraId="4ADEA1B7" w14:textId="77777777" w:rsidR="00471157" w:rsidRPr="001C22FF" w:rsidRDefault="00471157" w:rsidP="00D77F8A">
            <w:pPr>
              <w:spacing w:line="22" w:lineRule="atLeast"/>
              <w:rPr>
                <w:rFonts w:ascii="Aptos" w:hAnsi="Aptos" w:cs="Aptos"/>
                <w:color w:val="2C7FCE"/>
              </w:rPr>
            </w:pPr>
            <w:r>
              <w:rPr>
                <w:rFonts w:ascii="Aptos" w:hAnsi="Aptos" w:cs="Aptos"/>
                <w:color w:val="2C7FCE"/>
              </w:rPr>
              <w:t>Teesside, UK</w:t>
            </w:r>
          </w:p>
        </w:tc>
        <w:tc>
          <w:tcPr>
            <w:tcW w:w="0" w:type="auto"/>
            <w:tcBorders>
              <w:top w:val="single" w:sz="4" w:space="0" w:color="auto"/>
              <w:left w:val="single" w:sz="4" w:space="0" w:color="auto"/>
              <w:bottom w:val="single" w:sz="4" w:space="0" w:color="auto"/>
              <w:right w:val="single" w:sz="4" w:space="0" w:color="auto"/>
            </w:tcBorders>
          </w:tcPr>
          <w:p w14:paraId="59EEC8CA" w14:textId="77777777" w:rsidR="00471157" w:rsidRPr="001C22FF" w:rsidRDefault="00471157" w:rsidP="00D77F8A">
            <w:pPr>
              <w:spacing w:line="22" w:lineRule="atLeast"/>
              <w:rPr>
                <w:rFonts w:ascii="Aptos" w:hAnsi="Aptos" w:cs="Aptos"/>
                <w:color w:val="2C7FCE"/>
              </w:rPr>
            </w:pPr>
            <w:r w:rsidRPr="001C22FF">
              <w:rPr>
                <w:rFonts w:ascii="Aptos" w:hAnsi="Aptos" w:cs="Aptos"/>
                <w:color w:val="2C7FCE"/>
              </w:rPr>
              <w:t>FAME Producer</w:t>
            </w:r>
          </w:p>
          <w:p w14:paraId="3899C905" w14:textId="77777777" w:rsidR="00471157" w:rsidRPr="001C22FF" w:rsidRDefault="00471157" w:rsidP="00D77F8A">
            <w:pPr>
              <w:spacing w:line="22" w:lineRule="atLeast"/>
              <w:rPr>
                <w:rFonts w:ascii="Aptos" w:hAnsi="Aptos" w:cs="Aptos"/>
                <w:color w:val="2C7FCE"/>
              </w:rPr>
            </w:pPr>
          </w:p>
          <w:p w14:paraId="7EC1A446" w14:textId="77777777" w:rsidR="00471157" w:rsidRPr="001C22FF"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65C7FB00" w14:textId="77777777" w:rsidR="00471157" w:rsidRPr="0030774E" w:rsidRDefault="00471157" w:rsidP="00D77F8A">
            <w:pPr>
              <w:spacing w:line="22" w:lineRule="atLeast"/>
              <w:rPr>
                <w:rFonts w:cs="Arial"/>
                <w:sz w:val="22"/>
                <w:szCs w:val="22"/>
              </w:rPr>
            </w:pPr>
            <w:r w:rsidRPr="007A3BAB">
              <w:rPr>
                <w:rFonts w:ascii="Aptos" w:hAnsi="Aptos" w:cs="Aptos"/>
                <w:color w:val="2C7FCE"/>
              </w:rPr>
              <w:t>Sister Company</w:t>
            </w:r>
            <w:r>
              <w:rPr>
                <w:rFonts w:ascii="Aptos" w:hAnsi="Aptos" w:cs="Aptos"/>
                <w:color w:val="2C7FCE"/>
              </w:rPr>
              <w:t xml:space="preserve"> (FAME Producer (under tolling agreement with GFL)</w:t>
            </w:r>
          </w:p>
          <w:p w14:paraId="43F52CA8" w14:textId="77777777" w:rsidR="00471157" w:rsidRPr="007A3BAB" w:rsidRDefault="00471157" w:rsidP="00D77F8A">
            <w:pPr>
              <w:spacing w:line="22" w:lineRule="atLeast"/>
              <w:rPr>
                <w:rFonts w:ascii="Aptos" w:hAnsi="Aptos" w:cs="Aptos"/>
                <w:color w:val="2C7FCE"/>
              </w:rPr>
            </w:pPr>
          </w:p>
        </w:tc>
      </w:tr>
      <w:tr w:rsidR="00471157" w14:paraId="34812D6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1F06B"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 xml:space="preserve">arty </w:t>
            </w:r>
            <w:r>
              <w:rPr>
                <w:rFonts w:cs="Arial"/>
                <w:szCs w:val="22"/>
              </w:rPr>
              <w:t>4</w:t>
            </w:r>
          </w:p>
        </w:tc>
        <w:tc>
          <w:tcPr>
            <w:tcW w:w="0" w:type="auto"/>
            <w:tcBorders>
              <w:top w:val="single" w:sz="4" w:space="0" w:color="auto"/>
              <w:left w:val="single" w:sz="4" w:space="0" w:color="auto"/>
              <w:bottom w:val="single" w:sz="4" w:space="0" w:color="auto"/>
              <w:right w:val="single" w:sz="4" w:space="0" w:color="auto"/>
            </w:tcBorders>
          </w:tcPr>
          <w:p w14:paraId="1E9120B9" w14:textId="77777777" w:rsidR="00471157" w:rsidRPr="001C22FF" w:rsidRDefault="00471157" w:rsidP="00D77F8A">
            <w:pPr>
              <w:spacing w:line="22" w:lineRule="atLeast"/>
              <w:rPr>
                <w:rFonts w:ascii="Aptos" w:hAnsi="Aptos" w:cs="Aptos"/>
                <w:color w:val="2C7FCE"/>
              </w:rPr>
            </w:pPr>
            <w:r>
              <w:rPr>
                <w:rFonts w:ascii="Aptos" w:hAnsi="Aptos" w:cs="Aptos"/>
                <w:color w:val="2C7FCE"/>
              </w:rPr>
              <w:t>Trafigura Group</w:t>
            </w:r>
          </w:p>
        </w:tc>
        <w:tc>
          <w:tcPr>
            <w:tcW w:w="0" w:type="auto"/>
            <w:tcBorders>
              <w:top w:val="single" w:sz="4" w:space="0" w:color="auto"/>
              <w:left w:val="single" w:sz="4" w:space="0" w:color="auto"/>
              <w:bottom w:val="single" w:sz="4" w:space="0" w:color="auto"/>
              <w:right w:val="single" w:sz="4" w:space="0" w:color="auto"/>
            </w:tcBorders>
          </w:tcPr>
          <w:p w14:paraId="40A1299B" w14:textId="77777777" w:rsidR="00471157" w:rsidRPr="001C22FF" w:rsidRDefault="00471157" w:rsidP="00D77F8A">
            <w:pPr>
              <w:spacing w:line="22" w:lineRule="atLeast"/>
              <w:rPr>
                <w:rFonts w:ascii="Aptos" w:hAnsi="Aptos" w:cs="Aptos"/>
                <w:color w:val="2C7FCE"/>
              </w:rPr>
            </w:pPr>
            <w:r>
              <w:rPr>
                <w:rFonts w:ascii="Aptos" w:hAnsi="Aptos" w:cs="Aptos"/>
                <w:color w:val="2C7FCE"/>
              </w:rPr>
              <w:t>Geneva, Switzerland</w:t>
            </w:r>
          </w:p>
        </w:tc>
        <w:tc>
          <w:tcPr>
            <w:tcW w:w="0" w:type="auto"/>
            <w:tcBorders>
              <w:top w:val="single" w:sz="4" w:space="0" w:color="auto"/>
              <w:left w:val="single" w:sz="4" w:space="0" w:color="auto"/>
              <w:bottom w:val="single" w:sz="4" w:space="0" w:color="auto"/>
              <w:right w:val="single" w:sz="4" w:space="0" w:color="auto"/>
            </w:tcBorders>
          </w:tcPr>
          <w:p w14:paraId="01C5F555" w14:textId="77777777" w:rsidR="00471157" w:rsidRPr="001C22FF" w:rsidRDefault="00471157" w:rsidP="00D77F8A">
            <w:pPr>
              <w:spacing w:line="22" w:lineRule="atLeast"/>
              <w:rPr>
                <w:rFonts w:ascii="Aptos" w:hAnsi="Aptos" w:cs="Aptos"/>
                <w:color w:val="2C7FCE"/>
              </w:rPr>
            </w:pPr>
            <w:r>
              <w:rPr>
                <w:rFonts w:ascii="Aptos" w:hAnsi="Aptos" w:cs="Aptos"/>
                <w:color w:val="2C7FCE"/>
              </w:rPr>
              <w:t>Trader of commodities including FAME and HVO</w:t>
            </w:r>
          </w:p>
          <w:p w14:paraId="22615F13" w14:textId="77777777" w:rsidR="00471157" w:rsidRPr="001C22FF" w:rsidRDefault="00471157" w:rsidP="00D77F8A">
            <w:pPr>
              <w:spacing w:line="22" w:lineRule="atLeast"/>
              <w:rPr>
                <w:rFonts w:ascii="Aptos" w:hAnsi="Aptos" w:cs="Aptos"/>
                <w:color w:val="2C7FCE"/>
              </w:rPr>
            </w:pPr>
          </w:p>
          <w:p w14:paraId="0C89214B" w14:textId="77777777" w:rsidR="00471157" w:rsidRPr="001C22FF"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03CEE602" w14:textId="77777777" w:rsidR="00471157" w:rsidRPr="0030774E" w:rsidRDefault="00471157" w:rsidP="00D77F8A">
            <w:pPr>
              <w:spacing w:line="22" w:lineRule="atLeast"/>
              <w:rPr>
                <w:rFonts w:cs="Arial"/>
                <w:sz w:val="22"/>
                <w:szCs w:val="22"/>
              </w:rPr>
            </w:pPr>
            <w:r>
              <w:rPr>
                <w:rFonts w:ascii="Aptos" w:hAnsi="Aptos" w:cs="Aptos"/>
                <w:color w:val="2C7FCE"/>
              </w:rPr>
              <w:t>100% Shareholder of Greenergy Fuels Ltd</w:t>
            </w:r>
          </w:p>
          <w:p w14:paraId="335A9133" w14:textId="77777777" w:rsidR="00471157" w:rsidRPr="007A3BAB" w:rsidRDefault="00471157" w:rsidP="00D77F8A">
            <w:pPr>
              <w:spacing w:line="22" w:lineRule="atLeast"/>
              <w:rPr>
                <w:rFonts w:ascii="Aptos" w:hAnsi="Aptos" w:cs="Aptos"/>
                <w:color w:val="2C7FCE"/>
              </w:rPr>
            </w:pPr>
          </w:p>
        </w:tc>
      </w:tr>
      <w:tr w:rsidR="00471157" w14:paraId="77589714"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72354"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5</w:t>
            </w:r>
          </w:p>
        </w:tc>
        <w:tc>
          <w:tcPr>
            <w:tcW w:w="0" w:type="auto"/>
            <w:tcBorders>
              <w:top w:val="single" w:sz="4" w:space="0" w:color="auto"/>
              <w:left w:val="single" w:sz="4" w:space="0" w:color="auto"/>
              <w:bottom w:val="single" w:sz="4" w:space="0" w:color="auto"/>
              <w:right w:val="single" w:sz="4" w:space="0" w:color="auto"/>
            </w:tcBorders>
          </w:tcPr>
          <w:p w14:paraId="3ED32ABA" w14:textId="77777777" w:rsidR="00471157" w:rsidRDefault="00471157" w:rsidP="00D77F8A">
            <w:pPr>
              <w:spacing w:line="22" w:lineRule="atLeast"/>
              <w:rPr>
                <w:rFonts w:ascii="Aptos" w:hAnsi="Aptos" w:cs="Aptos"/>
                <w:color w:val="2C7FCE"/>
              </w:rPr>
            </w:pPr>
            <w:r>
              <w:rPr>
                <w:rFonts w:ascii="Aptos" w:hAnsi="Aptos" w:cs="Aptos"/>
                <w:color w:val="2C7FCE"/>
              </w:rPr>
              <w:t>Greenergy USA</w:t>
            </w:r>
          </w:p>
        </w:tc>
        <w:tc>
          <w:tcPr>
            <w:tcW w:w="0" w:type="auto"/>
            <w:tcBorders>
              <w:top w:val="single" w:sz="4" w:space="0" w:color="auto"/>
              <w:left w:val="single" w:sz="4" w:space="0" w:color="auto"/>
              <w:bottom w:val="single" w:sz="4" w:space="0" w:color="auto"/>
              <w:right w:val="single" w:sz="4" w:space="0" w:color="auto"/>
            </w:tcBorders>
          </w:tcPr>
          <w:p w14:paraId="461AF9E9" w14:textId="77777777" w:rsidR="00471157" w:rsidRDefault="00471157" w:rsidP="00D77F8A">
            <w:pPr>
              <w:spacing w:line="22" w:lineRule="atLeast"/>
              <w:rPr>
                <w:rFonts w:ascii="Aptos" w:hAnsi="Aptos" w:cs="Aptos"/>
                <w:color w:val="2C7FCE"/>
              </w:rPr>
            </w:pPr>
            <w:r>
              <w:rPr>
                <w:rFonts w:ascii="Aptos" w:hAnsi="Aptos" w:cs="Aptos"/>
                <w:color w:val="2C7FCE"/>
              </w:rPr>
              <w:t>Texas, USA</w:t>
            </w:r>
          </w:p>
        </w:tc>
        <w:tc>
          <w:tcPr>
            <w:tcW w:w="0" w:type="auto"/>
            <w:tcBorders>
              <w:top w:val="single" w:sz="4" w:space="0" w:color="auto"/>
              <w:left w:val="single" w:sz="4" w:space="0" w:color="auto"/>
              <w:bottom w:val="single" w:sz="4" w:space="0" w:color="auto"/>
              <w:right w:val="single" w:sz="4" w:space="0" w:color="auto"/>
            </w:tcBorders>
          </w:tcPr>
          <w:p w14:paraId="13F23F68" w14:textId="77777777" w:rsidR="00471157" w:rsidRPr="001C22FF" w:rsidRDefault="00471157" w:rsidP="00D77F8A">
            <w:pPr>
              <w:spacing w:line="22" w:lineRule="atLeast"/>
              <w:rPr>
                <w:rFonts w:ascii="Aptos" w:hAnsi="Aptos" w:cs="Aptos"/>
                <w:color w:val="2C7FCE"/>
              </w:rPr>
            </w:pPr>
            <w:r>
              <w:rPr>
                <w:rFonts w:ascii="Aptos" w:hAnsi="Aptos" w:cs="Aptos"/>
                <w:color w:val="2C7FCE"/>
              </w:rPr>
              <w:t>Trader of commodities including feedstock, FAME and HVO</w:t>
            </w:r>
          </w:p>
          <w:p w14:paraId="4F773180" w14:textId="77777777" w:rsidR="00471157" w:rsidRPr="001C22FF" w:rsidRDefault="00471157" w:rsidP="00D77F8A">
            <w:pPr>
              <w:spacing w:line="22" w:lineRule="atLeast"/>
              <w:rPr>
                <w:rFonts w:ascii="Aptos" w:hAnsi="Aptos" w:cs="Aptos"/>
                <w:color w:val="2C7FCE"/>
              </w:rPr>
            </w:pPr>
          </w:p>
          <w:p w14:paraId="2AB2E899"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2C91FB0B" w14:textId="77777777" w:rsidR="00471157" w:rsidRDefault="00471157" w:rsidP="00D77F8A">
            <w:pPr>
              <w:spacing w:line="22" w:lineRule="atLeast"/>
              <w:rPr>
                <w:rFonts w:ascii="Aptos" w:hAnsi="Aptos" w:cs="Aptos"/>
                <w:color w:val="2C7FCE"/>
              </w:rPr>
            </w:pPr>
            <w:r w:rsidRPr="007A3BAB">
              <w:rPr>
                <w:rFonts w:ascii="Aptos" w:hAnsi="Aptos" w:cs="Aptos"/>
                <w:color w:val="2C7FCE"/>
              </w:rPr>
              <w:lastRenderedPageBreak/>
              <w:t>Sister Company</w:t>
            </w:r>
            <w:r>
              <w:rPr>
                <w:rFonts w:ascii="Aptos" w:hAnsi="Aptos" w:cs="Aptos"/>
                <w:color w:val="2C7FCE"/>
              </w:rPr>
              <w:t xml:space="preserve"> </w:t>
            </w:r>
          </w:p>
        </w:tc>
      </w:tr>
      <w:tr w:rsidR="00471157" w14:paraId="467EDC9D"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8E26A"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6</w:t>
            </w:r>
          </w:p>
        </w:tc>
        <w:tc>
          <w:tcPr>
            <w:tcW w:w="0" w:type="auto"/>
            <w:tcBorders>
              <w:top w:val="single" w:sz="4" w:space="0" w:color="auto"/>
              <w:left w:val="single" w:sz="4" w:space="0" w:color="auto"/>
              <w:bottom w:val="single" w:sz="4" w:space="0" w:color="auto"/>
              <w:right w:val="single" w:sz="4" w:space="0" w:color="auto"/>
            </w:tcBorders>
          </w:tcPr>
          <w:p w14:paraId="1602B1A3" w14:textId="77777777" w:rsidR="00471157" w:rsidRDefault="00471157" w:rsidP="00D77F8A">
            <w:pPr>
              <w:spacing w:line="22" w:lineRule="atLeast"/>
              <w:rPr>
                <w:rFonts w:ascii="Aptos" w:hAnsi="Aptos" w:cs="Aptos"/>
                <w:color w:val="2C7FCE"/>
              </w:rPr>
            </w:pPr>
            <w:r>
              <w:rPr>
                <w:rFonts w:ascii="Aptos" w:hAnsi="Aptos" w:cs="Aptos"/>
                <w:color w:val="2C7FCE"/>
              </w:rPr>
              <w:t>Greenergy Renewables Singapore</w:t>
            </w:r>
          </w:p>
          <w:p w14:paraId="00656561" w14:textId="7D1B7DD8"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4CEEDF54" w14:textId="77777777" w:rsidR="00471157" w:rsidRDefault="00471157" w:rsidP="00D77F8A">
            <w:pPr>
              <w:spacing w:line="22" w:lineRule="atLeast"/>
              <w:rPr>
                <w:rFonts w:ascii="Aptos" w:hAnsi="Aptos" w:cs="Aptos"/>
                <w:color w:val="2C7FCE"/>
              </w:rPr>
            </w:pPr>
            <w:r>
              <w:rPr>
                <w:rFonts w:ascii="Aptos" w:hAnsi="Aptos" w:cs="Aptos"/>
                <w:color w:val="2C7FCE"/>
              </w:rPr>
              <w:t>Singapore</w:t>
            </w:r>
          </w:p>
        </w:tc>
        <w:tc>
          <w:tcPr>
            <w:tcW w:w="0" w:type="auto"/>
            <w:tcBorders>
              <w:top w:val="single" w:sz="4" w:space="0" w:color="auto"/>
              <w:left w:val="single" w:sz="4" w:space="0" w:color="auto"/>
              <w:bottom w:val="single" w:sz="4" w:space="0" w:color="auto"/>
              <w:right w:val="single" w:sz="4" w:space="0" w:color="auto"/>
            </w:tcBorders>
          </w:tcPr>
          <w:p w14:paraId="02FA6FFD" w14:textId="77777777" w:rsidR="00471157" w:rsidRPr="001C22FF" w:rsidRDefault="00471157" w:rsidP="00D77F8A">
            <w:pPr>
              <w:spacing w:line="22" w:lineRule="atLeast"/>
              <w:rPr>
                <w:rFonts w:ascii="Aptos" w:hAnsi="Aptos" w:cs="Aptos"/>
                <w:color w:val="2C7FCE"/>
              </w:rPr>
            </w:pPr>
            <w:r>
              <w:rPr>
                <w:rFonts w:ascii="Aptos" w:hAnsi="Aptos" w:cs="Aptos"/>
                <w:color w:val="2C7FCE"/>
              </w:rPr>
              <w:t>Aggregator and trader of feedstocks</w:t>
            </w:r>
          </w:p>
          <w:p w14:paraId="5CA6EFEF" w14:textId="77777777" w:rsidR="00471157" w:rsidRPr="001C22FF" w:rsidRDefault="00471157" w:rsidP="00D77F8A">
            <w:pPr>
              <w:spacing w:line="22" w:lineRule="atLeast"/>
              <w:rPr>
                <w:rFonts w:ascii="Aptos" w:hAnsi="Aptos" w:cs="Aptos"/>
                <w:color w:val="2C7FCE"/>
              </w:rPr>
            </w:pPr>
          </w:p>
          <w:p w14:paraId="0B4F986B"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0796FD44" w14:textId="77777777" w:rsidR="00471157" w:rsidRDefault="00471157" w:rsidP="00D77F8A">
            <w:pPr>
              <w:spacing w:line="22" w:lineRule="atLeast"/>
              <w:rPr>
                <w:rFonts w:ascii="Aptos" w:hAnsi="Aptos" w:cs="Aptos"/>
                <w:color w:val="2C7FCE"/>
              </w:rPr>
            </w:pPr>
            <w:r w:rsidRPr="007A3BAB">
              <w:rPr>
                <w:rFonts w:ascii="Aptos" w:hAnsi="Aptos" w:cs="Aptos"/>
                <w:color w:val="2C7FCE"/>
              </w:rPr>
              <w:t>Sister Company</w:t>
            </w:r>
            <w:r>
              <w:rPr>
                <w:rFonts w:ascii="Aptos" w:hAnsi="Aptos" w:cs="Aptos"/>
                <w:color w:val="2C7FCE"/>
              </w:rPr>
              <w:t xml:space="preserve"> </w:t>
            </w:r>
          </w:p>
        </w:tc>
      </w:tr>
      <w:tr w:rsidR="00471157" w14:paraId="42A788B5" w14:textId="77777777" w:rsidTr="00471157">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254BF" w14:textId="77777777" w:rsidR="00471157" w:rsidRPr="00831866" w:rsidRDefault="00471157" w:rsidP="00D77F8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w:t>
            </w:r>
            <w:r>
              <w:rPr>
                <w:rFonts w:cs="Arial"/>
                <w:szCs w:val="22"/>
              </w:rPr>
              <w:t xml:space="preserve"> 7</w:t>
            </w:r>
          </w:p>
        </w:tc>
        <w:tc>
          <w:tcPr>
            <w:tcW w:w="0" w:type="auto"/>
            <w:tcBorders>
              <w:top w:val="single" w:sz="4" w:space="0" w:color="auto"/>
              <w:left w:val="single" w:sz="4" w:space="0" w:color="auto"/>
              <w:bottom w:val="single" w:sz="4" w:space="0" w:color="auto"/>
              <w:right w:val="single" w:sz="4" w:space="0" w:color="auto"/>
            </w:tcBorders>
          </w:tcPr>
          <w:p w14:paraId="04D9D179" w14:textId="77777777" w:rsidR="00471157" w:rsidRDefault="00471157" w:rsidP="00D77F8A">
            <w:pPr>
              <w:spacing w:line="22" w:lineRule="atLeast"/>
              <w:rPr>
                <w:rFonts w:ascii="Aptos" w:hAnsi="Aptos" w:cs="Aptos"/>
                <w:color w:val="2C7FCE"/>
              </w:rPr>
            </w:pPr>
            <w:proofErr w:type="spellStart"/>
            <w:r>
              <w:rPr>
                <w:rFonts w:ascii="Aptos" w:hAnsi="Aptos" w:cs="Aptos"/>
                <w:color w:val="2C7FCE"/>
              </w:rPr>
              <w:t>Greenlife</w:t>
            </w:r>
            <w:proofErr w:type="spellEnd"/>
            <w:r>
              <w:rPr>
                <w:rFonts w:ascii="Aptos" w:hAnsi="Aptos" w:cs="Aptos"/>
                <w:color w:val="2C7FCE"/>
              </w:rPr>
              <w:t xml:space="preserve"> Oils</w:t>
            </w:r>
          </w:p>
        </w:tc>
        <w:tc>
          <w:tcPr>
            <w:tcW w:w="0" w:type="auto"/>
            <w:tcBorders>
              <w:top w:val="single" w:sz="4" w:space="0" w:color="auto"/>
              <w:left w:val="single" w:sz="4" w:space="0" w:color="auto"/>
              <w:bottom w:val="single" w:sz="4" w:space="0" w:color="auto"/>
              <w:right w:val="single" w:sz="4" w:space="0" w:color="auto"/>
            </w:tcBorders>
          </w:tcPr>
          <w:p w14:paraId="3345B745" w14:textId="77777777" w:rsidR="00471157" w:rsidRDefault="00471157" w:rsidP="00D77F8A">
            <w:pPr>
              <w:spacing w:line="22" w:lineRule="atLeast"/>
              <w:rPr>
                <w:rFonts w:ascii="Aptos" w:hAnsi="Aptos" w:cs="Aptos"/>
                <w:color w:val="2C7FCE"/>
              </w:rPr>
            </w:pPr>
            <w:r>
              <w:rPr>
                <w:rFonts w:ascii="Aptos" w:hAnsi="Aptos" w:cs="Aptos"/>
                <w:color w:val="2C7FCE"/>
              </w:rPr>
              <w:t>Australia</w:t>
            </w:r>
          </w:p>
        </w:tc>
        <w:tc>
          <w:tcPr>
            <w:tcW w:w="0" w:type="auto"/>
            <w:tcBorders>
              <w:top w:val="single" w:sz="4" w:space="0" w:color="auto"/>
              <w:left w:val="single" w:sz="4" w:space="0" w:color="auto"/>
              <w:bottom w:val="single" w:sz="4" w:space="0" w:color="auto"/>
              <w:right w:val="single" w:sz="4" w:space="0" w:color="auto"/>
            </w:tcBorders>
          </w:tcPr>
          <w:p w14:paraId="1494A145" w14:textId="77777777" w:rsidR="00471157" w:rsidRPr="001C22FF" w:rsidRDefault="00471157" w:rsidP="00D77F8A">
            <w:pPr>
              <w:spacing w:line="22" w:lineRule="atLeast"/>
              <w:rPr>
                <w:rFonts w:ascii="Aptos" w:hAnsi="Aptos" w:cs="Aptos"/>
                <w:color w:val="2C7FCE"/>
              </w:rPr>
            </w:pPr>
            <w:r>
              <w:rPr>
                <w:rFonts w:ascii="Aptos" w:hAnsi="Aptos" w:cs="Aptos"/>
                <w:color w:val="2C7FCE"/>
              </w:rPr>
              <w:t>Collector and trader of feedstocks</w:t>
            </w:r>
          </w:p>
          <w:p w14:paraId="24FB8752" w14:textId="77777777" w:rsidR="00471157" w:rsidRDefault="00471157" w:rsidP="00D77F8A">
            <w:pPr>
              <w:spacing w:line="22" w:lineRule="atLeast"/>
              <w:rPr>
                <w:rFonts w:ascii="Aptos" w:hAnsi="Aptos" w:cs="Aptos"/>
                <w:color w:val="2C7FCE"/>
              </w:rPr>
            </w:pPr>
          </w:p>
        </w:tc>
        <w:tc>
          <w:tcPr>
            <w:tcW w:w="0" w:type="auto"/>
            <w:tcBorders>
              <w:top w:val="single" w:sz="4" w:space="0" w:color="auto"/>
              <w:left w:val="single" w:sz="4" w:space="0" w:color="auto"/>
              <w:bottom w:val="single" w:sz="4" w:space="0" w:color="auto"/>
              <w:right w:val="single" w:sz="4" w:space="0" w:color="auto"/>
            </w:tcBorders>
          </w:tcPr>
          <w:p w14:paraId="6083118E" w14:textId="77777777" w:rsidR="00471157" w:rsidRPr="0030774E" w:rsidRDefault="00471157" w:rsidP="00D77F8A">
            <w:pPr>
              <w:spacing w:line="22" w:lineRule="atLeast"/>
              <w:rPr>
                <w:rFonts w:cs="Arial"/>
                <w:sz w:val="22"/>
                <w:szCs w:val="22"/>
              </w:rPr>
            </w:pPr>
            <w:r>
              <w:rPr>
                <w:rFonts w:ascii="Aptos" w:hAnsi="Aptos" w:cs="Aptos"/>
                <w:color w:val="2C7FCE"/>
              </w:rPr>
              <w:t>Subsidiary</w:t>
            </w:r>
          </w:p>
          <w:p w14:paraId="1F455A57" w14:textId="77777777" w:rsidR="00471157" w:rsidRDefault="00471157" w:rsidP="00D77F8A">
            <w:pPr>
              <w:spacing w:line="22" w:lineRule="atLeast"/>
              <w:rPr>
                <w:rFonts w:ascii="Aptos" w:hAnsi="Aptos" w:cs="Aptos"/>
                <w:color w:val="2C7FCE"/>
              </w:rPr>
            </w:pPr>
          </w:p>
        </w:tc>
      </w:tr>
    </w:tbl>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5"/>
          <w:footerReference w:type="default" r:id="rId16"/>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113D91" w:rsidRPr="00E15C0F" w14:paraId="09BB8D8D" w14:textId="1EA86CE6" w:rsidTr="00AB58A8">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113D91" w:rsidRPr="0067189F" w:rsidRDefault="00113D91" w:rsidP="00113D91">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113D91" w:rsidRPr="0067189F" w:rsidRDefault="00113D91" w:rsidP="00113D91">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208449FE" w:rsidR="00113D91" w:rsidRPr="00D73691" w:rsidRDefault="00425D56" w:rsidP="00113D91">
            <w:pPr>
              <w:keepNext/>
              <w:keepLines/>
              <w:spacing w:line="22" w:lineRule="atLeast"/>
              <w:jc w:val="center"/>
              <w:rPr>
                <w:rFonts w:eastAsia="Calibri" w:cs="Arial"/>
                <w:color w:val="0070C0"/>
                <w:u w:val="single"/>
              </w:rPr>
            </w:pPr>
            <w:r>
              <w:rPr>
                <w:rFonts w:eastAsia="Calibri" w:cs="Arial"/>
                <w:color w:val="0070C0"/>
                <w:u w:val="single"/>
              </w:rPr>
              <w:t>[100000-300000]</w:t>
            </w:r>
          </w:p>
        </w:tc>
        <w:tc>
          <w:tcPr>
            <w:tcW w:w="1666" w:type="pct"/>
            <w:tcBorders>
              <w:top w:val="single" w:sz="4" w:space="0" w:color="auto"/>
              <w:left w:val="single" w:sz="4" w:space="0" w:color="auto"/>
              <w:bottom w:val="single" w:sz="4" w:space="0" w:color="auto"/>
              <w:right w:val="single" w:sz="4" w:space="0" w:color="auto"/>
            </w:tcBorders>
            <w:vAlign w:val="center"/>
          </w:tcPr>
          <w:p w14:paraId="3E668082" w14:textId="18CC47D1" w:rsidR="00113D91" w:rsidRPr="00D73691" w:rsidRDefault="00425D56" w:rsidP="00113D91">
            <w:pPr>
              <w:keepNext/>
              <w:keepLines/>
              <w:spacing w:line="22" w:lineRule="atLeast"/>
              <w:jc w:val="center"/>
              <w:rPr>
                <w:rFonts w:eastAsia="Calibri" w:cs="Arial"/>
                <w:color w:val="0070C0"/>
                <w:u w:val="single"/>
              </w:rPr>
            </w:pPr>
            <w:r>
              <w:rPr>
                <w:rFonts w:eastAsia="Calibri" w:cs="Arial"/>
                <w:color w:val="0070C0"/>
                <w:u w:val="single"/>
              </w:rPr>
              <w:t>[113000-341000</w:t>
            </w:r>
          </w:p>
        </w:tc>
      </w:tr>
      <w:tr w:rsidR="00113D91" w:rsidRPr="00E15C0F" w14:paraId="5FD65567" w14:textId="3B9E03C6" w:rsidTr="00113D9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113D91" w:rsidRPr="0067189F" w:rsidRDefault="00113D91" w:rsidP="00113D91">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113D91" w:rsidRPr="0067189F" w:rsidRDefault="00113D91" w:rsidP="00113D91">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5D1FE7AC" w:rsidR="00113D91" w:rsidRPr="00D73691" w:rsidRDefault="00630BD4" w:rsidP="00113D91">
            <w:pPr>
              <w:keepNext/>
              <w:keepLines/>
              <w:spacing w:line="22" w:lineRule="atLeast"/>
              <w:jc w:val="center"/>
              <w:rPr>
                <w:rFonts w:eastAsia="Calibri" w:cs="Arial"/>
                <w:color w:val="0070C0"/>
                <w:u w:val="single"/>
              </w:rPr>
            </w:pPr>
            <w:r>
              <w:rPr>
                <w:rFonts w:eastAsia="Calibri" w:cs="Arial"/>
                <w:color w:val="0070C0"/>
                <w:u w:val="single"/>
              </w:rPr>
              <w:t>[300000-600000]</w:t>
            </w:r>
          </w:p>
        </w:tc>
        <w:tc>
          <w:tcPr>
            <w:tcW w:w="1666" w:type="pct"/>
            <w:tcBorders>
              <w:top w:val="single" w:sz="4" w:space="0" w:color="auto"/>
              <w:left w:val="single" w:sz="4" w:space="0" w:color="auto"/>
              <w:bottom w:val="single" w:sz="4" w:space="0" w:color="auto"/>
              <w:right w:val="single" w:sz="4" w:space="0" w:color="auto"/>
            </w:tcBorders>
            <w:vAlign w:val="center"/>
          </w:tcPr>
          <w:p w14:paraId="38038DA2" w14:textId="3F640A8A" w:rsidR="00113D91" w:rsidRPr="00D73691" w:rsidRDefault="00630BD4" w:rsidP="00113D91">
            <w:pPr>
              <w:keepNext/>
              <w:keepLines/>
              <w:spacing w:line="22" w:lineRule="atLeast"/>
              <w:jc w:val="center"/>
              <w:rPr>
                <w:rFonts w:eastAsia="Calibri" w:cs="Arial"/>
                <w:color w:val="0070C0"/>
                <w:u w:val="single"/>
              </w:rPr>
            </w:pPr>
            <w:r>
              <w:rPr>
                <w:rFonts w:eastAsia="Calibri" w:cs="Arial"/>
                <w:color w:val="0070C0"/>
                <w:u w:val="single"/>
              </w:rPr>
              <w:t>[341000-681000]</w:t>
            </w: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jc w:val="center"/>
        <w:tblLook w:val="04A0" w:firstRow="1" w:lastRow="0" w:firstColumn="1" w:lastColumn="0" w:noHBand="0" w:noVBand="1"/>
      </w:tblPr>
      <w:tblGrid>
        <w:gridCol w:w="1151"/>
        <w:gridCol w:w="1573"/>
        <w:gridCol w:w="1573"/>
        <w:gridCol w:w="1573"/>
        <w:gridCol w:w="1573"/>
        <w:gridCol w:w="1573"/>
      </w:tblGrid>
      <w:tr w:rsidR="00C130B1" w:rsidRPr="002945C3" w14:paraId="769CD359" w14:textId="77777777" w:rsidTr="00C130B1">
        <w:trPr>
          <w:trHeight w:val="1112"/>
          <w:jc w:val="center"/>
        </w:trPr>
        <w:tc>
          <w:tcPr>
            <w:tcW w:w="66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909"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72"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1047" w:type="pct"/>
            <w:shd w:val="pct15" w:color="auto" w:fill="auto"/>
          </w:tcPr>
          <w:p w14:paraId="1BA7B999" w14:textId="3FB26FD7" w:rsidR="005820CB" w:rsidRPr="002945C3" w:rsidRDefault="005820CB" w:rsidP="005820CB">
            <w:pPr>
              <w:keepNext/>
              <w:keepLines/>
              <w:spacing w:line="22" w:lineRule="atLeast"/>
              <w:jc w:val="center"/>
              <w:rPr>
                <w:rFonts w:cs="Arial"/>
                <w:b/>
              </w:rPr>
            </w:pPr>
            <w:r w:rsidRPr="002945C3">
              <w:rPr>
                <w:rFonts w:cs="Arial"/>
                <w:b/>
              </w:rPr>
              <w:t xml:space="preserve">Value in original currency </w:t>
            </w:r>
          </w:p>
        </w:tc>
        <w:tc>
          <w:tcPr>
            <w:tcW w:w="772"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37"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C130B1" w:rsidRPr="002945C3" w14:paraId="0D2B8960" w14:textId="77777777" w:rsidTr="00C130B1">
        <w:trPr>
          <w:trHeight w:val="860"/>
          <w:jc w:val="center"/>
        </w:trPr>
        <w:tc>
          <w:tcPr>
            <w:tcW w:w="663" w:type="pct"/>
            <w:shd w:val="clear" w:color="auto" w:fill="auto"/>
          </w:tcPr>
          <w:p w14:paraId="7964E9D3" w14:textId="77777777" w:rsidR="00C130B1" w:rsidRPr="002945C3" w:rsidRDefault="00C130B1" w:rsidP="00C130B1">
            <w:pPr>
              <w:keepNext/>
              <w:keepLines/>
              <w:spacing w:line="22" w:lineRule="atLeast"/>
              <w:rPr>
                <w:rFonts w:cs="Arial"/>
              </w:rPr>
            </w:pPr>
            <w:r w:rsidRPr="002945C3">
              <w:rPr>
                <w:rFonts w:cs="Arial"/>
              </w:rPr>
              <w:t>UK sales of the like goods produced in the UK during the POI</w:t>
            </w:r>
          </w:p>
          <w:p w14:paraId="2F6B4475" w14:textId="77777777" w:rsidR="00C130B1" w:rsidRPr="002945C3" w:rsidRDefault="00C130B1" w:rsidP="00C130B1">
            <w:pPr>
              <w:keepNext/>
              <w:keepLines/>
              <w:spacing w:line="22" w:lineRule="atLeast"/>
              <w:rPr>
                <w:rFonts w:cs="Arial"/>
              </w:rPr>
            </w:pPr>
          </w:p>
        </w:tc>
        <w:tc>
          <w:tcPr>
            <w:tcW w:w="909" w:type="pct"/>
            <w:shd w:val="clear" w:color="auto" w:fill="auto"/>
          </w:tcPr>
          <w:p w14:paraId="412DF945" w14:textId="361A2A2B"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772" w:type="pct"/>
          </w:tcPr>
          <w:p w14:paraId="6E2575BF" w14:textId="251B314C"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1047" w:type="pct"/>
          </w:tcPr>
          <w:p w14:paraId="1BC0B1D2" w14:textId="4E5E8805"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772" w:type="pct"/>
            <w:shd w:val="clear" w:color="auto" w:fill="auto"/>
          </w:tcPr>
          <w:p w14:paraId="4A729264" w14:textId="40B7C152"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37" w:type="pct"/>
          </w:tcPr>
          <w:p w14:paraId="2866DCA6" w14:textId="27A96D3F"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1301"/>
        <w:gridCol w:w="1543"/>
        <w:gridCol w:w="1543"/>
        <w:gridCol w:w="1543"/>
        <w:gridCol w:w="1543"/>
        <w:gridCol w:w="1543"/>
      </w:tblGrid>
      <w:tr w:rsidR="00245D6D" w:rsidRPr="007976DE" w14:paraId="40E1FECA" w14:textId="77777777" w:rsidTr="00C130B1">
        <w:tc>
          <w:tcPr>
            <w:tcW w:w="781"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86"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860"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860" w:type="pct"/>
            <w:shd w:val="pct15" w:color="auto" w:fill="auto"/>
          </w:tcPr>
          <w:p w14:paraId="76731BFE" w14:textId="716123D0" w:rsidR="005820CB" w:rsidRPr="007976DE" w:rsidRDefault="005820CB" w:rsidP="005820CB">
            <w:pPr>
              <w:keepNext/>
              <w:keepLines/>
              <w:spacing w:line="22" w:lineRule="atLeast"/>
              <w:jc w:val="center"/>
              <w:rPr>
                <w:rFonts w:cs="Arial"/>
                <w:b/>
              </w:rPr>
            </w:pPr>
            <w:r w:rsidRPr="007976DE">
              <w:rPr>
                <w:rFonts w:cs="Arial"/>
                <w:b/>
              </w:rPr>
              <w:t>Value in original currency (</w:t>
            </w:r>
            <w:r w:rsidR="00C9621F">
              <w:rPr>
                <w:rFonts w:cs="Arial"/>
                <w:b/>
              </w:rPr>
              <w:t>USD</w:t>
            </w:r>
            <w:r w:rsidRPr="007976DE">
              <w:rPr>
                <w:rFonts w:cs="Arial"/>
                <w:b/>
              </w:rPr>
              <w:t>)</w:t>
            </w:r>
          </w:p>
        </w:tc>
        <w:tc>
          <w:tcPr>
            <w:tcW w:w="860"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C130B1" w:rsidRPr="007976DE" w14:paraId="42239937" w14:textId="77777777" w:rsidTr="00C130B1">
        <w:trPr>
          <w:trHeight w:val="560"/>
        </w:trPr>
        <w:tc>
          <w:tcPr>
            <w:tcW w:w="781" w:type="pct"/>
          </w:tcPr>
          <w:p w14:paraId="38F86479" w14:textId="3649A856" w:rsidR="00C130B1" w:rsidRPr="007976DE" w:rsidRDefault="00C130B1" w:rsidP="00C130B1">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C130B1" w:rsidRPr="007976DE" w:rsidRDefault="00C130B1" w:rsidP="00C130B1">
            <w:pPr>
              <w:keepNext/>
              <w:keepLines/>
              <w:spacing w:line="22" w:lineRule="atLeast"/>
              <w:rPr>
                <w:rFonts w:cs="Arial"/>
              </w:rPr>
            </w:pPr>
          </w:p>
        </w:tc>
        <w:tc>
          <w:tcPr>
            <w:tcW w:w="786" w:type="pct"/>
          </w:tcPr>
          <w:p w14:paraId="475DF8B9" w14:textId="72F3E9F7"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D908419" w14:textId="55D4C490"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7B1B9BAF" w14:textId="552209C2"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6D30778A" w14:textId="13DC01E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7766E9C8" w14:textId="62625181"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429AABE0" w14:textId="77777777" w:rsidTr="00C130B1">
        <w:trPr>
          <w:trHeight w:val="560"/>
        </w:trPr>
        <w:tc>
          <w:tcPr>
            <w:tcW w:w="781" w:type="pct"/>
          </w:tcPr>
          <w:p w14:paraId="6AB99AAF" w14:textId="0069C9D3" w:rsidR="00C130B1" w:rsidRPr="007976DE" w:rsidRDefault="00C130B1" w:rsidP="00C130B1">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C130B1" w:rsidRPr="007976DE" w:rsidRDefault="00C130B1" w:rsidP="00C130B1">
            <w:pPr>
              <w:keepNext/>
              <w:keepLines/>
              <w:spacing w:line="22" w:lineRule="atLeast"/>
              <w:rPr>
                <w:rFonts w:cs="Arial"/>
              </w:rPr>
            </w:pPr>
          </w:p>
        </w:tc>
        <w:tc>
          <w:tcPr>
            <w:tcW w:w="786" w:type="pct"/>
          </w:tcPr>
          <w:p w14:paraId="02522E38" w14:textId="145A6A51"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AFAC189" w14:textId="470F4AD3"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5C3DAB6" w14:textId="6135880B"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65AA2CB8" w14:textId="668725DE"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4C826CF4" w14:textId="042631FA"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16E86CF6" w14:textId="77777777" w:rsidTr="00C130B1">
        <w:trPr>
          <w:trHeight w:val="560"/>
        </w:trPr>
        <w:tc>
          <w:tcPr>
            <w:tcW w:w="781" w:type="pct"/>
          </w:tcPr>
          <w:p w14:paraId="42C0850B" w14:textId="0C54E5D4" w:rsidR="00C130B1" w:rsidRPr="007976DE" w:rsidRDefault="00C130B1" w:rsidP="00C130B1">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C130B1" w:rsidRPr="007976DE" w:rsidRDefault="00C130B1" w:rsidP="00C130B1">
            <w:pPr>
              <w:keepNext/>
              <w:keepLines/>
              <w:spacing w:line="22" w:lineRule="atLeast"/>
              <w:rPr>
                <w:rFonts w:cs="Arial"/>
                <w:bCs/>
              </w:rPr>
            </w:pPr>
          </w:p>
        </w:tc>
        <w:tc>
          <w:tcPr>
            <w:tcW w:w="786" w:type="pct"/>
          </w:tcPr>
          <w:p w14:paraId="5E1A229A" w14:textId="6BAD572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BDB378B" w14:textId="5D83F36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2BAE48AF" w14:textId="6C1310DA" w:rsidR="00C130B1" w:rsidRPr="00D73691" w:rsidRDefault="00C130B1" w:rsidP="00C130B1">
            <w:pPr>
              <w:keepNext/>
              <w:keepLines/>
              <w:spacing w:line="22" w:lineRule="atLeast"/>
              <w:jc w:val="center"/>
              <w:rPr>
                <w:rFonts w:cs="Arial"/>
                <w:color w:val="0070C0"/>
              </w:rPr>
            </w:pPr>
            <w:r w:rsidRPr="00C130B1">
              <w:rPr>
                <w:rFonts w:cs="Arial"/>
                <w:color w:val="0070C0"/>
              </w:rPr>
              <w:t>[</w:t>
            </w:r>
            <w:r>
              <w:rPr>
                <w:rFonts w:cs="Arial"/>
                <w:color w:val="0070C0"/>
              </w:rPr>
              <w:t>Redacted – Commercially sensitive information]</w:t>
            </w:r>
          </w:p>
        </w:tc>
        <w:tc>
          <w:tcPr>
            <w:tcW w:w="860" w:type="pct"/>
          </w:tcPr>
          <w:p w14:paraId="58273A23" w14:textId="36766C6D"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73EE4560" w14:textId="6FEB04F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r w:rsidR="00C130B1" w:rsidRPr="007976DE" w14:paraId="25B55E86" w14:textId="77777777" w:rsidTr="00C130B1">
        <w:trPr>
          <w:trHeight w:val="560"/>
        </w:trPr>
        <w:tc>
          <w:tcPr>
            <w:tcW w:w="781" w:type="pct"/>
          </w:tcPr>
          <w:p w14:paraId="6DA8E139" w14:textId="64E3D9F0" w:rsidR="00C130B1" w:rsidRPr="007976DE" w:rsidRDefault="00C130B1" w:rsidP="00C130B1">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C130B1" w:rsidRPr="007976DE" w:rsidRDefault="00C130B1" w:rsidP="00C130B1">
            <w:pPr>
              <w:keepNext/>
              <w:keepLines/>
              <w:spacing w:line="22" w:lineRule="atLeast"/>
              <w:rPr>
                <w:rFonts w:cs="Arial"/>
                <w:bCs/>
              </w:rPr>
            </w:pPr>
          </w:p>
        </w:tc>
        <w:tc>
          <w:tcPr>
            <w:tcW w:w="786" w:type="pct"/>
          </w:tcPr>
          <w:p w14:paraId="46915CE1" w14:textId="4A9761D6"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16B63FE8" w14:textId="5A179A29"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51A4F2B7" w14:textId="1F081360"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60" w:type="pct"/>
          </w:tcPr>
          <w:p w14:paraId="40003231" w14:textId="0C744FDE"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c>
          <w:tcPr>
            <w:tcW w:w="852" w:type="pct"/>
          </w:tcPr>
          <w:p w14:paraId="6292683A" w14:textId="262AA50B" w:rsidR="00C130B1" w:rsidRPr="00D73691" w:rsidRDefault="00C130B1" w:rsidP="00C130B1">
            <w:pPr>
              <w:keepNext/>
              <w:keepLines/>
              <w:spacing w:line="22" w:lineRule="atLeast"/>
              <w:rPr>
                <w:rFonts w:cs="Arial"/>
                <w:color w:val="0070C0"/>
              </w:rPr>
            </w:pPr>
            <w:r w:rsidRPr="00C130B1">
              <w:rPr>
                <w:rFonts w:cs="Arial"/>
                <w:color w:val="0070C0"/>
              </w:rPr>
              <w:t>[</w:t>
            </w:r>
            <w:r>
              <w:rPr>
                <w:rFonts w:cs="Arial"/>
                <w:color w:val="0070C0"/>
              </w:rPr>
              <w:t>Redacted – Commercially sensitive information]</w:t>
            </w: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6984E961" w:rsidR="000D157D" w:rsidRPr="00CD34FA" w:rsidRDefault="000D157D" w:rsidP="00E6443B">
            <w:pPr>
              <w:spacing w:line="22" w:lineRule="atLeast"/>
              <w:jc w:val="center"/>
              <w:rPr>
                <w:rFonts w:cs="Arial"/>
              </w:rPr>
            </w:pPr>
            <w:r w:rsidRPr="00CD34FA">
              <w:rPr>
                <w:rFonts w:eastAsia="Calibri" w:cs="Arial"/>
                <w:sz w:val="28"/>
                <w:szCs w:val="28"/>
              </w:rPr>
              <w:t xml:space="preserve"> Yes  </w:t>
            </w:r>
            <w:r w:rsidR="002B1C4D">
              <w:rPr>
                <w:rFonts w:ascii="Segoe UI Symbol" w:eastAsia="MS Gothic" w:hAnsi="Segoe UI Symbol" w:cs="Segoe UI Symbol"/>
                <w:sz w:val="36"/>
                <w:szCs w:val="36"/>
              </w:rPr>
              <w:t>X</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B6EC" w14:textId="77777777" w:rsidR="000D157D" w:rsidRDefault="000D157D" w:rsidP="00E6443B">
            <w:pPr>
              <w:spacing w:line="22" w:lineRule="atLeast"/>
              <w:rPr>
                <w:rFonts w:eastAsia="Calibri" w:cs="Arial"/>
                <w:u w:val="single"/>
              </w:rPr>
            </w:pPr>
          </w:p>
          <w:p w14:paraId="08780A31" w14:textId="5BD24F36" w:rsidR="002B1C4D" w:rsidRPr="00CD34FA" w:rsidRDefault="002B1C4D" w:rsidP="00E6443B">
            <w:pPr>
              <w:spacing w:line="22" w:lineRule="atLeast"/>
              <w:rPr>
                <w:rFonts w:eastAsia="Calibri" w:cs="Arial"/>
                <w:u w:val="single"/>
              </w:rPr>
            </w:pPr>
            <w:r>
              <w:rPr>
                <w:rFonts w:eastAsia="Calibri" w:cs="Arial"/>
                <w:u w:val="single"/>
              </w:rPr>
              <w:t>0.88 is the average density of FAME</w:t>
            </w: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7D6" w14:textId="77777777" w:rsidR="000D157D" w:rsidRDefault="000D157D" w:rsidP="00E6443B">
            <w:pPr>
              <w:spacing w:line="22" w:lineRule="atLeast"/>
              <w:rPr>
                <w:rFonts w:eastAsia="Calibri" w:cs="Arial"/>
                <w:u w:val="single"/>
              </w:rPr>
            </w:pPr>
          </w:p>
          <w:p w14:paraId="05762ADE" w14:textId="5A4B6EA2" w:rsidR="002B1C4D" w:rsidRPr="00CD34FA" w:rsidRDefault="007A4916" w:rsidP="00E6443B">
            <w:pPr>
              <w:spacing w:line="22" w:lineRule="atLeast"/>
              <w:rPr>
                <w:rFonts w:eastAsia="Calibri" w:cs="Arial"/>
                <w:u w:val="single"/>
              </w:rPr>
            </w:pPr>
            <w:r>
              <w:rPr>
                <w:rFonts w:eastAsia="Calibri" w:cs="Arial"/>
                <w:u w:val="single"/>
              </w:rPr>
              <w:t>MT divided by 0.88</w:t>
            </w: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435381FD" w14:textId="7BAF073C" w:rsidR="00850888" w:rsidRDefault="00850888" w:rsidP="00F26690">
            <w:r>
              <w:t>Phillips 66 Limited</w:t>
            </w:r>
          </w:p>
          <w:p w14:paraId="4F9DD38D" w14:textId="77777777" w:rsidR="008B7352" w:rsidRDefault="008B7352" w:rsidP="00F26690"/>
        </w:tc>
        <w:tc>
          <w:tcPr>
            <w:tcW w:w="4508" w:type="dxa"/>
          </w:tcPr>
          <w:p w14:paraId="5AB5112A" w14:textId="49B47EFC" w:rsidR="008B7352" w:rsidRDefault="002842C8" w:rsidP="00F26690">
            <w:hyperlink r:id="rId17" w:history="1">
              <w:r w:rsidRPr="005F5CFA">
                <w:rPr>
                  <w:rStyle w:val="Hyperlink"/>
                </w:rPr>
                <w:t>https://www.phillips66.co.uk/</w:t>
              </w:r>
            </w:hyperlink>
          </w:p>
          <w:p w14:paraId="74C9B491" w14:textId="694F3D67" w:rsidR="002842C8" w:rsidRDefault="002842C8" w:rsidP="00F26690"/>
        </w:tc>
      </w:tr>
      <w:tr w:rsidR="008B7352" w14:paraId="122805CE" w14:textId="77777777" w:rsidTr="00F26690">
        <w:tc>
          <w:tcPr>
            <w:tcW w:w="4508" w:type="dxa"/>
          </w:tcPr>
          <w:p w14:paraId="04AAC682" w14:textId="25E0FD2C" w:rsidR="008B7352" w:rsidRDefault="00850888" w:rsidP="00F26690">
            <w:r>
              <w:t>Valero Energy Ltd</w:t>
            </w:r>
          </w:p>
          <w:p w14:paraId="268E27F2" w14:textId="77777777" w:rsidR="008B7352" w:rsidRDefault="008B7352" w:rsidP="00F26690"/>
        </w:tc>
        <w:tc>
          <w:tcPr>
            <w:tcW w:w="4508" w:type="dxa"/>
          </w:tcPr>
          <w:p w14:paraId="3F82D61A" w14:textId="6A582FBC" w:rsidR="008B7352" w:rsidRDefault="00EF3BBA" w:rsidP="00F26690">
            <w:hyperlink r:id="rId18" w:history="1">
              <w:r w:rsidRPr="005F5CFA">
                <w:rPr>
                  <w:rStyle w:val="Hyperlink"/>
                </w:rPr>
                <w:t>https://www.valero.com/UK</w:t>
              </w:r>
            </w:hyperlink>
          </w:p>
          <w:p w14:paraId="369F23AA" w14:textId="2061E2B7" w:rsidR="00EF3BBA" w:rsidRDefault="00EF3BBA" w:rsidP="00F26690"/>
        </w:tc>
      </w:tr>
      <w:tr w:rsidR="008B7352" w14:paraId="5EB2ACFE" w14:textId="77777777" w:rsidTr="00F26690">
        <w:tc>
          <w:tcPr>
            <w:tcW w:w="4508" w:type="dxa"/>
          </w:tcPr>
          <w:p w14:paraId="24736988" w14:textId="308C255E" w:rsidR="008B7352" w:rsidRDefault="00850888" w:rsidP="00F26690">
            <w:r>
              <w:t>Gunvor UK limited</w:t>
            </w:r>
          </w:p>
          <w:p w14:paraId="7AA45AFF" w14:textId="77777777" w:rsidR="008B7352" w:rsidRDefault="008B7352" w:rsidP="00F26690"/>
        </w:tc>
        <w:tc>
          <w:tcPr>
            <w:tcW w:w="4508" w:type="dxa"/>
          </w:tcPr>
          <w:p w14:paraId="396DB730" w14:textId="1496CBC6" w:rsidR="008B7352" w:rsidRDefault="00EF3BBA" w:rsidP="00F26690">
            <w:hyperlink r:id="rId19" w:history="1">
              <w:r w:rsidRPr="005F5CFA">
                <w:rPr>
                  <w:rStyle w:val="Hyperlink"/>
                </w:rPr>
                <w:t>https://gunvorgroup.com/</w:t>
              </w:r>
            </w:hyperlink>
          </w:p>
          <w:p w14:paraId="0E43EB9D" w14:textId="7C881357" w:rsidR="00EF3BBA" w:rsidRDefault="00EF3BBA" w:rsidP="00F26690"/>
        </w:tc>
      </w:tr>
      <w:tr w:rsidR="008B7352" w14:paraId="41221396" w14:textId="77777777" w:rsidTr="00F26690">
        <w:tc>
          <w:tcPr>
            <w:tcW w:w="4508" w:type="dxa"/>
          </w:tcPr>
          <w:p w14:paraId="07A366A4" w14:textId="77777777" w:rsidR="008B7352" w:rsidRDefault="008B7352" w:rsidP="00F26690"/>
          <w:p w14:paraId="22A5574E" w14:textId="34D28888" w:rsidR="008B7352" w:rsidRDefault="00850888" w:rsidP="00F26690">
            <w:proofErr w:type="spellStart"/>
            <w:r>
              <w:t>Petroineos</w:t>
            </w:r>
            <w:proofErr w:type="spellEnd"/>
            <w:r>
              <w:t xml:space="preserve"> Trading Limited</w:t>
            </w:r>
          </w:p>
        </w:tc>
        <w:tc>
          <w:tcPr>
            <w:tcW w:w="4508" w:type="dxa"/>
          </w:tcPr>
          <w:p w14:paraId="7DE3DEEA" w14:textId="4F4A88FD" w:rsidR="008B7352" w:rsidRDefault="004C3F51" w:rsidP="00F26690">
            <w:hyperlink r:id="rId20" w:history="1">
              <w:r w:rsidRPr="005F5CFA">
                <w:rPr>
                  <w:rStyle w:val="Hyperlink"/>
                </w:rPr>
                <w:t>https://www.petroineos.com/</w:t>
              </w:r>
            </w:hyperlink>
          </w:p>
          <w:p w14:paraId="3C1307E1" w14:textId="607D401E" w:rsidR="004C3F51" w:rsidRDefault="004C3F51" w:rsidP="00F26690"/>
        </w:tc>
      </w:tr>
      <w:tr w:rsidR="00850888" w14:paraId="00754814" w14:textId="77777777" w:rsidTr="00F26690">
        <w:tc>
          <w:tcPr>
            <w:tcW w:w="4508" w:type="dxa"/>
          </w:tcPr>
          <w:p w14:paraId="3F0025B2" w14:textId="02263E74" w:rsidR="00850888" w:rsidRDefault="00850888" w:rsidP="00F26690">
            <w:r>
              <w:t>ESL Fuels Limited</w:t>
            </w:r>
          </w:p>
        </w:tc>
        <w:tc>
          <w:tcPr>
            <w:tcW w:w="4508" w:type="dxa"/>
          </w:tcPr>
          <w:p w14:paraId="4600F412" w14:textId="6A88B0FA" w:rsidR="00850888" w:rsidRDefault="004C3F51" w:rsidP="00F26690">
            <w:hyperlink r:id="rId21" w:history="1">
              <w:r w:rsidRPr="005F5CFA">
                <w:rPr>
                  <w:rStyle w:val="Hyperlink"/>
                </w:rPr>
                <w:t>https://www.eslfuels.com/</w:t>
              </w:r>
            </w:hyperlink>
          </w:p>
          <w:p w14:paraId="03B2E12E" w14:textId="65169BFF" w:rsidR="004C3F51" w:rsidRDefault="004C3F51" w:rsidP="00F26690"/>
        </w:tc>
      </w:tr>
      <w:tr w:rsidR="00850888" w14:paraId="2C8023D7" w14:textId="77777777" w:rsidTr="00F26690">
        <w:tc>
          <w:tcPr>
            <w:tcW w:w="4508" w:type="dxa"/>
          </w:tcPr>
          <w:p w14:paraId="386A9D8E" w14:textId="49764853" w:rsidR="00850888" w:rsidRDefault="00850888" w:rsidP="00F26690">
            <w:r>
              <w:t>Essar Oil (UK) Limited</w:t>
            </w:r>
          </w:p>
        </w:tc>
        <w:tc>
          <w:tcPr>
            <w:tcW w:w="4508" w:type="dxa"/>
          </w:tcPr>
          <w:p w14:paraId="06CE6400" w14:textId="4CB23E96" w:rsidR="00850888" w:rsidRDefault="00B53C22" w:rsidP="00F26690">
            <w:hyperlink r:id="rId22" w:history="1">
              <w:r w:rsidRPr="005F5CFA">
                <w:rPr>
                  <w:rStyle w:val="Hyperlink"/>
                </w:rPr>
                <w:t>https://www.essar.com/</w:t>
              </w:r>
            </w:hyperlink>
          </w:p>
          <w:p w14:paraId="6D2B2D92" w14:textId="4B710CB4" w:rsidR="00B53C22" w:rsidRDefault="00B53C22" w:rsidP="00F26690"/>
        </w:tc>
      </w:tr>
      <w:tr w:rsidR="00850888" w14:paraId="7F8B4360" w14:textId="77777777" w:rsidTr="00F26690">
        <w:tc>
          <w:tcPr>
            <w:tcW w:w="4508" w:type="dxa"/>
          </w:tcPr>
          <w:p w14:paraId="7127222E" w14:textId="7CCB6C8D" w:rsidR="00850888" w:rsidRDefault="00850888" w:rsidP="00F26690">
            <w:r>
              <w:t>BP Oil UK limited</w:t>
            </w:r>
          </w:p>
        </w:tc>
        <w:tc>
          <w:tcPr>
            <w:tcW w:w="4508" w:type="dxa"/>
          </w:tcPr>
          <w:p w14:paraId="00CC5688" w14:textId="7B72978C" w:rsidR="00850888" w:rsidRDefault="00B53C22" w:rsidP="00F26690">
            <w:hyperlink r:id="rId23" w:history="1">
              <w:r w:rsidRPr="005F5CFA">
                <w:rPr>
                  <w:rStyle w:val="Hyperlink"/>
                </w:rPr>
                <w:t>https://www.bp.com/en_gb/united-kingdom/home.html</w:t>
              </w:r>
            </w:hyperlink>
          </w:p>
          <w:p w14:paraId="055741FD" w14:textId="0D1EFA24" w:rsidR="00B53C22" w:rsidRDefault="00B53C22" w:rsidP="00F26690"/>
        </w:tc>
      </w:tr>
      <w:tr w:rsidR="00850888" w14:paraId="78F97393" w14:textId="77777777" w:rsidTr="00F26690">
        <w:tc>
          <w:tcPr>
            <w:tcW w:w="4508" w:type="dxa"/>
          </w:tcPr>
          <w:p w14:paraId="68E70F9B" w14:textId="7489C51A" w:rsidR="00850888" w:rsidRDefault="00850888" w:rsidP="00F26690">
            <w:r>
              <w:t>BP International Limited</w:t>
            </w:r>
          </w:p>
        </w:tc>
        <w:tc>
          <w:tcPr>
            <w:tcW w:w="4508" w:type="dxa"/>
          </w:tcPr>
          <w:p w14:paraId="215E1776" w14:textId="1D3FAC24" w:rsidR="00850888" w:rsidRDefault="00CD3DFD" w:rsidP="00F26690">
            <w:hyperlink r:id="rId24" w:history="1">
              <w:r w:rsidRPr="005F5CFA">
                <w:rPr>
                  <w:rStyle w:val="Hyperlink"/>
                </w:rPr>
                <w:t>https://www.bp.com/</w:t>
              </w:r>
            </w:hyperlink>
          </w:p>
          <w:p w14:paraId="034E96BD" w14:textId="5100FFA5" w:rsidR="00CD3DFD" w:rsidRDefault="00CD3DFD" w:rsidP="00F26690"/>
        </w:tc>
      </w:tr>
      <w:tr w:rsidR="00850888" w14:paraId="406B6955" w14:textId="77777777" w:rsidTr="00F26690">
        <w:tc>
          <w:tcPr>
            <w:tcW w:w="4508" w:type="dxa"/>
          </w:tcPr>
          <w:p w14:paraId="59B263C5" w14:textId="7BCEC41C" w:rsidR="00850888" w:rsidRDefault="00850888" w:rsidP="00F26690">
            <w:r>
              <w:t>Shell Trading Rotterdam BV</w:t>
            </w:r>
          </w:p>
        </w:tc>
        <w:tc>
          <w:tcPr>
            <w:tcW w:w="4508" w:type="dxa"/>
          </w:tcPr>
          <w:p w14:paraId="2813FED1" w14:textId="1D26D851" w:rsidR="00850888" w:rsidRDefault="00764013" w:rsidP="00F26690">
            <w:hyperlink r:id="rId25" w:history="1">
              <w:r w:rsidRPr="005F5CFA">
                <w:rPr>
                  <w:rStyle w:val="Hyperlink"/>
                </w:rPr>
                <w:t>https://www.shell.com/business-customers/trading-and-supply.html</w:t>
              </w:r>
            </w:hyperlink>
          </w:p>
          <w:p w14:paraId="2BAA5429" w14:textId="69FCF544" w:rsidR="00764013" w:rsidRDefault="00764013" w:rsidP="00F26690"/>
        </w:tc>
      </w:tr>
      <w:tr w:rsidR="00850888" w14:paraId="09D3276C" w14:textId="77777777" w:rsidTr="00F26690">
        <w:tc>
          <w:tcPr>
            <w:tcW w:w="4508" w:type="dxa"/>
          </w:tcPr>
          <w:p w14:paraId="494F74AF" w14:textId="53E7E585" w:rsidR="00850888" w:rsidRDefault="00850888" w:rsidP="00F26690">
            <w:r>
              <w:t>Shell UK Limited</w:t>
            </w:r>
          </w:p>
        </w:tc>
        <w:tc>
          <w:tcPr>
            <w:tcW w:w="4508" w:type="dxa"/>
          </w:tcPr>
          <w:p w14:paraId="18D66FC2" w14:textId="1303565E" w:rsidR="00850888" w:rsidRDefault="00764013" w:rsidP="00F26690">
            <w:hyperlink r:id="rId26" w:history="1">
              <w:r w:rsidRPr="005F5CFA">
                <w:rPr>
                  <w:rStyle w:val="Hyperlink"/>
                </w:rPr>
                <w:t>https://www.shell.com/business-customers/trading-and-supply.html</w:t>
              </w:r>
            </w:hyperlink>
          </w:p>
          <w:p w14:paraId="083C3BEA" w14:textId="779FD7DD" w:rsidR="00764013" w:rsidRDefault="00764013" w:rsidP="00F26690"/>
        </w:tc>
      </w:tr>
      <w:tr w:rsidR="00850888" w14:paraId="01AC7ABD" w14:textId="77777777" w:rsidTr="00F26690">
        <w:tc>
          <w:tcPr>
            <w:tcW w:w="4508" w:type="dxa"/>
          </w:tcPr>
          <w:p w14:paraId="33BBAC61" w14:textId="753D1728" w:rsidR="004150C4" w:rsidRDefault="004150C4" w:rsidP="00F26690">
            <w:proofErr w:type="spellStart"/>
            <w:r>
              <w:t>Mabanaft</w:t>
            </w:r>
            <w:proofErr w:type="spellEnd"/>
            <w:r>
              <w:t xml:space="preserve"> Limited</w:t>
            </w:r>
          </w:p>
        </w:tc>
        <w:tc>
          <w:tcPr>
            <w:tcW w:w="4508" w:type="dxa"/>
          </w:tcPr>
          <w:p w14:paraId="6EC0DF62" w14:textId="4BEC52DE" w:rsidR="00850888" w:rsidRDefault="00016933" w:rsidP="00F26690">
            <w:hyperlink r:id="rId27" w:history="1">
              <w:r w:rsidRPr="005F5CFA">
                <w:rPr>
                  <w:rStyle w:val="Hyperlink"/>
                </w:rPr>
                <w:t>https://www.mabanaft.co.uk/</w:t>
              </w:r>
            </w:hyperlink>
          </w:p>
          <w:p w14:paraId="41D0C899" w14:textId="10E71B89" w:rsidR="00016933" w:rsidRDefault="00016933" w:rsidP="00F26690"/>
        </w:tc>
      </w:tr>
      <w:tr w:rsidR="00850888" w14:paraId="25FCDF5F" w14:textId="77777777" w:rsidTr="00F26690">
        <w:tc>
          <w:tcPr>
            <w:tcW w:w="4508" w:type="dxa"/>
          </w:tcPr>
          <w:p w14:paraId="6D9F2E54" w14:textId="606E3427" w:rsidR="00850888" w:rsidRDefault="00016933" w:rsidP="00F26690">
            <w:r>
              <w:t>ExxonMobil</w:t>
            </w:r>
          </w:p>
        </w:tc>
        <w:tc>
          <w:tcPr>
            <w:tcW w:w="4508" w:type="dxa"/>
          </w:tcPr>
          <w:p w14:paraId="39F4BEC7" w14:textId="75B41C8A" w:rsidR="00850888" w:rsidRDefault="00FB3F06" w:rsidP="00F26690">
            <w:hyperlink r:id="rId28" w:history="1">
              <w:r w:rsidRPr="005F5CFA">
                <w:rPr>
                  <w:rStyle w:val="Hyperlink"/>
                </w:rPr>
                <w:t>https://www.exxonmobil.co.uk/</w:t>
              </w:r>
            </w:hyperlink>
          </w:p>
          <w:p w14:paraId="0EC13AE3" w14:textId="19915131" w:rsidR="00FB3F06" w:rsidRDefault="00FB3F06" w:rsidP="00F26690"/>
        </w:tc>
      </w:tr>
      <w:tr w:rsidR="004150C4" w14:paraId="465FA4FA" w14:textId="77777777" w:rsidTr="00F26690">
        <w:tc>
          <w:tcPr>
            <w:tcW w:w="4508" w:type="dxa"/>
          </w:tcPr>
          <w:p w14:paraId="1DFCAEF6" w14:textId="302D0E78" w:rsidR="004150C4" w:rsidRDefault="00016933" w:rsidP="00F26690">
            <w:r>
              <w:t>Prax</w:t>
            </w:r>
          </w:p>
        </w:tc>
        <w:tc>
          <w:tcPr>
            <w:tcW w:w="4508" w:type="dxa"/>
          </w:tcPr>
          <w:p w14:paraId="2F5F1BAF" w14:textId="014C7B2D" w:rsidR="004150C4" w:rsidRDefault="00FB3F06" w:rsidP="00F26690">
            <w:hyperlink r:id="rId29" w:history="1">
              <w:r w:rsidRPr="005F5CFA">
                <w:rPr>
                  <w:rStyle w:val="Hyperlink"/>
                </w:rPr>
                <w:t>https://www.prax.com/</w:t>
              </w:r>
            </w:hyperlink>
          </w:p>
          <w:p w14:paraId="01D0E7F7" w14:textId="14F21301" w:rsidR="00FB3F06" w:rsidRDefault="00FB3F06"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258DAB0A" w:rsidR="008B7352" w:rsidRPr="00802DAC" w:rsidRDefault="00F71E05" w:rsidP="00E354B0">
      <w:pPr>
        <w:ind w:left="720"/>
        <w:rPr>
          <w:rFonts w:cs="Arial"/>
        </w:rPr>
      </w:pPr>
      <w:sdt>
        <w:sdtPr>
          <w:rPr>
            <w:rFonts w:cs="Arial"/>
          </w:rPr>
          <w:id w:val="1353226444"/>
          <w14:checkbox>
            <w14:checked w14:val="1"/>
            <w14:checkedState w14:val="2612" w14:font="MS Gothic"/>
            <w14:uncheckedState w14:val="2610" w14:font="MS Gothic"/>
          </w14:checkbox>
        </w:sdtPr>
        <w:sdtEndPr/>
        <w:sdtContent>
          <w:r w:rsidR="007A4916">
            <w:rPr>
              <w:rFonts w:ascii="MS Gothic" w:eastAsia="MS Gothic" w:hAnsi="MS Gothic" w:cs="Arial" w:hint="eastAsia"/>
            </w:rPr>
            <w:t>☒</w:t>
          </w:r>
        </w:sdtContent>
      </w:sdt>
      <w:r w:rsidR="00E354B0">
        <w:rPr>
          <w:rFonts w:cs="Arial"/>
        </w:rPr>
        <w:t xml:space="preserve"> Y</w:t>
      </w:r>
      <w:r w:rsidR="008B7352" w:rsidRPr="00802DAC">
        <w:rPr>
          <w:rFonts w:cs="Arial"/>
        </w:rPr>
        <w:t>es</w:t>
      </w:r>
    </w:p>
    <w:p w14:paraId="2C25E221" w14:textId="7AB69776" w:rsidR="008B7352" w:rsidRPr="00802DAC" w:rsidRDefault="00F71E05"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F71E05"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614241"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3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3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r w:rsidRPr="009B1103">
              <w:rPr>
                <w:rFonts w:eastAsia="Arial" w:cs="Arial"/>
                <w:sz w:val="20"/>
                <w:szCs w:val="20"/>
              </w:rPr>
              <w:t>R</w:t>
            </w:r>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bookmarkStart w:id="30" w:name="_Toc106199827"/>
    <w:bookmarkStart w:id="31" w:name="_Toc192875410"/>
    <w:p w14:paraId="5A767039" w14:textId="1F702110" w:rsidR="008B7352" w:rsidRDefault="008B7352" w:rsidP="008B7352">
      <w:pPr>
        <w:pStyle w:val="Heading3"/>
      </w:pPr>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0D4EE7CD" w:rsidR="008B7352" w:rsidRDefault="007A4916" w:rsidP="008B7352">
                            <w:pPr>
                              <w:rPr>
                                <w:rFonts w:cs="Arial"/>
                                <w:sz w:val="22"/>
                              </w:rPr>
                            </w:pPr>
                            <w:r>
                              <w:rPr>
                                <w:rFonts w:cs="Arial"/>
                                <w:i/>
                                <w:color w:val="808080" w:themeColor="background1" w:themeShade="80"/>
                                <w:sz w:val="22"/>
                              </w:rPr>
                              <w:t>We are happy with the PCN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0D4EE7CD" w:rsidR="008B7352" w:rsidRDefault="007A4916" w:rsidP="008B7352">
                      <w:pPr>
                        <w:rPr>
                          <w:rFonts w:cs="Arial"/>
                          <w:sz w:val="22"/>
                        </w:rPr>
                      </w:pPr>
                      <w:r>
                        <w:rPr>
                          <w:rFonts w:cs="Arial"/>
                          <w:i/>
                          <w:color w:val="808080" w:themeColor="background1" w:themeShade="80"/>
                          <w:sz w:val="22"/>
                        </w:rPr>
                        <w:t>We are happy with the PCN structure</w:t>
                      </w:r>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are able to contact these companies. </w:t>
      </w:r>
    </w:p>
    <w:p w14:paraId="2602B551" w14:textId="77777777" w:rsidR="008B7352" w:rsidRDefault="008B7352" w:rsidP="008B7352"/>
    <w:tbl>
      <w:tblPr>
        <w:tblW w:w="0" w:type="auto"/>
        <w:tblLook w:val="04A0" w:firstRow="1" w:lastRow="0" w:firstColumn="1" w:lastColumn="0" w:noHBand="0" w:noVBand="1"/>
      </w:tblPr>
      <w:tblGrid>
        <w:gridCol w:w="1502"/>
        <w:gridCol w:w="1502"/>
        <w:gridCol w:w="1503"/>
        <w:gridCol w:w="1503"/>
        <w:gridCol w:w="1503"/>
        <w:gridCol w:w="1503"/>
      </w:tblGrid>
      <w:tr w:rsidR="00D86C21" w:rsidRPr="00D86C21" w14:paraId="3C6A9E52" w14:textId="77777777" w:rsidTr="00614241">
        <w:trPr>
          <w:trHeight w:val="315"/>
        </w:trPr>
        <w:tc>
          <w:tcPr>
            <w:tcW w:w="0" w:type="auto"/>
            <w:vMerge w:val="restart"/>
            <w:tcBorders>
              <w:top w:val="nil"/>
              <w:left w:val="nil"/>
              <w:bottom w:val="single" w:sz="8" w:space="0" w:color="000000"/>
              <w:right w:val="single" w:sz="8" w:space="0" w:color="auto"/>
            </w:tcBorders>
            <w:shd w:val="clear" w:color="auto" w:fill="auto"/>
            <w:vAlign w:val="center"/>
          </w:tcPr>
          <w:p w14:paraId="0A39EC15" w14:textId="611A25BC" w:rsidR="00D86C21" w:rsidRPr="00D86C21" w:rsidRDefault="00D86C21" w:rsidP="00D86C21">
            <w:pPr>
              <w:jc w:val="right"/>
              <w:rPr>
                <w:rFonts w:eastAsia="Times New Roman" w:cs="Arial"/>
                <w:color w:val="000000"/>
                <w:lang w:eastAsia="en-GB"/>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tcPr>
          <w:p w14:paraId="6B229673" w14:textId="3200BB31"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28F2BC28" w14:textId="6BE1016E"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0329001C" w14:textId="79F94BE1" w:rsidR="00D86C21" w:rsidRPr="00D86C21" w:rsidRDefault="00D86C21" w:rsidP="00D86C21">
            <w:pPr>
              <w:jc w:val="center"/>
              <w:rPr>
                <w:rFonts w:eastAsia="Times New Roman" w:cs="Arial"/>
                <w:b/>
                <w:bCs/>
                <w:color w:val="000000"/>
                <w:lang w:eastAsia="en-GB"/>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tcPr>
          <w:p w14:paraId="56F5E0C7" w14:textId="7732FBF8" w:rsidR="00D86C21" w:rsidRPr="00D86C21" w:rsidRDefault="00D86C21" w:rsidP="00D86C21">
            <w:pPr>
              <w:jc w:val="center"/>
              <w:rPr>
                <w:rFonts w:eastAsia="Times New Roman" w:cs="Arial"/>
                <w:b/>
                <w:bCs/>
                <w:color w:val="000000"/>
                <w:lang w:eastAsia="en-GB"/>
              </w:rPr>
            </w:pPr>
          </w:p>
        </w:tc>
        <w:tc>
          <w:tcPr>
            <w:tcW w:w="0" w:type="auto"/>
            <w:tcBorders>
              <w:top w:val="single" w:sz="8" w:space="0" w:color="auto"/>
              <w:left w:val="nil"/>
              <w:bottom w:val="nil"/>
              <w:right w:val="single" w:sz="8" w:space="0" w:color="auto"/>
            </w:tcBorders>
            <w:shd w:val="clear" w:color="000000" w:fill="D9D9D9"/>
            <w:noWrap/>
            <w:vAlign w:val="center"/>
          </w:tcPr>
          <w:p w14:paraId="31BD0B63" w14:textId="04602333" w:rsidR="00D86C21" w:rsidRPr="00D86C21" w:rsidRDefault="00D86C21" w:rsidP="00D86C21">
            <w:pPr>
              <w:jc w:val="center"/>
              <w:rPr>
                <w:rFonts w:eastAsia="Times New Roman" w:cs="Arial"/>
                <w:b/>
                <w:bCs/>
                <w:color w:val="000000"/>
                <w:lang w:eastAsia="en-GB"/>
              </w:rPr>
            </w:pPr>
          </w:p>
        </w:tc>
      </w:tr>
      <w:tr w:rsidR="00C1049A" w:rsidRPr="00D86C21" w14:paraId="1E297B39" w14:textId="77777777" w:rsidTr="00614241">
        <w:trPr>
          <w:trHeight w:val="330"/>
        </w:trPr>
        <w:tc>
          <w:tcPr>
            <w:tcW w:w="0" w:type="auto"/>
            <w:vMerge/>
            <w:tcBorders>
              <w:top w:val="nil"/>
              <w:left w:val="nil"/>
              <w:bottom w:val="single" w:sz="8" w:space="0" w:color="000000"/>
              <w:right w:val="single" w:sz="8" w:space="0" w:color="auto"/>
            </w:tcBorders>
            <w:vAlign w:val="center"/>
          </w:tcPr>
          <w:p w14:paraId="614882F5" w14:textId="77777777" w:rsidR="00D86C21" w:rsidRPr="00D86C21" w:rsidRDefault="00D86C21" w:rsidP="00D86C21">
            <w:pPr>
              <w:rPr>
                <w:rFonts w:eastAsia="Times New Roman" w:cs="Arial"/>
                <w:color w:val="00000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tcPr>
          <w:p w14:paraId="35D4E2AC" w14:textId="77777777" w:rsidR="00D86C21" w:rsidRPr="00D86C21" w:rsidRDefault="00D86C21" w:rsidP="00D86C21">
            <w:pP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4308A904" w14:textId="1CA14C98" w:rsidR="00D86C21" w:rsidRPr="00D86C21" w:rsidRDefault="00D86C21" w:rsidP="00D86C21">
            <w:pPr>
              <w:jc w:val="cente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3E48D1B3" w14:textId="36816235" w:rsidR="00D86C21" w:rsidRPr="00D86C21" w:rsidRDefault="00D86C21" w:rsidP="00D86C21">
            <w:pPr>
              <w:jc w:val="center"/>
              <w:rPr>
                <w:rFonts w:eastAsia="Times New Roman" w:cs="Arial"/>
                <w:b/>
                <w:bCs/>
                <w:color w:val="00000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tcPr>
          <w:p w14:paraId="0AA1924D" w14:textId="77777777" w:rsidR="00D86C21" w:rsidRPr="00D86C21" w:rsidRDefault="00D86C21" w:rsidP="00D86C21">
            <w:pPr>
              <w:rPr>
                <w:rFonts w:eastAsia="Times New Roman" w:cs="Arial"/>
                <w:b/>
                <w:bCs/>
                <w:color w:val="000000"/>
                <w:lang w:eastAsia="en-GB"/>
              </w:rPr>
            </w:pPr>
          </w:p>
        </w:tc>
        <w:tc>
          <w:tcPr>
            <w:tcW w:w="0" w:type="auto"/>
            <w:tcBorders>
              <w:top w:val="nil"/>
              <w:left w:val="nil"/>
              <w:bottom w:val="single" w:sz="8" w:space="0" w:color="auto"/>
              <w:right w:val="single" w:sz="8" w:space="0" w:color="auto"/>
            </w:tcBorders>
            <w:shd w:val="clear" w:color="000000" w:fill="D9D9D9"/>
            <w:noWrap/>
            <w:vAlign w:val="center"/>
          </w:tcPr>
          <w:p w14:paraId="73765861" w14:textId="43267C75" w:rsidR="00D86C21" w:rsidRPr="00D86C21" w:rsidRDefault="00D86C21" w:rsidP="00D86C21">
            <w:pPr>
              <w:jc w:val="center"/>
              <w:rPr>
                <w:rFonts w:eastAsia="Times New Roman" w:cs="Arial"/>
                <w:b/>
                <w:bCs/>
                <w:color w:val="000000"/>
                <w:lang w:eastAsia="en-GB"/>
              </w:rPr>
            </w:pPr>
          </w:p>
        </w:tc>
      </w:tr>
      <w:tr w:rsidR="00614241" w:rsidRPr="00D86C21" w14:paraId="1DB49A36" w14:textId="77777777" w:rsidTr="00B4710F">
        <w:trPr>
          <w:trHeight w:val="1725"/>
        </w:trPr>
        <w:tc>
          <w:tcPr>
            <w:tcW w:w="0" w:type="auto"/>
            <w:tcBorders>
              <w:top w:val="nil"/>
              <w:left w:val="single" w:sz="8" w:space="0" w:color="auto"/>
              <w:bottom w:val="single" w:sz="8" w:space="0" w:color="auto"/>
              <w:right w:val="single" w:sz="8" w:space="0" w:color="auto"/>
            </w:tcBorders>
            <w:shd w:val="clear" w:color="000000" w:fill="D9D9D9"/>
          </w:tcPr>
          <w:p w14:paraId="38690875" w14:textId="369CD033" w:rsidR="00614241" w:rsidRPr="00D86C21" w:rsidRDefault="00614241" w:rsidP="00614241">
            <w:pPr>
              <w:jc w:val="right"/>
              <w:rPr>
                <w:rFonts w:eastAsia="Times New Roman" w:cs="Arial"/>
                <w:color w:val="000000"/>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307646AC" w14:textId="38EBF63D"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448209FA" w14:textId="4F526776"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4BC59F53" w14:textId="275809E3" w:rsidR="00614241" w:rsidRPr="00D86C21" w:rsidRDefault="00614241" w:rsidP="00614241">
            <w:pPr>
              <w:jc w:val="right"/>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777E1561" w14:textId="77801224"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c>
          <w:tcPr>
            <w:tcW w:w="0" w:type="auto"/>
            <w:tcBorders>
              <w:top w:val="nil"/>
              <w:left w:val="nil"/>
              <w:bottom w:val="single" w:sz="8" w:space="0" w:color="auto"/>
              <w:right w:val="single" w:sz="8" w:space="0" w:color="auto"/>
            </w:tcBorders>
            <w:shd w:val="clear" w:color="auto" w:fill="auto"/>
          </w:tcPr>
          <w:p w14:paraId="3B072F76" w14:textId="0744F6A1" w:rsidR="00614241" w:rsidRPr="00D86C21" w:rsidRDefault="00614241" w:rsidP="00614241">
            <w:pPr>
              <w:rPr>
                <w:rFonts w:eastAsia="Times New Roman" w:cs="Arial"/>
                <w:color w:val="000000"/>
                <w:sz w:val="22"/>
                <w:szCs w:val="22"/>
                <w:lang w:eastAsia="en-GB"/>
              </w:rPr>
            </w:pPr>
            <w:r w:rsidRPr="00C130B1">
              <w:rPr>
                <w:rFonts w:cs="Arial"/>
                <w:color w:val="0070C0"/>
              </w:rPr>
              <w:t>[</w:t>
            </w:r>
            <w:r>
              <w:rPr>
                <w:rFonts w:cs="Arial"/>
                <w:color w:val="0070C0"/>
              </w:rPr>
              <w:t>Redacted – Commercially sensitive information]</w:t>
            </w: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F71E05"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614241"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32"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C007" w14:textId="77777777" w:rsidR="00D952CE" w:rsidRDefault="00D952CE">
      <w:r>
        <w:separator/>
      </w:r>
    </w:p>
  </w:endnote>
  <w:endnote w:type="continuationSeparator" w:id="0">
    <w:p w14:paraId="07D0D897" w14:textId="77777777" w:rsidR="00D952CE" w:rsidRDefault="00D952CE">
      <w:r>
        <w:continuationSeparator/>
      </w:r>
    </w:p>
  </w:endnote>
  <w:endnote w:type="continuationNotice" w:id="1">
    <w:p w14:paraId="2E407CEB" w14:textId="77777777" w:rsidR="00D952CE" w:rsidRDefault="00D9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798C" w14:textId="77777777" w:rsidR="00D952CE" w:rsidRDefault="00D952CE">
      <w:r>
        <w:separator/>
      </w:r>
    </w:p>
  </w:footnote>
  <w:footnote w:type="continuationSeparator" w:id="0">
    <w:p w14:paraId="4E96FED6" w14:textId="77777777" w:rsidR="00D952CE" w:rsidRDefault="00D952CE">
      <w:r>
        <w:continuationSeparator/>
      </w:r>
    </w:p>
  </w:footnote>
  <w:footnote w:type="continuationNotice" w:id="1">
    <w:p w14:paraId="5852714E" w14:textId="77777777" w:rsidR="00D952CE" w:rsidRDefault="00D9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5EA3A0D9" w:rsidR="00F26690" w:rsidRPr="00A747EF" w:rsidRDefault="00F71E05"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7754E9">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7754E9">
                <w:rPr>
                  <w:rFonts w:ascii="MS Gothic" w:eastAsia="MS Gothic" w:hAnsi="MS Gothic" w:cs="Arial" w:hint="eastAsia"/>
                  <w:b/>
                  <w:color w:val="FF0000"/>
                  <w:sz w:val="18"/>
                </w:rPr>
                <w:t>☒</w:t>
              </w:r>
            </w:sdtContent>
          </w:sdt>
          <w:r w:rsidR="00082294" w:rsidRPr="006C63F0">
            <w:rPr>
              <w:rFonts w:cs="Arial"/>
              <w:color w:val="FF0000"/>
              <w:sz w:val="18"/>
            </w:rPr>
            <w:t xml:space="preserve"> Non-</w:t>
          </w:r>
          <w:r w:rsidR="004146BD">
            <w:rPr>
              <w:rFonts w:cs="Arial"/>
              <w:color w:val="FF0000"/>
              <w:sz w:val="18"/>
            </w:rPr>
            <w:t>c</w:t>
          </w:r>
          <w:r w:rsidR="00082294" w:rsidRPr="006C63F0">
            <w:rPr>
              <w:rFonts w:cs="Arial"/>
              <w:color w:val="FF0000"/>
              <w:sz w:val="18"/>
            </w:rPr>
            <w:t>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10BC"/>
    <w:rsid w:val="00013CAB"/>
    <w:rsid w:val="0001510E"/>
    <w:rsid w:val="00016933"/>
    <w:rsid w:val="000272DF"/>
    <w:rsid w:val="00035AE4"/>
    <w:rsid w:val="000513F0"/>
    <w:rsid w:val="000575EA"/>
    <w:rsid w:val="00065FC8"/>
    <w:rsid w:val="00082294"/>
    <w:rsid w:val="000852EB"/>
    <w:rsid w:val="00085D70"/>
    <w:rsid w:val="000873EE"/>
    <w:rsid w:val="000A3B13"/>
    <w:rsid w:val="000B2A8B"/>
    <w:rsid w:val="000C666C"/>
    <w:rsid w:val="000D157D"/>
    <w:rsid w:val="000E70D8"/>
    <w:rsid w:val="000F0F1F"/>
    <w:rsid w:val="000F7D3F"/>
    <w:rsid w:val="00103929"/>
    <w:rsid w:val="00110DEF"/>
    <w:rsid w:val="00113D91"/>
    <w:rsid w:val="00135902"/>
    <w:rsid w:val="00145605"/>
    <w:rsid w:val="00154D7A"/>
    <w:rsid w:val="00155D3D"/>
    <w:rsid w:val="00174784"/>
    <w:rsid w:val="00196866"/>
    <w:rsid w:val="001A04EC"/>
    <w:rsid w:val="001A3140"/>
    <w:rsid w:val="001A4B80"/>
    <w:rsid w:val="001A54A7"/>
    <w:rsid w:val="001B10C4"/>
    <w:rsid w:val="001B6AE6"/>
    <w:rsid w:val="001C22FF"/>
    <w:rsid w:val="001C4476"/>
    <w:rsid w:val="001D1A52"/>
    <w:rsid w:val="001F2507"/>
    <w:rsid w:val="001F63BC"/>
    <w:rsid w:val="00200FF3"/>
    <w:rsid w:val="00202BCD"/>
    <w:rsid w:val="00206F30"/>
    <w:rsid w:val="00225404"/>
    <w:rsid w:val="002260A6"/>
    <w:rsid w:val="00230AD9"/>
    <w:rsid w:val="00245D6D"/>
    <w:rsid w:val="00270694"/>
    <w:rsid w:val="002800B4"/>
    <w:rsid w:val="00283F94"/>
    <w:rsid w:val="002842C8"/>
    <w:rsid w:val="00285B88"/>
    <w:rsid w:val="002945C3"/>
    <w:rsid w:val="002A0DD4"/>
    <w:rsid w:val="002A4317"/>
    <w:rsid w:val="002B1C4D"/>
    <w:rsid w:val="002C7501"/>
    <w:rsid w:val="002D0EDD"/>
    <w:rsid w:val="002D33AD"/>
    <w:rsid w:val="002F08E0"/>
    <w:rsid w:val="002F36F8"/>
    <w:rsid w:val="002F766F"/>
    <w:rsid w:val="003025C7"/>
    <w:rsid w:val="00320518"/>
    <w:rsid w:val="0033058B"/>
    <w:rsid w:val="003311A7"/>
    <w:rsid w:val="00331C25"/>
    <w:rsid w:val="00334149"/>
    <w:rsid w:val="00340664"/>
    <w:rsid w:val="003410A4"/>
    <w:rsid w:val="0034498C"/>
    <w:rsid w:val="003543D4"/>
    <w:rsid w:val="00394BB8"/>
    <w:rsid w:val="00396796"/>
    <w:rsid w:val="003B565E"/>
    <w:rsid w:val="003C0207"/>
    <w:rsid w:val="003C416D"/>
    <w:rsid w:val="003D29ED"/>
    <w:rsid w:val="003F68A2"/>
    <w:rsid w:val="00400544"/>
    <w:rsid w:val="004146BD"/>
    <w:rsid w:val="004150C4"/>
    <w:rsid w:val="00417824"/>
    <w:rsid w:val="00425D56"/>
    <w:rsid w:val="004343F8"/>
    <w:rsid w:val="00446191"/>
    <w:rsid w:val="00471157"/>
    <w:rsid w:val="0047242C"/>
    <w:rsid w:val="00482BF8"/>
    <w:rsid w:val="004A4F2F"/>
    <w:rsid w:val="004C37A8"/>
    <w:rsid w:val="004C3F51"/>
    <w:rsid w:val="004C5017"/>
    <w:rsid w:val="004D4216"/>
    <w:rsid w:val="004E234C"/>
    <w:rsid w:val="00500362"/>
    <w:rsid w:val="0052464B"/>
    <w:rsid w:val="0052517C"/>
    <w:rsid w:val="00530967"/>
    <w:rsid w:val="00545BB1"/>
    <w:rsid w:val="00546FDB"/>
    <w:rsid w:val="00562ACE"/>
    <w:rsid w:val="005820CB"/>
    <w:rsid w:val="00582E75"/>
    <w:rsid w:val="00584965"/>
    <w:rsid w:val="00593A15"/>
    <w:rsid w:val="005979A1"/>
    <w:rsid w:val="00597FA2"/>
    <w:rsid w:val="005A4875"/>
    <w:rsid w:val="005A6F5B"/>
    <w:rsid w:val="005B7677"/>
    <w:rsid w:val="005C6FF3"/>
    <w:rsid w:val="005F08FE"/>
    <w:rsid w:val="005F6949"/>
    <w:rsid w:val="00600DD9"/>
    <w:rsid w:val="00602984"/>
    <w:rsid w:val="006047F5"/>
    <w:rsid w:val="00614241"/>
    <w:rsid w:val="006166D5"/>
    <w:rsid w:val="00617620"/>
    <w:rsid w:val="00630BD4"/>
    <w:rsid w:val="006354DE"/>
    <w:rsid w:val="00641E9A"/>
    <w:rsid w:val="0065395E"/>
    <w:rsid w:val="0066575F"/>
    <w:rsid w:val="00686416"/>
    <w:rsid w:val="006A2204"/>
    <w:rsid w:val="006B2586"/>
    <w:rsid w:val="006C164A"/>
    <w:rsid w:val="006C545C"/>
    <w:rsid w:val="006F1F45"/>
    <w:rsid w:val="006F611D"/>
    <w:rsid w:val="007010A9"/>
    <w:rsid w:val="007114CA"/>
    <w:rsid w:val="00717D03"/>
    <w:rsid w:val="00723844"/>
    <w:rsid w:val="007439D0"/>
    <w:rsid w:val="00763E02"/>
    <w:rsid w:val="00764013"/>
    <w:rsid w:val="0077521F"/>
    <w:rsid w:val="007754E9"/>
    <w:rsid w:val="007756C3"/>
    <w:rsid w:val="007771B6"/>
    <w:rsid w:val="007945FA"/>
    <w:rsid w:val="007976DE"/>
    <w:rsid w:val="007A4916"/>
    <w:rsid w:val="007A5E0D"/>
    <w:rsid w:val="007B68F1"/>
    <w:rsid w:val="007B7597"/>
    <w:rsid w:val="007D4281"/>
    <w:rsid w:val="007E0420"/>
    <w:rsid w:val="007E17D1"/>
    <w:rsid w:val="007E318B"/>
    <w:rsid w:val="007E4AA9"/>
    <w:rsid w:val="007F309D"/>
    <w:rsid w:val="007F3A1C"/>
    <w:rsid w:val="007F6FB8"/>
    <w:rsid w:val="007F779E"/>
    <w:rsid w:val="008028FD"/>
    <w:rsid w:val="008140F9"/>
    <w:rsid w:val="008338F3"/>
    <w:rsid w:val="00850888"/>
    <w:rsid w:val="008556BF"/>
    <w:rsid w:val="00861A7C"/>
    <w:rsid w:val="0087135D"/>
    <w:rsid w:val="00877E1B"/>
    <w:rsid w:val="0089487B"/>
    <w:rsid w:val="00897CEE"/>
    <w:rsid w:val="008A5C7D"/>
    <w:rsid w:val="008B2DFB"/>
    <w:rsid w:val="008B7352"/>
    <w:rsid w:val="008D3CE2"/>
    <w:rsid w:val="008F6A68"/>
    <w:rsid w:val="009034A0"/>
    <w:rsid w:val="009036A7"/>
    <w:rsid w:val="0090752F"/>
    <w:rsid w:val="00911776"/>
    <w:rsid w:val="00927623"/>
    <w:rsid w:val="009342CB"/>
    <w:rsid w:val="00942C4F"/>
    <w:rsid w:val="00946C64"/>
    <w:rsid w:val="009551D0"/>
    <w:rsid w:val="0096443F"/>
    <w:rsid w:val="009769F3"/>
    <w:rsid w:val="009772D0"/>
    <w:rsid w:val="009A220B"/>
    <w:rsid w:val="009B1103"/>
    <w:rsid w:val="009C7095"/>
    <w:rsid w:val="009D1A89"/>
    <w:rsid w:val="009D6EBD"/>
    <w:rsid w:val="009F4F71"/>
    <w:rsid w:val="00A05FB5"/>
    <w:rsid w:val="00A14C78"/>
    <w:rsid w:val="00A41D91"/>
    <w:rsid w:val="00AA1B79"/>
    <w:rsid w:val="00AA7B5F"/>
    <w:rsid w:val="00AB305D"/>
    <w:rsid w:val="00AC11D7"/>
    <w:rsid w:val="00AC5790"/>
    <w:rsid w:val="00AD1494"/>
    <w:rsid w:val="00AF6D3D"/>
    <w:rsid w:val="00B004D0"/>
    <w:rsid w:val="00B019AD"/>
    <w:rsid w:val="00B0449C"/>
    <w:rsid w:val="00B32B9D"/>
    <w:rsid w:val="00B43172"/>
    <w:rsid w:val="00B517E8"/>
    <w:rsid w:val="00B53C22"/>
    <w:rsid w:val="00B66D75"/>
    <w:rsid w:val="00B7242C"/>
    <w:rsid w:val="00BB43C6"/>
    <w:rsid w:val="00BD15C3"/>
    <w:rsid w:val="00BD7127"/>
    <w:rsid w:val="00BE0A21"/>
    <w:rsid w:val="00BE4F0E"/>
    <w:rsid w:val="00C048ED"/>
    <w:rsid w:val="00C04901"/>
    <w:rsid w:val="00C1049A"/>
    <w:rsid w:val="00C130B1"/>
    <w:rsid w:val="00C150FB"/>
    <w:rsid w:val="00C47B08"/>
    <w:rsid w:val="00C634C6"/>
    <w:rsid w:val="00C63C5A"/>
    <w:rsid w:val="00C85739"/>
    <w:rsid w:val="00C9621F"/>
    <w:rsid w:val="00CA39F8"/>
    <w:rsid w:val="00CD3DFD"/>
    <w:rsid w:val="00CE1C2C"/>
    <w:rsid w:val="00CE23F0"/>
    <w:rsid w:val="00CE6BBC"/>
    <w:rsid w:val="00CE7E35"/>
    <w:rsid w:val="00CF7925"/>
    <w:rsid w:val="00D03DD0"/>
    <w:rsid w:val="00D075E8"/>
    <w:rsid w:val="00D16A72"/>
    <w:rsid w:val="00D366DE"/>
    <w:rsid w:val="00D572B8"/>
    <w:rsid w:val="00D7015D"/>
    <w:rsid w:val="00D73691"/>
    <w:rsid w:val="00D73916"/>
    <w:rsid w:val="00D83356"/>
    <w:rsid w:val="00D86C21"/>
    <w:rsid w:val="00D952CE"/>
    <w:rsid w:val="00D956C3"/>
    <w:rsid w:val="00DA3983"/>
    <w:rsid w:val="00DB3D72"/>
    <w:rsid w:val="00DB5E8E"/>
    <w:rsid w:val="00DC32BF"/>
    <w:rsid w:val="00DC37C4"/>
    <w:rsid w:val="00DD0ABD"/>
    <w:rsid w:val="00DD68F1"/>
    <w:rsid w:val="00DD6933"/>
    <w:rsid w:val="00DF5EEC"/>
    <w:rsid w:val="00E04B0B"/>
    <w:rsid w:val="00E354B0"/>
    <w:rsid w:val="00E36685"/>
    <w:rsid w:val="00E4298D"/>
    <w:rsid w:val="00E54216"/>
    <w:rsid w:val="00E6443B"/>
    <w:rsid w:val="00E81395"/>
    <w:rsid w:val="00E948C1"/>
    <w:rsid w:val="00EA2ED6"/>
    <w:rsid w:val="00EC5EF5"/>
    <w:rsid w:val="00EE5BB6"/>
    <w:rsid w:val="00EF3BBA"/>
    <w:rsid w:val="00F10846"/>
    <w:rsid w:val="00F26690"/>
    <w:rsid w:val="00F44231"/>
    <w:rsid w:val="00F53BA6"/>
    <w:rsid w:val="00F67D0B"/>
    <w:rsid w:val="00F71E05"/>
    <w:rsid w:val="00F77B89"/>
    <w:rsid w:val="00F77BD2"/>
    <w:rsid w:val="00F84D60"/>
    <w:rsid w:val="00F91AA5"/>
    <w:rsid w:val="00F91ADE"/>
    <w:rsid w:val="00F95CBC"/>
    <w:rsid w:val="00FB3F06"/>
    <w:rsid w:val="00FB4FEA"/>
    <w:rsid w:val="00FB605D"/>
    <w:rsid w:val="00FC3422"/>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14491">
      <w:bodyDiv w:val="1"/>
      <w:marLeft w:val="0"/>
      <w:marRight w:val="0"/>
      <w:marTop w:val="0"/>
      <w:marBottom w:val="0"/>
      <w:divBdr>
        <w:top w:val="none" w:sz="0" w:space="0" w:color="auto"/>
        <w:left w:val="none" w:sz="0" w:space="0" w:color="auto"/>
        <w:bottom w:val="none" w:sz="0" w:space="0" w:color="auto"/>
        <w:right w:val="none" w:sz="0" w:space="0" w:color="auto"/>
      </w:divBdr>
    </w:div>
    <w:div w:id="680475767">
      <w:bodyDiv w:val="1"/>
      <w:marLeft w:val="0"/>
      <w:marRight w:val="0"/>
      <w:marTop w:val="0"/>
      <w:marBottom w:val="0"/>
      <w:divBdr>
        <w:top w:val="none" w:sz="0" w:space="0" w:color="auto"/>
        <w:left w:val="none" w:sz="0" w:space="0" w:color="auto"/>
        <w:bottom w:val="none" w:sz="0" w:space="0" w:color="auto"/>
        <w:right w:val="none" w:sz="0" w:space="0" w:color="auto"/>
      </w:divBdr>
    </w:div>
    <w:div w:id="80716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AD0068/" TargetMode="External"/><Relationship Id="rId18" Type="http://schemas.openxmlformats.org/officeDocument/2006/relationships/hyperlink" Target="https://www.valero.com/UK" TargetMode="External"/><Relationship Id="rId26" Type="http://schemas.openxmlformats.org/officeDocument/2006/relationships/hyperlink" Target="https://www.shell.com/business-customers/trading-and-supply.html" TargetMode="External"/><Relationship Id="rId3" Type="http://schemas.openxmlformats.org/officeDocument/2006/relationships/customXml" Target="../customXml/item3.xml"/><Relationship Id="rId21" Type="http://schemas.openxmlformats.org/officeDocument/2006/relationships/hyperlink" Target="https://www.eslfuels.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phillips66.co.uk/" TargetMode="External"/><Relationship Id="rId25" Type="http://schemas.openxmlformats.org/officeDocument/2006/relationships/hyperlink" Target="https://www.shell.com/business-customers/trading-and-supply.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etroineos.com/" TargetMode="External"/><Relationship Id="rId29" Type="http://schemas.openxmlformats.org/officeDocument/2006/relationships/hyperlink" Target="https://www.pra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AD0068/" TargetMode="External"/><Relationship Id="rId24" Type="http://schemas.openxmlformats.org/officeDocument/2006/relationships/hyperlink" Target="https://www.bp.com/" TargetMode="External"/><Relationship Id="rId32" Type="http://schemas.openxmlformats.org/officeDocument/2006/relationships/hyperlink" Target="https://www.trade-remedies.service.gov.uk/accounts/login/?next=/dashboard/"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bp.com/en_gb/united-kingdom/home.html" TargetMode="External"/><Relationship Id="rId28" Type="http://schemas.openxmlformats.org/officeDocument/2006/relationships/hyperlink" Target="https://www.exxonmobil.co.uk/" TargetMode="External"/><Relationship Id="rId10" Type="http://schemas.openxmlformats.org/officeDocument/2006/relationships/hyperlink" Target="http://www.trade-remedies.service.gov.uk" TargetMode="External"/><Relationship Id="rId19" Type="http://schemas.openxmlformats.org/officeDocument/2006/relationships/hyperlink" Target="https://gunvorgroup.com/" TargetMode="External"/><Relationship Id="rId3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8/1248/regulation/128/made" TargetMode="External"/><Relationship Id="rId22" Type="http://schemas.openxmlformats.org/officeDocument/2006/relationships/hyperlink" Target="https://www.essar.com/" TargetMode="External"/><Relationship Id="rId27" Type="http://schemas.openxmlformats.org/officeDocument/2006/relationships/hyperlink" Target="https://www.mabanaft.co.uk/" TargetMode="External"/><Relationship Id="rId3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89C1E-6CAB-4444-A1AB-08B9A35753D1}">
  <ds:schemaRefs>
    <ds:schemaRef ds:uri="http://schemas.microsoft.com/office/2006/metadata/properties"/>
    <ds:schemaRef ds:uri="http://schemas.microsoft.com/office/infopath/2007/PartnerControls"/>
    <ds:schemaRef ds:uri="http://schemas.microsoft.com/sharepoint/v3"/>
    <ds:schemaRef ds:uri="2db5c81e-cf3b-41ad-86d9-68d52a4dfefd"/>
    <ds:schemaRef ds:uri="8fafa7b5-f700-496f-9abb-c13fb86c9710"/>
  </ds:schemaRefs>
</ds:datastoreItem>
</file>

<file path=customXml/itemProps2.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3.xml><?xml version="1.0" encoding="utf-8"?>
<ds:datastoreItem xmlns:ds="http://schemas.openxmlformats.org/officeDocument/2006/customXml" ds:itemID="{28715B8D-BC13-4C16-AC0D-092E3D9DF1BC}"/>
</file>

<file path=docProps/app.xml><?xml version="1.0" encoding="utf-8"?>
<Properties xmlns="http://schemas.openxmlformats.org/officeDocument/2006/extended-properties" xmlns:vt="http://schemas.openxmlformats.org/officeDocument/2006/docPropsVTypes">
  <Template>Normal</Template>
  <TotalTime>46</TotalTime>
  <Pages>18</Pages>
  <Words>2904</Words>
  <Characters>16554</Characters>
  <Application>Microsoft Office Word</Application>
  <DocSecurity>0</DocSecurity>
  <Lines>137</Lines>
  <Paragraphs>38</Paragraphs>
  <ScaleCrop>false</ScaleCrop>
  <Company/>
  <LinksUpToDate>false</LinksUpToDate>
  <CharactersWithSpaces>19420</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11</cp:revision>
  <dcterms:created xsi:type="dcterms:W3CDTF">2025-03-28T15:14:00Z</dcterms:created>
  <dcterms:modified xsi:type="dcterms:W3CDTF">2025-03-31T16:21:00Z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