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4BAC8" w14:textId="77777777" w:rsidR="008E2E3A" w:rsidRDefault="008E2E3A"/>
    <w:p w14:paraId="449E6C5D" w14:textId="77777777" w:rsidR="008E2E3A" w:rsidRDefault="00ED0FAD">
      <w:pPr>
        <w:spacing w:after="160" w:line="22" w:lineRule="atLeast"/>
        <w:jc w:val="center"/>
        <w:rPr>
          <w:b/>
          <w:sz w:val="36"/>
          <w:szCs w:val="36"/>
        </w:rPr>
      </w:pPr>
      <w:r>
        <w:rPr>
          <w:b/>
          <w:sz w:val="36"/>
          <w:szCs w:val="36"/>
        </w:rPr>
        <w:t>Registration Form</w:t>
      </w:r>
    </w:p>
    <w:p w14:paraId="0CB0003C" w14:textId="77777777" w:rsidR="008E2E3A" w:rsidRDefault="00ED0FAD">
      <w:pPr>
        <w:spacing w:after="160" w:line="22" w:lineRule="atLeast"/>
        <w:jc w:val="center"/>
      </w:pPr>
      <w:bookmarkStart w:id="0" w:name="_Hlk105431538"/>
      <w:r>
        <w:rPr>
          <w:b/>
          <w:bCs/>
          <w:sz w:val="36"/>
          <w:szCs w:val="36"/>
        </w:rPr>
        <w:t>Tariff Rate Quota Review – Developing Country Exception</w:t>
      </w:r>
    </w:p>
    <w:p w14:paraId="5705A61B" w14:textId="77777777" w:rsidR="008E2E3A" w:rsidRDefault="00ED0FAD">
      <w:pPr>
        <w:tabs>
          <w:tab w:val="left" w:pos="2130"/>
        </w:tabs>
        <w:spacing w:line="22" w:lineRule="atLeast"/>
        <w:jc w:val="center"/>
      </w:pPr>
      <w:r>
        <w:rPr>
          <w:b/>
          <w:sz w:val="36"/>
          <w:szCs w:val="36"/>
        </w:rPr>
        <w:t>Case</w:t>
      </w:r>
      <w:r>
        <w:rPr>
          <w:b/>
          <w:bCs/>
          <w:sz w:val="36"/>
          <w:szCs w:val="36"/>
        </w:rPr>
        <w:t xml:space="preserve"> No.</w:t>
      </w:r>
      <w:r>
        <w:rPr>
          <w:b/>
          <w:sz w:val="36"/>
          <w:szCs w:val="36"/>
        </w:rPr>
        <w:t xml:space="preserve"> TQ0066</w:t>
      </w:r>
    </w:p>
    <w:bookmarkEnd w:id="0"/>
    <w:p w14:paraId="0EC24F60" w14:textId="77777777" w:rsidR="008E2E3A" w:rsidRDefault="008E2E3A">
      <w:pPr>
        <w:tabs>
          <w:tab w:val="left" w:pos="2130"/>
        </w:tabs>
        <w:spacing w:line="22" w:lineRule="atLeast"/>
        <w:jc w:val="center"/>
        <w:rPr>
          <w:b/>
          <w:color w:val="FF0000"/>
          <w:sz w:val="32"/>
        </w:rPr>
      </w:pPr>
    </w:p>
    <w:tbl>
      <w:tblPr>
        <w:tblW w:w="9498" w:type="dxa"/>
        <w:tblCellMar>
          <w:left w:w="10" w:type="dxa"/>
          <w:right w:w="10" w:type="dxa"/>
        </w:tblCellMar>
        <w:tblLook w:val="04A0" w:firstRow="1" w:lastRow="0" w:firstColumn="1" w:lastColumn="0" w:noHBand="0" w:noVBand="1"/>
      </w:tblPr>
      <w:tblGrid>
        <w:gridCol w:w="3966"/>
        <w:gridCol w:w="456"/>
        <w:gridCol w:w="5076"/>
      </w:tblGrid>
      <w:tr w:rsidR="008E2E3A" w14:paraId="766FD8DD" w14:textId="77777777">
        <w:tc>
          <w:tcPr>
            <w:tcW w:w="3966" w:type="dxa"/>
            <w:tcBorders>
              <w:right w:val="single" w:sz="4" w:space="0" w:color="000000"/>
            </w:tcBorders>
            <w:shd w:val="clear" w:color="auto" w:fill="auto"/>
            <w:tcMar>
              <w:top w:w="0" w:type="dxa"/>
              <w:left w:w="108" w:type="dxa"/>
              <w:bottom w:w="0" w:type="dxa"/>
              <w:right w:w="108" w:type="dxa"/>
            </w:tcMar>
          </w:tcPr>
          <w:p w14:paraId="4F6BC920" w14:textId="77777777" w:rsidR="008E2E3A" w:rsidRDefault="00ED0FAD">
            <w:pPr>
              <w:tabs>
                <w:tab w:val="left" w:pos="2130"/>
              </w:tabs>
              <w:spacing w:line="22" w:lineRule="atLeast"/>
            </w:pPr>
            <w:r>
              <w:rPr>
                <w:rFonts w:eastAsia="Arial"/>
                <w:b/>
                <w:bCs/>
                <w:color w:val="000000"/>
              </w:rPr>
              <w:t>Period of Investigation:</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FB3C1" w14:textId="77777777" w:rsidR="008E2E3A" w:rsidRDefault="00ED0FAD">
            <w:pPr>
              <w:tabs>
                <w:tab w:val="left" w:pos="2130"/>
              </w:tabs>
              <w:spacing w:line="22" w:lineRule="atLeast"/>
              <w:rPr>
                <w:rFonts w:eastAsia="Arial"/>
                <w:color w:val="000000"/>
              </w:rPr>
            </w:pPr>
            <w:r>
              <w:rPr>
                <w:rFonts w:eastAsia="Arial"/>
                <w:color w:val="000000"/>
              </w:rPr>
              <w:t>1 January 2024 to 31 December 2024</w:t>
            </w:r>
          </w:p>
        </w:tc>
      </w:tr>
      <w:tr w:rsidR="008E2E3A" w14:paraId="448C6042" w14:textId="77777777">
        <w:tc>
          <w:tcPr>
            <w:tcW w:w="3966" w:type="dxa"/>
            <w:shd w:val="clear" w:color="auto" w:fill="auto"/>
            <w:tcMar>
              <w:top w:w="0" w:type="dxa"/>
              <w:left w:w="108" w:type="dxa"/>
              <w:bottom w:w="0" w:type="dxa"/>
              <w:right w:w="108" w:type="dxa"/>
            </w:tcMar>
          </w:tcPr>
          <w:p w14:paraId="3BDF89E6" w14:textId="77777777" w:rsidR="008E2E3A" w:rsidRDefault="008E2E3A">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09BA20E3" w14:textId="77777777" w:rsidR="008E2E3A" w:rsidRDefault="008E2E3A">
            <w:pPr>
              <w:tabs>
                <w:tab w:val="left" w:pos="2130"/>
              </w:tabs>
              <w:spacing w:line="22" w:lineRule="atLeast"/>
              <w:rPr>
                <w:rFonts w:eastAsia="Arial"/>
                <w:color w:val="000000"/>
              </w:rPr>
            </w:pPr>
          </w:p>
        </w:tc>
      </w:tr>
      <w:tr w:rsidR="008E2E3A" w14:paraId="075901D1" w14:textId="77777777">
        <w:tc>
          <w:tcPr>
            <w:tcW w:w="3966" w:type="dxa"/>
            <w:tcBorders>
              <w:right w:val="single" w:sz="4" w:space="0" w:color="000000"/>
            </w:tcBorders>
            <w:shd w:val="clear" w:color="auto" w:fill="auto"/>
            <w:tcMar>
              <w:top w:w="0" w:type="dxa"/>
              <w:left w:w="108" w:type="dxa"/>
              <w:bottom w:w="0" w:type="dxa"/>
              <w:right w:w="108" w:type="dxa"/>
            </w:tcMar>
          </w:tcPr>
          <w:p w14:paraId="58559BDE" w14:textId="77777777" w:rsidR="008E2E3A" w:rsidRDefault="00ED0FAD">
            <w:pPr>
              <w:tabs>
                <w:tab w:val="left" w:pos="2130"/>
              </w:tabs>
              <w:spacing w:line="22" w:lineRule="atLeast"/>
            </w:pPr>
            <w:r>
              <w:rPr>
                <w:rFonts w:eastAsia="Arial"/>
                <w:b/>
                <w:bCs/>
                <w:color w:val="000000"/>
              </w:rPr>
              <w:t>Deadline for response:</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96FF5" w14:textId="77777777" w:rsidR="008E2E3A" w:rsidRDefault="00ED0FAD">
            <w:pPr>
              <w:tabs>
                <w:tab w:val="left" w:pos="2130"/>
              </w:tabs>
              <w:spacing w:line="22" w:lineRule="atLeast"/>
            </w:pPr>
            <w:r>
              <w:rPr>
                <w:rFonts w:eastAsia="Arial"/>
                <w:color w:val="000000"/>
              </w:rPr>
              <w:t>14 March 2025</w:t>
            </w:r>
          </w:p>
        </w:tc>
      </w:tr>
      <w:tr w:rsidR="008E2E3A" w14:paraId="7F2FBFFF" w14:textId="77777777">
        <w:tc>
          <w:tcPr>
            <w:tcW w:w="3966" w:type="dxa"/>
            <w:shd w:val="clear" w:color="auto" w:fill="auto"/>
            <w:tcMar>
              <w:top w:w="0" w:type="dxa"/>
              <w:left w:w="108" w:type="dxa"/>
              <w:bottom w:w="0" w:type="dxa"/>
              <w:right w:w="108" w:type="dxa"/>
            </w:tcMar>
          </w:tcPr>
          <w:p w14:paraId="7CA77368" w14:textId="77777777" w:rsidR="008E2E3A" w:rsidRDefault="008E2E3A">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F035DBC" w14:textId="77777777" w:rsidR="008E2E3A" w:rsidRDefault="008E2E3A">
            <w:pPr>
              <w:tabs>
                <w:tab w:val="left" w:pos="2130"/>
              </w:tabs>
              <w:spacing w:line="22" w:lineRule="atLeast"/>
              <w:rPr>
                <w:rFonts w:eastAsia="Arial"/>
                <w:color w:val="000000"/>
              </w:rPr>
            </w:pPr>
          </w:p>
        </w:tc>
      </w:tr>
      <w:tr w:rsidR="008E2E3A" w14:paraId="6F915653" w14:textId="77777777">
        <w:tc>
          <w:tcPr>
            <w:tcW w:w="3966" w:type="dxa"/>
            <w:tcBorders>
              <w:right w:val="single" w:sz="4" w:space="0" w:color="000000"/>
            </w:tcBorders>
            <w:shd w:val="clear" w:color="auto" w:fill="auto"/>
            <w:tcMar>
              <w:top w:w="0" w:type="dxa"/>
              <w:left w:w="108" w:type="dxa"/>
              <w:bottom w:w="0" w:type="dxa"/>
              <w:right w:w="108" w:type="dxa"/>
            </w:tcMar>
          </w:tcPr>
          <w:p w14:paraId="65E59D82" w14:textId="77777777" w:rsidR="008E2E3A" w:rsidRDefault="00ED0FAD">
            <w:pPr>
              <w:tabs>
                <w:tab w:val="left" w:pos="2130"/>
              </w:tabs>
              <w:spacing w:line="22" w:lineRule="atLeast"/>
              <w:rPr>
                <w:rFonts w:eastAsia="Arial"/>
                <w:b/>
                <w:bCs/>
                <w:color w:val="000000"/>
              </w:rPr>
            </w:pPr>
            <w:r>
              <w:rPr>
                <w:rFonts w:eastAsia="Arial"/>
                <w:b/>
                <w:bCs/>
                <w:color w:val="000000"/>
              </w:rPr>
              <w:t>Case Team Contact:</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87871" w14:textId="77777777" w:rsidR="008E2E3A" w:rsidRDefault="00ED0FAD">
            <w:pPr>
              <w:tabs>
                <w:tab w:val="left" w:pos="2130"/>
              </w:tabs>
              <w:spacing w:line="22" w:lineRule="atLeast"/>
              <w:rPr>
                <w:rFonts w:eastAsia="Arial"/>
                <w:color w:val="000000"/>
              </w:rPr>
            </w:pPr>
            <w:r>
              <w:rPr>
                <w:rFonts w:eastAsia="Arial"/>
                <w:color w:val="000000"/>
              </w:rPr>
              <w:t>TQ0066@traderemedies.gov.uk</w:t>
            </w:r>
          </w:p>
        </w:tc>
      </w:tr>
      <w:tr w:rsidR="008E2E3A" w14:paraId="529CF355" w14:textId="77777777">
        <w:tc>
          <w:tcPr>
            <w:tcW w:w="3966" w:type="dxa"/>
            <w:shd w:val="clear" w:color="auto" w:fill="auto"/>
            <w:tcMar>
              <w:top w:w="0" w:type="dxa"/>
              <w:left w:w="108" w:type="dxa"/>
              <w:bottom w:w="0" w:type="dxa"/>
              <w:right w:w="108" w:type="dxa"/>
            </w:tcMar>
          </w:tcPr>
          <w:p w14:paraId="35A98EBC" w14:textId="77777777" w:rsidR="008E2E3A" w:rsidRDefault="008E2E3A">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4D5A162" w14:textId="77777777" w:rsidR="008E2E3A" w:rsidRDefault="008E2E3A">
            <w:pPr>
              <w:tabs>
                <w:tab w:val="left" w:pos="2130"/>
              </w:tabs>
              <w:spacing w:line="22" w:lineRule="atLeast"/>
              <w:rPr>
                <w:rFonts w:eastAsia="Arial"/>
                <w:color w:val="000000"/>
              </w:rPr>
            </w:pPr>
          </w:p>
        </w:tc>
      </w:tr>
      <w:tr w:rsidR="008E2E3A" w14:paraId="448780DC" w14:textId="77777777">
        <w:tc>
          <w:tcPr>
            <w:tcW w:w="3966" w:type="dxa"/>
            <w:tcBorders>
              <w:right w:val="single" w:sz="4" w:space="0" w:color="000000"/>
            </w:tcBorders>
            <w:shd w:val="clear" w:color="auto" w:fill="auto"/>
            <w:tcMar>
              <w:top w:w="0" w:type="dxa"/>
              <w:left w:w="108" w:type="dxa"/>
              <w:bottom w:w="0" w:type="dxa"/>
              <w:right w:w="108" w:type="dxa"/>
            </w:tcMar>
          </w:tcPr>
          <w:p w14:paraId="6A2FEFB3" w14:textId="77777777" w:rsidR="008E2E3A" w:rsidRDefault="00ED0FAD">
            <w:pPr>
              <w:tabs>
                <w:tab w:val="left" w:pos="2130"/>
              </w:tabs>
              <w:spacing w:line="22" w:lineRule="atLeast"/>
            </w:pPr>
            <w:r>
              <w:rPr>
                <w:rFonts w:eastAsia="Arial"/>
                <w:b/>
                <w:bCs/>
              </w:rPr>
              <w:t>Completed on behalf of:</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B8E7A" w14:textId="779B279B" w:rsidR="008E2E3A" w:rsidRPr="001C21DC" w:rsidRDefault="001C21DC">
            <w:pPr>
              <w:tabs>
                <w:tab w:val="left" w:pos="2130"/>
              </w:tabs>
              <w:spacing w:line="22" w:lineRule="atLeast"/>
            </w:pPr>
            <w:r w:rsidRPr="001C21DC">
              <w:rPr>
                <w:rStyle w:val="PlaceholderText"/>
                <w:color w:val="auto"/>
              </w:rPr>
              <w:t>Belmont and Knott Ltd</w:t>
            </w:r>
          </w:p>
          <w:p w14:paraId="7265C019" w14:textId="77777777" w:rsidR="008E2E3A" w:rsidRDefault="008E2E3A">
            <w:pPr>
              <w:tabs>
                <w:tab w:val="left" w:pos="2130"/>
              </w:tabs>
              <w:spacing w:line="22" w:lineRule="atLeast"/>
              <w:rPr>
                <w:rFonts w:eastAsia="Arial"/>
                <w:color w:val="FF0000"/>
              </w:rPr>
            </w:pPr>
          </w:p>
        </w:tc>
      </w:tr>
      <w:tr w:rsidR="008E2E3A" w14:paraId="22B15449" w14:textId="77777777">
        <w:tc>
          <w:tcPr>
            <w:tcW w:w="3966" w:type="dxa"/>
            <w:tcBorders>
              <w:right w:val="single" w:sz="4" w:space="0" w:color="FFFFFF"/>
            </w:tcBorders>
            <w:shd w:val="clear" w:color="auto" w:fill="auto"/>
            <w:tcMar>
              <w:top w:w="0" w:type="dxa"/>
              <w:left w:w="108" w:type="dxa"/>
              <w:bottom w:w="0" w:type="dxa"/>
              <w:right w:w="108" w:type="dxa"/>
            </w:tcMar>
          </w:tcPr>
          <w:p w14:paraId="1D67427A" w14:textId="77777777" w:rsidR="008E2E3A" w:rsidRDefault="008E2E3A">
            <w:pPr>
              <w:tabs>
                <w:tab w:val="left" w:pos="2130"/>
              </w:tabs>
              <w:spacing w:line="22" w:lineRule="atLeast"/>
              <w:rPr>
                <w:rFonts w:eastAsia="Arial"/>
                <w:b/>
                <w:bCs/>
                <w:color w:val="FF0000"/>
              </w:rPr>
            </w:pPr>
          </w:p>
        </w:tc>
        <w:tc>
          <w:tcPr>
            <w:tcW w:w="5532" w:type="dxa"/>
            <w:gridSpan w:val="2"/>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1D6E11E6" w14:textId="77777777" w:rsidR="008E2E3A" w:rsidRDefault="008E2E3A">
            <w:pPr>
              <w:tabs>
                <w:tab w:val="left" w:pos="2130"/>
              </w:tabs>
              <w:spacing w:line="22" w:lineRule="atLeast"/>
              <w:rPr>
                <w:rFonts w:eastAsia="Arial"/>
                <w:b/>
                <w:bCs/>
                <w:color w:val="FF0000"/>
              </w:rPr>
            </w:pPr>
          </w:p>
        </w:tc>
      </w:tr>
      <w:tr w:rsidR="008E2E3A" w14:paraId="327FDF70" w14:textId="77777777">
        <w:trPr>
          <w:trHeight w:val="2460"/>
        </w:trPr>
        <w:tc>
          <w:tcPr>
            <w:tcW w:w="3966" w:type="dxa"/>
            <w:tcBorders>
              <w:right w:val="single" w:sz="4" w:space="0" w:color="000000"/>
            </w:tcBorders>
            <w:shd w:val="clear" w:color="auto" w:fill="auto"/>
            <w:tcMar>
              <w:top w:w="0" w:type="dxa"/>
              <w:left w:w="108" w:type="dxa"/>
              <w:bottom w:w="0" w:type="dxa"/>
              <w:right w:w="108" w:type="dxa"/>
            </w:tcMar>
          </w:tcPr>
          <w:p w14:paraId="07FB430C" w14:textId="77777777" w:rsidR="008E2E3A" w:rsidRDefault="00ED0FAD">
            <w:pPr>
              <w:tabs>
                <w:tab w:val="left" w:pos="2130"/>
              </w:tabs>
              <w:spacing w:line="22" w:lineRule="atLeast"/>
              <w:rPr>
                <w:rFonts w:eastAsia="Arial"/>
                <w:b/>
                <w:bCs/>
              </w:rPr>
            </w:pPr>
            <w:r>
              <w:rPr>
                <w:rFonts w:eastAsia="Arial"/>
                <w:b/>
                <w:bCs/>
              </w:rPr>
              <w:t xml:space="preserve">Party type (select): </w:t>
            </w:r>
          </w:p>
        </w:tc>
        <w:tc>
          <w:tcPr>
            <w:tcW w:w="456" w:type="dxa"/>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4D47E49F" w14:textId="77777777" w:rsidR="008E2E3A" w:rsidRDefault="00ED0FAD">
            <w:pPr>
              <w:tabs>
                <w:tab w:val="left" w:pos="2130"/>
              </w:tabs>
              <w:spacing w:line="22" w:lineRule="atLeast"/>
            </w:pPr>
            <w:r>
              <w:rPr>
                <w:rFonts w:ascii="MS Gothic" w:eastAsia="MS Gothic" w:hAnsi="MS Gothic"/>
              </w:rPr>
              <w:t>☐</w:t>
            </w:r>
            <w:r>
              <w:rPr>
                <w:rFonts w:eastAsia="Arial"/>
              </w:rPr>
              <w:t xml:space="preserve">   </w:t>
            </w:r>
          </w:p>
          <w:p w14:paraId="5A1A899E" w14:textId="554E47A1" w:rsidR="008E2E3A" w:rsidRDefault="001C21DC">
            <w:pPr>
              <w:rPr>
                <w:rFonts w:eastAsia="Arial"/>
              </w:rPr>
            </w:pPr>
            <w:r>
              <w:rPr>
                <w:noProof/>
                <w:lang w:val="en-US"/>
              </w:rPr>
              <mc:AlternateContent>
                <mc:Choice Requires="wps">
                  <w:drawing>
                    <wp:anchor distT="0" distB="0" distL="114300" distR="114300" simplePos="0" relativeHeight="251661313" behindDoc="0" locked="0" layoutInCell="1" allowOverlap="1" wp14:anchorId="6562AA39" wp14:editId="183C52C1">
                      <wp:simplePos x="0" y="0"/>
                      <wp:positionH relativeFrom="column">
                        <wp:posOffset>-31115</wp:posOffset>
                      </wp:positionH>
                      <wp:positionV relativeFrom="paragraph">
                        <wp:posOffset>161290</wp:posOffset>
                      </wp:positionV>
                      <wp:extent cx="209550" cy="257175"/>
                      <wp:effectExtent l="0" t="0" r="0" b="0"/>
                      <wp:wrapNone/>
                      <wp:docPr id="730102341" name="Multiplication Sign 1"/>
                      <wp:cNvGraphicFramePr/>
                      <a:graphic xmlns:a="http://schemas.openxmlformats.org/drawingml/2006/main">
                        <a:graphicData uri="http://schemas.microsoft.com/office/word/2010/wordprocessingShape">
                          <wps:wsp>
                            <wps:cNvSpPr/>
                            <wps:spPr>
                              <a:xfrm>
                                <a:off x="0" y="0"/>
                                <a:ext cx="209550" cy="257175"/>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0064E1" id="Multiplication Sign 1" o:spid="_x0000_s1026" style="position:absolute;margin-left:-2.45pt;margin-top:12.7pt;width:16.5pt;height:20.25pt;z-index:251661313;visibility:visible;mso-wrap-style:square;mso-wrap-distance-left:9pt;mso-wrap-distance-top:0;mso-wrap-distance-right:9pt;mso-wrap-distance-bottom:0;mso-position-horizontal:absolute;mso-position-horizontal-relative:text;mso-position-vertical:absolute;mso-position-vertical-relative:text;v-text-anchor:middle" coordsize="2095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" path="m31224,77333l69433,46201r35342,43374l140117,46201r38209,31132l136563,128588r41763,51254l140117,210974,104775,167600,69433,210974,31224,179842,72987,128588,31224,77333xe" fillcolor="#156082 [3204]" strokecolor="#030e13 [484]" strokeweight="1pt">
                      <v:stroke joinstyle="miter"/>
                      <v:path arrowok="t" o:connecttype="custom" o:connectlocs="31224,77333;69433,46201;104775,89575;140117,46201;178326,77333;136563,128588;178326,179842;140117,210974;104775,167600;69433,210974;31224,179842;72987,128588;31224,77333" o:connectangles="0,0,0,0,0,0,0,0,0,0,0,0,0"/>
                    </v:shape>
                  </w:pict>
                </mc:Fallback>
              </mc:AlternateContent>
            </w:r>
          </w:p>
          <w:p w14:paraId="471E54C7" w14:textId="1C7FD8EC" w:rsidR="008E2E3A" w:rsidRDefault="00ED0FAD">
            <w:r>
              <w:rPr>
                <w:rFonts w:ascii="MS Gothic" w:eastAsia="MS Gothic" w:hAnsi="MS Gothic"/>
              </w:rPr>
              <w:t>☐</w:t>
            </w:r>
          </w:p>
        </w:tc>
        <w:tc>
          <w:tcPr>
            <w:tcW w:w="5076" w:type="dxa"/>
            <w:tcBorders>
              <w:top w:val="single" w:sz="4" w:space="0" w:color="000000"/>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71A74316" w14:textId="77777777" w:rsidR="008E2E3A" w:rsidRDefault="00ED0FAD">
            <w:pPr>
              <w:tabs>
                <w:tab w:val="left" w:pos="2130"/>
              </w:tabs>
              <w:spacing w:line="22" w:lineRule="atLeast"/>
            </w:pPr>
            <w:r>
              <w:t xml:space="preserve">UK producer </w:t>
            </w:r>
          </w:p>
          <w:p w14:paraId="38C5994E" w14:textId="77777777" w:rsidR="008E2E3A" w:rsidRDefault="008E2E3A">
            <w:pPr>
              <w:tabs>
                <w:tab w:val="left" w:pos="2130"/>
              </w:tabs>
              <w:spacing w:line="22" w:lineRule="atLeast"/>
            </w:pPr>
          </w:p>
          <w:p w14:paraId="0F9717FC" w14:textId="27AA8F75" w:rsidR="008E2E3A" w:rsidRDefault="00ED0FAD">
            <w:pPr>
              <w:tabs>
                <w:tab w:val="left" w:pos="1058"/>
              </w:tabs>
            </w:pPr>
            <w:r w:rsidRPr="001C21DC">
              <w:rPr>
                <w:highlight w:val="yellow"/>
              </w:rPr>
              <w:t>Other</w:t>
            </w:r>
          </w:p>
        </w:tc>
      </w:tr>
    </w:tbl>
    <w:p w14:paraId="6EAB8AB3" w14:textId="77777777" w:rsidR="008E2E3A" w:rsidRDefault="008E2E3A">
      <w:pPr>
        <w:rPr>
          <w:lang w:val="en-US"/>
        </w:rPr>
      </w:pPr>
    </w:p>
    <w:p w14:paraId="45F4EC03" w14:textId="77777777" w:rsidR="008E2E3A" w:rsidRDefault="008E2E3A">
      <w:pPr>
        <w:rPr>
          <w:lang w:val="en-US"/>
        </w:rPr>
      </w:pPr>
    </w:p>
    <w:p w14:paraId="600F1A03" w14:textId="3F330DD8" w:rsidR="008E2E3A" w:rsidRDefault="008E2E3A">
      <w:pPr>
        <w:rPr>
          <w:lang w:val="en-US"/>
        </w:rPr>
      </w:pPr>
    </w:p>
    <w:p w14:paraId="3E65C6A6" w14:textId="77777777" w:rsidR="008E2E3A" w:rsidRDefault="008E2E3A">
      <w:pPr>
        <w:rPr>
          <w:lang w:val="en-US"/>
        </w:rPr>
      </w:pPr>
    </w:p>
    <w:p w14:paraId="618294CF" w14:textId="77777777" w:rsidR="008E2E3A" w:rsidRDefault="008E2E3A">
      <w:pPr>
        <w:rPr>
          <w:lang w:val="en-US"/>
        </w:rPr>
      </w:pPr>
    </w:p>
    <w:p w14:paraId="6993C67A" w14:textId="50D052A0" w:rsidR="008E2E3A" w:rsidRDefault="008E2E3A">
      <w:pPr>
        <w:rPr>
          <w:lang w:val="en-US"/>
        </w:rPr>
      </w:pPr>
    </w:p>
    <w:p w14:paraId="65322B22" w14:textId="2009D0D6" w:rsidR="008E2E3A" w:rsidRDefault="008E2E3A">
      <w:pPr>
        <w:rPr>
          <w:lang w:val="en-US"/>
        </w:rPr>
      </w:pPr>
    </w:p>
    <w:p w14:paraId="50AD9802" w14:textId="0DF2BF6B" w:rsidR="008E2E3A" w:rsidRDefault="00ED0FAD">
      <w:pPr>
        <w:pStyle w:val="NormalWeb"/>
        <w:spacing w:line="22" w:lineRule="atLeast"/>
        <w:contextualSpacing/>
      </w:pPr>
      <w:r>
        <w:rPr>
          <w:rFonts w:ascii="Arial" w:eastAsia="Arial" w:hAnsi="Arial" w:cs="Arial"/>
          <w:color w:val="000000"/>
        </w:rPr>
        <w:t xml:space="preserve">When you have completed this form, indicate the </w:t>
      </w:r>
      <w:r>
        <w:rPr>
          <w:rFonts w:ascii="Arial" w:eastAsia="Arial" w:hAnsi="Arial" w:cs="Arial"/>
          <w:b/>
          <w:bCs/>
          <w:color w:val="000000"/>
        </w:rPr>
        <w:t>confidentiality</w:t>
      </w:r>
      <w:r>
        <w:rPr>
          <w:rFonts w:ascii="Arial" w:eastAsia="Arial" w:hAnsi="Arial" w:cs="Arial"/>
          <w:color w:val="000000"/>
        </w:rPr>
        <w:t xml:space="preserve"> status of this document by placing an X in the relevant box below</w:t>
      </w:r>
      <w:r>
        <w:rPr>
          <w:rFonts w:ascii="Arial" w:eastAsia="Arial" w:hAnsi="Arial" w:cs="Arial"/>
        </w:rPr>
        <w:t xml:space="preserve"> and in the header. </w:t>
      </w:r>
      <w:r>
        <w:rPr>
          <w:rStyle w:val="normaltextrun"/>
          <w:rFonts w:ascii="Arial" w:hAnsi="Arial" w:cs="Arial"/>
          <w:u w:val="single"/>
        </w:rPr>
        <w:t xml:space="preserve">We strongly recommend this questionnaire to be completed on the </w:t>
      </w:r>
      <w:r>
        <w:rPr>
          <w:rStyle w:val="findhit"/>
          <w:rFonts w:ascii="Arial" w:hAnsi="Arial" w:cs="Arial"/>
          <w:u w:val="single"/>
        </w:rPr>
        <w:t>computer</w:t>
      </w:r>
      <w:r>
        <w:rPr>
          <w:rStyle w:val="normaltextrun"/>
          <w:rFonts w:ascii="Arial" w:hAnsi="Arial" w:cs="Arial"/>
          <w:u w:val="single"/>
        </w:rPr>
        <w:t>, so this step is easy to complete:</w:t>
      </w:r>
    </w:p>
    <w:p w14:paraId="2EAD6AB5" w14:textId="24A6F222" w:rsidR="008E2E3A" w:rsidRDefault="001C21DC">
      <w:pPr>
        <w:spacing w:line="22" w:lineRule="atLeast"/>
        <w:contextualSpacing/>
      </w:pPr>
      <w:r>
        <w:rPr>
          <w:noProof/>
          <w:lang w:val="en-US"/>
        </w:rPr>
        <mc:AlternateContent>
          <mc:Choice Requires="wps">
            <w:drawing>
              <wp:anchor distT="0" distB="0" distL="114300" distR="114300" simplePos="0" relativeHeight="251659265" behindDoc="0" locked="0" layoutInCell="1" allowOverlap="1" wp14:anchorId="2243398C" wp14:editId="573FE96D">
                <wp:simplePos x="0" y="0"/>
                <wp:positionH relativeFrom="column">
                  <wp:posOffset>-38100</wp:posOffset>
                </wp:positionH>
                <wp:positionV relativeFrom="paragraph">
                  <wp:posOffset>150495</wp:posOffset>
                </wp:positionV>
                <wp:extent cx="209550" cy="257175"/>
                <wp:effectExtent l="0" t="0" r="0" b="0"/>
                <wp:wrapNone/>
                <wp:docPr id="1876971534" name="Multiplication Sign 1"/>
                <wp:cNvGraphicFramePr/>
                <a:graphic xmlns:a="http://schemas.openxmlformats.org/drawingml/2006/main">
                  <a:graphicData uri="http://schemas.microsoft.com/office/word/2010/wordprocessingShape">
                    <wps:wsp>
                      <wps:cNvSpPr/>
                      <wps:spPr>
                        <a:xfrm>
                          <a:off x="0" y="0"/>
                          <a:ext cx="209550" cy="257175"/>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17F27C" id="Multiplication Sign 1" o:spid="_x0000_s1026" style="position:absolute;margin-left:-3pt;margin-top:11.85pt;width:16.5pt;height:20.25pt;z-index:251659265;visibility:visible;mso-wrap-style:square;mso-wrap-distance-left:9pt;mso-wrap-distance-top:0;mso-wrap-distance-right:9pt;mso-wrap-distance-bottom:0;mso-position-horizontal:absolute;mso-position-horizontal-relative:text;mso-position-vertical:absolute;mso-position-vertical-relative:text;v-text-anchor:middle" coordsize="2095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" path="m31224,77333l69433,46201r35342,43374l140117,46201r38209,31132l136563,128588r41763,51254l140117,210974,104775,167600,69433,210974,31224,179842,72987,128588,31224,77333xe" fillcolor="#156082 [3204]" strokecolor="#030e13 [484]" strokeweight="1pt">
                <v:stroke joinstyle="miter"/>
                <v:path arrowok="t" o:connecttype="custom" o:connectlocs="31224,77333;69433,46201;104775,89575;140117,46201;178326,77333;136563,128588;178326,179842;140117,210974;104775,167600;69433,210974;31224,179842;72987,128588;31224,77333" o:connectangles="0,0,0,0,0,0,0,0,0,0,0,0,0"/>
              </v:shape>
            </w:pict>
          </mc:Fallback>
        </mc:AlternateContent>
      </w:r>
      <w:r>
        <w:rPr>
          <w:rFonts w:ascii="MS Gothic" w:eastAsia="MS Gothic" w:hAnsi="MS Gothic" w:cs="Segoe UI Symbol"/>
          <w:b/>
          <w:bCs/>
          <w:color w:val="000000"/>
        </w:rPr>
        <w:t>☐</w:t>
      </w:r>
      <w:r>
        <w:rPr>
          <w:rFonts w:eastAsia="Arial"/>
          <w:color w:val="000000"/>
        </w:rPr>
        <w:t>Confidential</w:t>
      </w:r>
    </w:p>
    <w:p w14:paraId="4DE35D65" w14:textId="77777777" w:rsidR="008E2E3A" w:rsidRDefault="00ED0FAD">
      <w:pPr>
        <w:spacing w:line="22" w:lineRule="atLeast"/>
        <w:contextualSpacing/>
      </w:pPr>
      <w:r>
        <w:rPr>
          <w:rFonts w:ascii="MS Gothic" w:eastAsia="MS Gothic" w:hAnsi="MS Gothic" w:cs="Segoe UI Symbol"/>
          <w:b/>
          <w:bCs/>
          <w:color w:val="000000"/>
        </w:rPr>
        <w:t>☐</w:t>
      </w:r>
      <w:r>
        <w:rPr>
          <w:rFonts w:eastAsia="Arial"/>
          <w:color w:val="000000"/>
        </w:rPr>
        <w:t>Non-Confidential – will be made publicly available</w:t>
      </w:r>
    </w:p>
    <w:p w14:paraId="2682DC03" w14:textId="77777777" w:rsidR="008E2E3A" w:rsidRDefault="008E2E3A">
      <w:pPr>
        <w:spacing w:line="22" w:lineRule="atLeast"/>
        <w:contextualSpacing/>
        <w:rPr>
          <w:rFonts w:eastAsia="Arial"/>
          <w:color w:val="000000"/>
        </w:rPr>
      </w:pPr>
    </w:p>
    <w:p w14:paraId="053F1D49" w14:textId="77777777" w:rsidR="008E2E3A" w:rsidRDefault="00ED0FAD">
      <w:pPr>
        <w:spacing w:line="22" w:lineRule="atLeast"/>
        <w:contextualSpacing/>
      </w:pPr>
      <w:r>
        <w:rPr>
          <w:rFonts w:eastAsia="Arial"/>
          <w:color w:val="000000"/>
        </w:rPr>
        <w:t>Parties providing confidential information should also provide a non-confidential summary of that information or a statement of reasons why it cannot be summarised</w:t>
      </w:r>
      <w:r>
        <w:rPr>
          <w:rFonts w:eastAsia="Arial"/>
          <w:b/>
          <w:bCs/>
          <w:color w:val="000000"/>
        </w:rPr>
        <w:t xml:space="preserve">. </w:t>
      </w:r>
      <w:r>
        <w:rPr>
          <w:rFonts w:eastAsia="Arial"/>
          <w:color w:val="000000"/>
        </w:rPr>
        <w:t>Both copies must be returned to the TRA using the Trade Remedies Service (</w:t>
      </w:r>
      <w:hyperlink r:id="rId7" w:history="1">
        <w:r w:rsidR="008E2E3A">
          <w:rPr>
            <w:rStyle w:val="Hyperlink"/>
            <w:rFonts w:eastAsia="Arial"/>
          </w:rPr>
          <w:t>www.trade-remedies.service.gov.uk</w:t>
        </w:r>
      </w:hyperlink>
      <w:r>
        <w:rPr>
          <w:rFonts w:eastAsia="Arial"/>
          <w:color w:val="000000"/>
        </w:rPr>
        <w:t xml:space="preserve">) by </w:t>
      </w:r>
      <w:r>
        <w:rPr>
          <w:rFonts w:eastAsia="Arial"/>
          <w:b/>
          <w:bCs/>
          <w:color w:val="000000"/>
        </w:rPr>
        <w:t>14 March 2025</w:t>
      </w:r>
      <w:r>
        <w:rPr>
          <w:rFonts w:eastAsia="Arial"/>
          <w:color w:val="000000"/>
        </w:rPr>
        <w:t xml:space="preserve">. </w:t>
      </w:r>
    </w:p>
    <w:p w14:paraId="615323DA" w14:textId="77777777" w:rsidR="008E2E3A" w:rsidRDefault="00ED0FAD">
      <w:pPr>
        <w:pStyle w:val="TOCHeading"/>
        <w:pageBreakBefore/>
        <w:spacing w:line="22" w:lineRule="atLeast"/>
        <w:jc w:val="center"/>
        <w:outlineLvl w:val="9"/>
      </w:pPr>
      <w:r>
        <w:rPr>
          <w:rFonts w:cs="Arial"/>
          <w:sz w:val="32"/>
        </w:rPr>
        <w:lastRenderedPageBreak/>
        <w:t>Table of Contents</w:t>
      </w:r>
    </w:p>
    <w:p w14:paraId="4D935416" w14:textId="77777777" w:rsidR="008E2E3A" w:rsidRDefault="008E2E3A"/>
    <w:p w14:paraId="280DAD6E" w14:textId="77777777" w:rsidR="008E2E3A" w:rsidRDefault="008E2E3A">
      <w:pPr>
        <w:rPr>
          <w:b/>
        </w:rPr>
      </w:pPr>
    </w:p>
    <w:p w14:paraId="2FC31BD8" w14:textId="77777777" w:rsidR="008E2E3A" w:rsidRDefault="00ED0FAD">
      <w:pPr>
        <w:pStyle w:val="TOC2"/>
      </w:pPr>
      <w:r>
        <w:fldChar w:fldCharType="begin"/>
      </w:r>
      <w:r>
        <w:instrText xml:space="preserve"> TOC \o "1-3" \u \h </w:instrText>
      </w:r>
      <w:r>
        <w:fldChar w:fldCharType="separate"/>
      </w:r>
      <w:hyperlink w:anchor="_Toc190264839" w:history="1">
        <w:r w:rsidR="008E2E3A">
          <w:rPr>
            <w:rStyle w:val="Hyperlink"/>
          </w:rPr>
          <w:t>TRQ review</w:t>
        </w:r>
        <w:r w:rsidR="008E2E3A">
          <w:tab/>
          <w:t>3</w:t>
        </w:r>
      </w:hyperlink>
    </w:p>
    <w:p w14:paraId="6B1000DD" w14:textId="77777777" w:rsidR="008E2E3A" w:rsidRDefault="008E2E3A">
      <w:pPr>
        <w:pStyle w:val="TOC2"/>
      </w:pPr>
      <w:hyperlink w:anchor="_Toc190264840" w:history="1">
        <w:r>
          <w:rPr>
            <w:rStyle w:val="Hyperlink"/>
          </w:rPr>
          <w:t>Instructions</w:t>
        </w:r>
        <w:r>
          <w:tab/>
          <w:t>4</w:t>
        </w:r>
      </w:hyperlink>
    </w:p>
    <w:p w14:paraId="5FFDFE7E" w14:textId="77777777" w:rsidR="008E2E3A" w:rsidRDefault="008E2E3A">
      <w:pPr>
        <w:pStyle w:val="TOC3"/>
        <w:tabs>
          <w:tab w:val="right" w:leader="dot" w:pos="9016"/>
        </w:tabs>
      </w:pPr>
      <w:hyperlink w:anchor="_Toc190264841" w:history="1">
        <w:r>
          <w:rPr>
            <w:rStyle w:val="Hyperlink"/>
            <w:lang w:eastAsia="en-GB"/>
          </w:rPr>
          <w:t>I – Who should complete this form</w:t>
        </w:r>
        <w:r>
          <w:tab/>
          <w:t>4</w:t>
        </w:r>
      </w:hyperlink>
    </w:p>
    <w:p w14:paraId="2E190A4E" w14:textId="77777777" w:rsidR="008E2E3A" w:rsidRDefault="008E2E3A">
      <w:pPr>
        <w:pStyle w:val="TOC3"/>
        <w:tabs>
          <w:tab w:val="right" w:leader="dot" w:pos="9016"/>
        </w:tabs>
      </w:pPr>
      <w:hyperlink w:anchor="_Toc190264842" w:history="1">
        <w:r>
          <w:rPr>
            <w:rStyle w:val="Hyperlink"/>
            <w:lang w:eastAsia="zh-CN"/>
          </w:rPr>
          <w:t>II – Note about confidentiality</w:t>
        </w:r>
        <w:r>
          <w:tab/>
          <w:t>4</w:t>
        </w:r>
      </w:hyperlink>
    </w:p>
    <w:p w14:paraId="11AD26B5" w14:textId="77777777" w:rsidR="008E2E3A" w:rsidRDefault="008E2E3A">
      <w:pPr>
        <w:pStyle w:val="TOC2"/>
      </w:pPr>
      <w:hyperlink w:anchor="_Toc190264843" w:history="1">
        <w:r>
          <w:rPr>
            <w:rStyle w:val="Hyperlink"/>
            <w:lang w:eastAsia="zh-CN"/>
          </w:rPr>
          <w:t xml:space="preserve">Section A – </w:t>
        </w:r>
        <w:r>
          <w:rPr>
            <w:rStyle w:val="Hyperlink"/>
            <w:bCs/>
          </w:rPr>
          <w:t>Your organisation’s interest in the review</w:t>
        </w:r>
        <w:r>
          <w:tab/>
          <w:t>6</w:t>
        </w:r>
      </w:hyperlink>
    </w:p>
    <w:p w14:paraId="3AB2B576" w14:textId="77777777" w:rsidR="008E2E3A" w:rsidRDefault="008E2E3A">
      <w:pPr>
        <w:pStyle w:val="TOC2"/>
      </w:pPr>
      <w:hyperlink w:anchor="_Toc190264844" w:history="1">
        <w:r>
          <w:rPr>
            <w:rStyle w:val="Hyperlink"/>
            <w:lang w:eastAsia="zh-CN"/>
          </w:rPr>
          <w:t>Section B – Additional information</w:t>
        </w:r>
        <w:r>
          <w:tab/>
          <w:t>6</w:t>
        </w:r>
      </w:hyperlink>
    </w:p>
    <w:p w14:paraId="74E8432F" w14:textId="77777777" w:rsidR="008E2E3A" w:rsidRDefault="00ED0FAD">
      <w:pPr>
        <w:spacing w:line="22" w:lineRule="atLeast"/>
      </w:pPr>
      <w:r>
        <w:fldChar w:fldCharType="end"/>
      </w:r>
    </w:p>
    <w:p w14:paraId="0D6661AE" w14:textId="77777777" w:rsidR="008E2E3A" w:rsidRDefault="008E2E3A">
      <w:pPr>
        <w:pageBreakBefore/>
        <w:spacing w:after="160" w:line="22" w:lineRule="atLeast"/>
        <w:rPr>
          <w:b/>
          <w:sz w:val="32"/>
          <w:szCs w:val="32"/>
          <w:lang w:eastAsia="zh-CN"/>
        </w:rPr>
      </w:pPr>
    </w:p>
    <w:p w14:paraId="2BBE1093" w14:textId="77777777" w:rsidR="008E2E3A" w:rsidRDefault="00ED0FAD">
      <w:pPr>
        <w:pStyle w:val="Heading2"/>
      </w:pPr>
      <w:bookmarkStart w:id="1" w:name="_The_scope_of"/>
      <w:bookmarkStart w:id="2" w:name="_Toc190264839"/>
      <w:bookmarkStart w:id="3" w:name="_Hlk105431857"/>
      <w:bookmarkStart w:id="4" w:name="_Toc10708167"/>
      <w:bookmarkEnd w:id="1"/>
      <w:r>
        <w:rPr>
          <w:rStyle w:val="normaltextrun"/>
        </w:rPr>
        <w:t>TRQ review</w:t>
      </w:r>
      <w:bookmarkEnd w:id="2"/>
    </w:p>
    <w:p w14:paraId="358EB25E" w14:textId="77777777" w:rsidR="008E2E3A" w:rsidRDefault="00ED0FAD">
      <w:pPr>
        <w:pStyle w:val="paragraph"/>
        <w:spacing w:before="0" w:after="0"/>
        <w:textAlignment w:val="baseline"/>
      </w:pPr>
      <w:r>
        <w:rPr>
          <w:rStyle w:val="eop"/>
          <w:rFonts w:ascii="Arial" w:hAnsi="Arial" w:cs="Arial"/>
          <w:b/>
          <w:bCs/>
          <w:sz w:val="32"/>
          <w:szCs w:val="32"/>
        </w:rPr>
        <w:t xml:space="preserve"> </w:t>
      </w:r>
    </w:p>
    <w:p w14:paraId="3E5D8741" w14:textId="77777777" w:rsidR="008E2E3A" w:rsidRDefault="00ED0FAD">
      <w:pPr>
        <w:pStyle w:val="paragraph"/>
        <w:spacing w:before="0" w:after="0"/>
        <w:textAlignment w:val="baseline"/>
      </w:pPr>
      <w:r>
        <w:rPr>
          <w:rStyle w:val="normaltextrun"/>
          <w:rFonts w:ascii="Arial" w:hAnsi="Arial" w:cs="Arial"/>
          <w:color w:val="000000"/>
          <w:shd w:val="clear" w:color="auto" w:fill="FFFFFF"/>
        </w:rPr>
        <w:t>In conducting this TRQ review, the TRA will consider whether there has been a change in circumstances since the application of the relevant tariff rate quota (see below). As part of the review, the TRA may consider:</w:t>
      </w:r>
    </w:p>
    <w:p w14:paraId="251AB0EA" w14:textId="77777777" w:rsidR="008E2E3A" w:rsidRDefault="008E2E3A">
      <w:pPr>
        <w:pStyle w:val="paragraph"/>
        <w:spacing w:before="0" w:after="0"/>
        <w:textAlignment w:val="baseline"/>
      </w:pPr>
    </w:p>
    <w:p w14:paraId="0C01D4DB" w14:textId="77777777" w:rsidR="008E2E3A" w:rsidRDefault="00ED0FAD">
      <w:pPr>
        <w:pStyle w:val="paragraph"/>
        <w:numPr>
          <w:ilvl w:val="0"/>
          <w:numId w:val="1"/>
        </w:numPr>
        <w:spacing w:before="0" w:after="0"/>
        <w:textAlignment w:val="baseline"/>
      </w:pPr>
      <w:r>
        <w:rPr>
          <w:rStyle w:val="normaltextrun"/>
          <w:rFonts w:ascii="Arial" w:hAnsi="Arial" w:cs="Arial"/>
          <w:color w:val="000000"/>
          <w:shd w:val="clear" w:color="auto" w:fill="FFFFFF"/>
        </w:rPr>
        <w:t>Whether the amount or allocation of the tariff rate quota is appropriate for domestic market conditions;</w:t>
      </w:r>
    </w:p>
    <w:p w14:paraId="3D4F92DA" w14:textId="77777777" w:rsidR="008E2E3A" w:rsidRDefault="00ED0FAD">
      <w:pPr>
        <w:pStyle w:val="paragraph"/>
        <w:numPr>
          <w:ilvl w:val="0"/>
          <w:numId w:val="1"/>
        </w:numPr>
        <w:spacing w:before="0" w:after="0"/>
        <w:textAlignment w:val="baseline"/>
      </w:pPr>
      <w:r>
        <w:rPr>
          <w:rStyle w:val="normaltextrun"/>
          <w:rFonts w:ascii="Arial" w:hAnsi="Arial" w:cs="Arial"/>
          <w:color w:val="000000"/>
          <w:shd w:val="clear" w:color="auto" w:fill="FFFFFF"/>
        </w:rPr>
        <w:t>The desirability of maintaining, as far as possible, traditional trade flows;</w:t>
      </w:r>
    </w:p>
    <w:p w14:paraId="30C17F00" w14:textId="77777777" w:rsidR="008E2E3A" w:rsidRDefault="00ED0FAD">
      <w:pPr>
        <w:pStyle w:val="paragraph"/>
        <w:numPr>
          <w:ilvl w:val="0"/>
          <w:numId w:val="1"/>
        </w:numPr>
        <w:spacing w:before="0" w:after="0"/>
        <w:textAlignment w:val="baseline"/>
      </w:pPr>
      <w:r>
        <w:rPr>
          <w:rStyle w:val="normaltextrun"/>
          <w:rFonts w:ascii="Arial" w:hAnsi="Arial" w:cs="Arial"/>
          <w:color w:val="000000"/>
          <w:shd w:val="clear" w:color="auto" w:fill="FFFFFF"/>
        </w:rPr>
        <w:t>Any other factors that it considers relevant.</w:t>
      </w:r>
    </w:p>
    <w:p w14:paraId="0A31F99F" w14:textId="77777777" w:rsidR="008E2E3A" w:rsidRDefault="008E2E3A">
      <w:pPr>
        <w:pStyle w:val="paragraph"/>
        <w:spacing w:before="0" w:after="0"/>
        <w:textAlignment w:val="baseline"/>
        <w:rPr>
          <w:b/>
          <w:bCs/>
        </w:rPr>
      </w:pPr>
    </w:p>
    <w:p w14:paraId="3A41FB57" w14:textId="77777777" w:rsidR="008E2E3A" w:rsidRDefault="008E2E3A">
      <w:pPr>
        <w:pStyle w:val="paragraph"/>
        <w:spacing w:before="0" w:after="0" w:line="22" w:lineRule="atLeast"/>
        <w:textAlignment w:val="baseline"/>
      </w:pPr>
      <w:bookmarkStart w:id="5" w:name="_Hlk105433717"/>
    </w:p>
    <w:p w14:paraId="10540363" w14:textId="77777777" w:rsidR="008E2E3A" w:rsidRDefault="00ED0FAD">
      <w:pPr>
        <w:pStyle w:val="paragraph"/>
        <w:spacing w:before="0" w:after="0" w:line="22" w:lineRule="atLeast"/>
        <w:textAlignment w:val="baseline"/>
      </w:pPr>
      <w:r>
        <w:rPr>
          <w:rStyle w:val="normaltextrun"/>
          <w:rFonts w:ascii="Arial" w:hAnsi="Arial" w:cs="Arial"/>
          <w:b/>
          <w:bCs/>
          <w:sz w:val="28"/>
          <w:szCs w:val="32"/>
        </w:rPr>
        <w:t>Change in circumstances</w:t>
      </w:r>
    </w:p>
    <w:p w14:paraId="0212AB16" w14:textId="77777777" w:rsidR="008E2E3A" w:rsidRDefault="008E2E3A">
      <w:pPr>
        <w:pStyle w:val="paragraph"/>
        <w:spacing w:before="0" w:after="0" w:line="22" w:lineRule="atLeast"/>
        <w:textAlignment w:val="baseline"/>
      </w:pPr>
    </w:p>
    <w:p w14:paraId="213A0E5C" w14:textId="77777777" w:rsidR="008E2E3A" w:rsidRDefault="00ED0FAD">
      <w:pPr>
        <w:suppressAutoHyphens w:val="0"/>
        <w:textAlignment w:val="baseline"/>
      </w:pPr>
      <w:r>
        <w:rPr>
          <w:rFonts w:eastAsia="Times New Roman"/>
          <w:lang w:eastAsia="en-GB"/>
        </w:rPr>
        <w:t xml:space="preserve">The TRA has reviewed trade data which indicates that there may have been a change of circumstances which corresponds with the provisions in regulation 35B(9)(f) and regulation 35B(9)(g) of </w:t>
      </w:r>
      <w:r>
        <w:rPr>
          <w:rStyle w:val="normaltextrun"/>
          <w:color w:val="000000"/>
          <w:shd w:val="clear" w:color="auto" w:fill="FFFFFF"/>
        </w:rPr>
        <w:t>The Trade Remedies (Increase in Imports Causing Serious Injury to UK Producers) (EU Exit) Regulations 2019 (the Regulations)</w:t>
      </w:r>
      <w:r>
        <w:rPr>
          <w:rFonts w:eastAsia="Times New Roman"/>
          <w:lang w:eastAsia="en-GB"/>
        </w:rPr>
        <w:t>. This data indicates that the import levels from certain developing countries have changed since the application of the measure. The TRA is now reviewing this data to determine whether the list of developing countries not currently excepted from the application of the tariff rate quotas should be amended.</w:t>
      </w:r>
    </w:p>
    <w:p w14:paraId="4B45AF13" w14:textId="77777777" w:rsidR="008E2E3A" w:rsidRDefault="00ED0FAD">
      <w:pPr>
        <w:suppressAutoHyphens w:val="0"/>
        <w:textAlignment w:val="baseline"/>
      </w:pPr>
      <w:r>
        <w:rPr>
          <w:rFonts w:eastAsia="Times New Roman"/>
          <w:lang w:eastAsia="en-GB"/>
        </w:rPr>
        <w:t> </w:t>
      </w:r>
    </w:p>
    <w:p w14:paraId="4B5A399A" w14:textId="77777777" w:rsidR="008E2E3A" w:rsidRDefault="008E2E3A">
      <w:pPr>
        <w:pStyle w:val="paragraph"/>
        <w:spacing w:before="0" w:after="0" w:line="22" w:lineRule="atLeast"/>
        <w:textAlignment w:val="baseline"/>
      </w:pPr>
    </w:p>
    <w:p w14:paraId="5F60B0A5" w14:textId="77777777" w:rsidR="008E2E3A" w:rsidRDefault="00ED0FAD">
      <w:pPr>
        <w:pStyle w:val="paragraph"/>
        <w:spacing w:before="0" w:after="0" w:line="22" w:lineRule="atLeast"/>
        <w:textAlignment w:val="baseline"/>
      </w:pPr>
      <w:r>
        <w:rPr>
          <w:rStyle w:val="normaltextrun"/>
          <w:rFonts w:ascii="Arial" w:hAnsi="Arial" w:cs="Arial"/>
          <w:b/>
          <w:bCs/>
          <w:sz w:val="28"/>
          <w:szCs w:val="32"/>
        </w:rPr>
        <w:t>Scope of the review</w:t>
      </w:r>
    </w:p>
    <w:p w14:paraId="1B6592C5" w14:textId="77777777" w:rsidR="008E2E3A" w:rsidRDefault="008E2E3A">
      <w:pPr>
        <w:pStyle w:val="paragraph"/>
        <w:spacing w:before="0" w:after="0"/>
        <w:textAlignment w:val="baseline"/>
      </w:pPr>
    </w:p>
    <w:bookmarkEnd w:id="5"/>
    <w:p w14:paraId="22BC4777" w14:textId="77777777" w:rsidR="008E2E3A" w:rsidRDefault="00ED0FAD">
      <w:pPr>
        <w:pStyle w:val="paragraph"/>
        <w:spacing w:before="0" w:after="0"/>
        <w:textAlignment w:val="baseline"/>
        <w:rPr>
          <w:rFonts w:ascii="Arial" w:hAnsi="Arial" w:cs="Arial"/>
          <w:color w:val="000000"/>
          <w:shd w:val="clear" w:color="auto" w:fill="FFFFFF"/>
        </w:rPr>
      </w:pPr>
      <w:r>
        <w:rPr>
          <w:rFonts w:ascii="Arial" w:hAnsi="Arial" w:cs="Arial"/>
          <w:color w:val="000000"/>
          <w:shd w:val="clear" w:color="auto" w:fill="FFFFFF"/>
        </w:rPr>
        <w:t>This TRQ review will consider the developing country exceptions as it applies across the following product categories:</w:t>
      </w:r>
    </w:p>
    <w:p w14:paraId="2C0E670A" w14:textId="77777777" w:rsidR="008E2E3A" w:rsidRDefault="008E2E3A">
      <w:pPr>
        <w:pStyle w:val="paragraph"/>
        <w:spacing w:before="0" w:after="0"/>
        <w:textAlignment w:val="baseline"/>
        <w:rPr>
          <w:rFonts w:ascii="Arial" w:hAnsi="Arial" w:cs="Arial"/>
          <w:color w:val="000000"/>
          <w:shd w:val="clear" w:color="auto" w:fill="FFFFFF"/>
        </w:rPr>
      </w:pPr>
    </w:p>
    <w:p w14:paraId="3F93B70F" w14:textId="77777777" w:rsidR="008E2E3A" w:rsidRDefault="00ED0FAD">
      <w:pPr>
        <w:shd w:val="clear" w:color="auto" w:fill="FFFFFF"/>
        <w:suppressAutoHyphens w:val="0"/>
        <w:textAlignment w:val="baseline"/>
      </w:pPr>
      <w:r>
        <w:rPr>
          <w:rFonts w:eastAsia="Times New Roman"/>
          <w:color w:val="0B0C0C"/>
          <w:lang w:eastAsia="en-GB"/>
        </w:rPr>
        <w:t>1 – non-alloy and other alloy hot-rolled sheet and strip (split into categories 1A and 1B) </w:t>
      </w:r>
    </w:p>
    <w:p w14:paraId="20E29EC8" w14:textId="77777777" w:rsidR="008E2E3A" w:rsidRDefault="00ED0FAD">
      <w:pPr>
        <w:shd w:val="clear" w:color="auto" w:fill="FFFFFF"/>
        <w:suppressAutoHyphens w:val="0"/>
        <w:textAlignment w:val="baseline"/>
      </w:pPr>
      <w:r>
        <w:rPr>
          <w:rFonts w:eastAsia="Times New Roman"/>
          <w:color w:val="0B0C0C"/>
          <w:lang w:eastAsia="en-GB"/>
        </w:rPr>
        <w:t>4 – metallic coated sheet </w:t>
      </w:r>
    </w:p>
    <w:p w14:paraId="30F21A73" w14:textId="77777777" w:rsidR="008E2E3A" w:rsidRDefault="00ED0FAD">
      <w:pPr>
        <w:shd w:val="clear" w:color="auto" w:fill="FFFFFF"/>
        <w:suppressAutoHyphens w:val="0"/>
        <w:textAlignment w:val="baseline"/>
      </w:pPr>
      <w:r>
        <w:rPr>
          <w:rFonts w:eastAsia="Times New Roman"/>
          <w:color w:val="0B0C0C"/>
          <w:lang w:eastAsia="en-GB"/>
        </w:rPr>
        <w:t>5 – organic coated sheet </w:t>
      </w:r>
    </w:p>
    <w:p w14:paraId="52ED85AB" w14:textId="77777777" w:rsidR="008E2E3A" w:rsidRDefault="00ED0FAD">
      <w:pPr>
        <w:shd w:val="clear" w:color="auto" w:fill="FFFFFF"/>
        <w:suppressAutoHyphens w:val="0"/>
        <w:textAlignment w:val="baseline"/>
      </w:pPr>
      <w:r>
        <w:rPr>
          <w:rFonts w:eastAsia="Times New Roman"/>
          <w:color w:val="0B0C0C"/>
          <w:lang w:eastAsia="en-GB"/>
        </w:rPr>
        <w:t>6 – tin mill products </w:t>
      </w:r>
    </w:p>
    <w:p w14:paraId="7D2DCD6E" w14:textId="77777777" w:rsidR="008E2E3A" w:rsidRDefault="00ED0FAD">
      <w:pPr>
        <w:shd w:val="clear" w:color="auto" w:fill="FFFFFF"/>
        <w:suppressAutoHyphens w:val="0"/>
        <w:textAlignment w:val="baseline"/>
      </w:pPr>
      <w:r>
        <w:rPr>
          <w:rFonts w:eastAsia="Times New Roman"/>
          <w:color w:val="0B0C0C"/>
          <w:lang w:eastAsia="en-GB"/>
        </w:rPr>
        <w:t>7 – non-alloy and other alloy quarto plates </w:t>
      </w:r>
    </w:p>
    <w:p w14:paraId="612EECC5" w14:textId="77777777" w:rsidR="008E2E3A" w:rsidRDefault="00ED0FAD">
      <w:pPr>
        <w:shd w:val="clear" w:color="auto" w:fill="FFFFFF"/>
        <w:suppressAutoHyphens w:val="0"/>
        <w:textAlignment w:val="baseline"/>
      </w:pPr>
      <w:r>
        <w:rPr>
          <w:rFonts w:eastAsia="Times New Roman"/>
          <w:color w:val="0B0C0C"/>
          <w:lang w:eastAsia="en-GB"/>
        </w:rPr>
        <w:t>12 – merchant bars and light sections (split into categories 12A (alloy merchant bars and light sections), and 12B (non-alloy merchant bars and light sections)) </w:t>
      </w:r>
    </w:p>
    <w:p w14:paraId="603E2C7D" w14:textId="77777777" w:rsidR="008E2E3A" w:rsidRDefault="00ED0FAD">
      <w:pPr>
        <w:shd w:val="clear" w:color="auto" w:fill="FFFFFF"/>
        <w:suppressAutoHyphens w:val="0"/>
        <w:textAlignment w:val="baseline"/>
      </w:pPr>
      <w:r>
        <w:rPr>
          <w:rFonts w:eastAsia="Times New Roman"/>
          <w:color w:val="0B0C0C"/>
          <w:lang w:eastAsia="en-GB"/>
        </w:rPr>
        <w:t>13 – rebar </w:t>
      </w:r>
    </w:p>
    <w:p w14:paraId="4C3D98F7" w14:textId="77777777" w:rsidR="008E2E3A" w:rsidRDefault="00ED0FAD">
      <w:pPr>
        <w:shd w:val="clear" w:color="auto" w:fill="FFFFFF"/>
        <w:suppressAutoHyphens w:val="0"/>
        <w:textAlignment w:val="baseline"/>
      </w:pPr>
      <w:r>
        <w:rPr>
          <w:rFonts w:eastAsia="Times New Roman"/>
          <w:color w:val="0B0C0C"/>
          <w:lang w:eastAsia="en-GB"/>
        </w:rPr>
        <w:t>16 – non-alloy and other alloy wire rod </w:t>
      </w:r>
    </w:p>
    <w:p w14:paraId="72222899" w14:textId="77777777" w:rsidR="008E2E3A" w:rsidRDefault="00ED0FAD">
      <w:pPr>
        <w:shd w:val="clear" w:color="auto" w:fill="FFFFFF"/>
        <w:suppressAutoHyphens w:val="0"/>
        <w:textAlignment w:val="baseline"/>
      </w:pPr>
      <w:r>
        <w:rPr>
          <w:rFonts w:eastAsia="Times New Roman"/>
          <w:color w:val="0B0C0C"/>
          <w:lang w:eastAsia="en-GB"/>
        </w:rPr>
        <w:t>17 – angles, shapes, and sections of iron or non-alloy steel </w:t>
      </w:r>
    </w:p>
    <w:p w14:paraId="237C72DD" w14:textId="77777777" w:rsidR="008E2E3A" w:rsidRDefault="00ED0FAD">
      <w:pPr>
        <w:shd w:val="clear" w:color="auto" w:fill="FFFFFF"/>
        <w:suppressAutoHyphens w:val="0"/>
        <w:textAlignment w:val="baseline"/>
      </w:pPr>
      <w:r>
        <w:rPr>
          <w:rFonts w:eastAsia="Times New Roman"/>
          <w:color w:val="0B0C0C"/>
          <w:lang w:eastAsia="en-GB"/>
        </w:rPr>
        <w:t>19 – railway material </w:t>
      </w:r>
    </w:p>
    <w:p w14:paraId="784F56BB" w14:textId="77777777" w:rsidR="008E2E3A" w:rsidRDefault="00ED0FAD">
      <w:pPr>
        <w:shd w:val="clear" w:color="auto" w:fill="FFFFFF"/>
        <w:suppressAutoHyphens w:val="0"/>
        <w:textAlignment w:val="baseline"/>
      </w:pPr>
      <w:r>
        <w:rPr>
          <w:rFonts w:eastAsia="Times New Roman"/>
          <w:color w:val="0B0C0C"/>
          <w:lang w:eastAsia="en-GB"/>
        </w:rPr>
        <w:t>20 – gas pipe </w:t>
      </w:r>
    </w:p>
    <w:p w14:paraId="16BF4AF5" w14:textId="77777777" w:rsidR="008E2E3A" w:rsidRDefault="00ED0FAD">
      <w:pPr>
        <w:shd w:val="clear" w:color="auto" w:fill="FFFFFF"/>
        <w:suppressAutoHyphens w:val="0"/>
        <w:textAlignment w:val="baseline"/>
      </w:pPr>
      <w:r>
        <w:rPr>
          <w:rFonts w:eastAsia="Times New Roman"/>
          <w:color w:val="0B0C0C"/>
          <w:lang w:eastAsia="en-GB"/>
        </w:rPr>
        <w:t>21 – hollow section </w:t>
      </w:r>
    </w:p>
    <w:p w14:paraId="43AB58C5" w14:textId="77777777" w:rsidR="008E2E3A" w:rsidRDefault="00ED0FAD">
      <w:pPr>
        <w:shd w:val="clear" w:color="auto" w:fill="FFFFFF"/>
        <w:suppressAutoHyphens w:val="0"/>
        <w:textAlignment w:val="baseline"/>
      </w:pPr>
      <w:r>
        <w:rPr>
          <w:rFonts w:eastAsia="Times New Roman"/>
          <w:color w:val="0B0C0C"/>
          <w:lang w:eastAsia="en-GB"/>
        </w:rPr>
        <w:lastRenderedPageBreak/>
        <w:t>25 – large welded tube (split into categories 25A (large welded tube (1)) and 25 B (large welded tube (2)) </w:t>
      </w:r>
    </w:p>
    <w:p w14:paraId="1F794726" w14:textId="77777777" w:rsidR="008E2E3A" w:rsidRDefault="00ED0FAD">
      <w:pPr>
        <w:shd w:val="clear" w:color="auto" w:fill="FFFFFF"/>
        <w:suppressAutoHyphens w:val="0"/>
        <w:textAlignment w:val="baseline"/>
      </w:pPr>
      <w:r>
        <w:rPr>
          <w:rFonts w:eastAsia="Times New Roman"/>
          <w:color w:val="0B0C0C"/>
          <w:lang w:eastAsia="en-GB"/>
        </w:rPr>
        <w:t>26 – other welded tube </w:t>
      </w:r>
    </w:p>
    <w:p w14:paraId="0AAB3E85" w14:textId="77777777" w:rsidR="008E2E3A" w:rsidRDefault="00ED0FAD">
      <w:pPr>
        <w:shd w:val="clear" w:color="auto" w:fill="FFFFFF"/>
        <w:suppressAutoHyphens w:val="0"/>
        <w:textAlignment w:val="baseline"/>
      </w:pPr>
      <w:r>
        <w:rPr>
          <w:rFonts w:eastAsia="Times New Roman"/>
          <w:color w:val="0B0C0C"/>
          <w:lang w:eastAsia="en-GB"/>
        </w:rPr>
        <w:t> </w:t>
      </w:r>
    </w:p>
    <w:p w14:paraId="668A3341" w14:textId="77777777" w:rsidR="008E2E3A" w:rsidRDefault="00ED0FAD">
      <w:pPr>
        <w:suppressAutoHyphens w:val="0"/>
        <w:textAlignment w:val="baseline"/>
      </w:pPr>
      <w:r>
        <w:rPr>
          <w:rFonts w:eastAsia="Times New Roman"/>
          <w:color w:val="0B0C0C"/>
          <w:lang w:eastAsia="en-GB"/>
        </w:rPr>
        <w:t xml:space="preserve">A full list of the commodity codes which are included in each category can be found in </w:t>
      </w:r>
      <w:hyperlink r:id="rId8" w:anchor="quota-amount-and-allocation-for-year-8" w:history="1">
        <w:r w:rsidR="008E2E3A">
          <w:rPr>
            <w:rFonts w:eastAsia="Times New Roman"/>
            <w:color w:val="0563C1"/>
            <w:u w:val="single"/>
            <w:lang w:eastAsia="en-GB"/>
          </w:rPr>
          <w:t>Trade remedies notice 2024/06: safeguard measure: tariff-rate quota on steel goods</w:t>
        </w:r>
      </w:hyperlink>
      <w:r>
        <w:rPr>
          <w:rFonts w:eastAsia="Times New Roman"/>
          <w:lang w:eastAsia="en-GB"/>
        </w:rPr>
        <w:t xml:space="preserve">. </w:t>
      </w:r>
    </w:p>
    <w:p w14:paraId="5EDD34A1" w14:textId="77777777" w:rsidR="008E2E3A" w:rsidRDefault="008E2E3A">
      <w:pPr>
        <w:pStyle w:val="paragraph"/>
        <w:suppressAutoHyphens w:val="0"/>
        <w:spacing w:before="0" w:after="0"/>
        <w:textAlignment w:val="baseline"/>
        <w:rPr>
          <w:rFonts w:ascii="Arial" w:hAnsi="Arial" w:cs="Arial"/>
          <w:color w:val="000000"/>
          <w:shd w:val="clear" w:color="auto" w:fill="FFFFFF"/>
        </w:rPr>
      </w:pPr>
    </w:p>
    <w:p w14:paraId="6738F388" w14:textId="77777777" w:rsidR="008E2E3A" w:rsidRDefault="00ED0FAD">
      <w:pPr>
        <w:spacing w:line="22" w:lineRule="atLeast"/>
      </w:pPr>
      <w:bookmarkStart w:id="6" w:name="_Hlk105433755"/>
      <w:bookmarkEnd w:id="3"/>
      <w:r>
        <w:t>Note that:</w:t>
      </w:r>
    </w:p>
    <w:p w14:paraId="0EE38997" w14:textId="77777777" w:rsidR="008E2E3A" w:rsidRDefault="008E2E3A">
      <w:pPr>
        <w:spacing w:line="22" w:lineRule="atLeast"/>
      </w:pPr>
    </w:p>
    <w:p w14:paraId="4A222FE2" w14:textId="77777777" w:rsidR="008E2E3A" w:rsidRDefault="00ED0FAD">
      <w:pPr>
        <w:pStyle w:val="ListParagraph"/>
        <w:numPr>
          <w:ilvl w:val="0"/>
          <w:numId w:val="2"/>
        </w:numPr>
        <w:spacing w:line="22" w:lineRule="atLeast"/>
      </w:pPr>
      <w:r>
        <w:t xml:space="preserve">Category 1 was split into Category 1A and Category 1B with effect from 1 October 2024. See: </w:t>
      </w:r>
      <w:hyperlink r:id="rId9" w:history="1">
        <w:r w:rsidR="008E2E3A">
          <w:rPr>
            <w:rStyle w:val="Hyperlink"/>
          </w:rPr>
          <w:t>Trade remedies notice 2024/08: safeguard measure: tariff-rate quota on steel goods</w:t>
        </w:r>
      </w:hyperlink>
      <w:r>
        <w:t>; and</w:t>
      </w:r>
    </w:p>
    <w:p w14:paraId="1C93DCA0" w14:textId="77777777" w:rsidR="008E2E3A" w:rsidRDefault="008E2E3A">
      <w:pPr>
        <w:spacing w:line="22" w:lineRule="atLeast"/>
      </w:pPr>
    </w:p>
    <w:p w14:paraId="6F83B2B3" w14:textId="77777777" w:rsidR="008E2E3A" w:rsidRDefault="00ED0FAD">
      <w:pPr>
        <w:pStyle w:val="ListParagraph"/>
        <w:numPr>
          <w:ilvl w:val="0"/>
          <w:numId w:val="2"/>
        </w:numPr>
        <w:spacing w:line="22" w:lineRule="atLeast"/>
      </w:pPr>
      <w:r>
        <w:t xml:space="preserve">the definitive safeguarding remedy on Category 2 was revoked by the Secretary of State with effect from 23 January 2025. See: </w:t>
      </w:r>
      <w:hyperlink r:id="rId10" w:history="1">
        <w:r w:rsidR="008E2E3A">
          <w:rPr>
            <w:rStyle w:val="Hyperlink"/>
          </w:rPr>
          <w:t>Trade remedies notice 2025/02: Safeguarding measure on category 2 steel products</w:t>
        </w:r>
      </w:hyperlink>
      <w:r>
        <w:t> </w:t>
      </w:r>
    </w:p>
    <w:p w14:paraId="2A6B6F4B" w14:textId="77777777" w:rsidR="008E2E3A" w:rsidRDefault="008E2E3A">
      <w:pPr>
        <w:spacing w:line="22" w:lineRule="atLeast"/>
      </w:pPr>
    </w:p>
    <w:p w14:paraId="76996A3B" w14:textId="77777777" w:rsidR="008E2E3A" w:rsidRDefault="00ED0FAD">
      <w:pPr>
        <w:spacing w:line="22" w:lineRule="atLeast"/>
      </w:pPr>
      <w:r>
        <w:t xml:space="preserve">For more information about this case, you may refer to the Notice of Initiation published at: </w:t>
      </w:r>
      <w:hyperlink r:id="rId11" w:history="1">
        <w:r w:rsidR="008E2E3A">
          <w:rPr>
            <w:rStyle w:val="Hyperlink"/>
            <w:bCs/>
          </w:rPr>
          <w:t>www.trade-remedies.service.gov.uk/public/cases</w:t>
        </w:r>
      </w:hyperlink>
      <w:r>
        <w:t>.</w:t>
      </w:r>
    </w:p>
    <w:p w14:paraId="768D5F67" w14:textId="77777777" w:rsidR="008E2E3A" w:rsidRDefault="008E2E3A"/>
    <w:bookmarkEnd w:id="6"/>
    <w:p w14:paraId="2891E9EE" w14:textId="77777777" w:rsidR="008E2E3A" w:rsidRDefault="008E2E3A">
      <w:pPr>
        <w:pStyle w:val="paragraph"/>
        <w:spacing w:before="0" w:after="0"/>
        <w:textAlignment w:val="baseline"/>
      </w:pPr>
    </w:p>
    <w:p w14:paraId="00C81E84" w14:textId="77777777" w:rsidR="008E2E3A" w:rsidRDefault="008E2E3A">
      <w:pPr>
        <w:pStyle w:val="Heading2"/>
      </w:pPr>
      <w:bookmarkStart w:id="7" w:name="_Instructions"/>
      <w:bookmarkEnd w:id="4"/>
      <w:bookmarkEnd w:id="7"/>
    </w:p>
    <w:p w14:paraId="18475345" w14:textId="77777777" w:rsidR="008E2E3A" w:rsidRDefault="00ED0FAD">
      <w:pPr>
        <w:pStyle w:val="Heading2"/>
      </w:pPr>
      <w:bookmarkStart w:id="8" w:name="_Toc190264840"/>
      <w:r>
        <w:t>Instructions</w:t>
      </w:r>
      <w:bookmarkEnd w:id="8"/>
    </w:p>
    <w:p w14:paraId="03524315" w14:textId="77777777" w:rsidR="008E2E3A" w:rsidRDefault="008E2E3A">
      <w:pPr>
        <w:spacing w:line="22" w:lineRule="atLeast"/>
        <w:rPr>
          <w:szCs w:val="22"/>
        </w:rPr>
      </w:pPr>
    </w:p>
    <w:p w14:paraId="05E42069" w14:textId="77777777" w:rsidR="008E2E3A" w:rsidRDefault="00ED0FAD">
      <w:pPr>
        <w:pStyle w:val="Heading3"/>
        <w:rPr>
          <w:lang w:eastAsia="en-GB"/>
        </w:rPr>
      </w:pPr>
      <w:bookmarkStart w:id="9" w:name="_Toc190264841"/>
      <w:r>
        <w:rPr>
          <w:lang w:eastAsia="en-GB"/>
        </w:rPr>
        <w:t>I – Who should complete this form</w:t>
      </w:r>
      <w:bookmarkEnd w:id="9"/>
      <w:r>
        <w:rPr>
          <w:lang w:eastAsia="en-GB"/>
        </w:rPr>
        <w:t xml:space="preserve"> </w:t>
      </w:r>
    </w:p>
    <w:p w14:paraId="1BBC1894" w14:textId="77777777" w:rsidR="008E2E3A" w:rsidRDefault="008E2E3A">
      <w:pPr>
        <w:rPr>
          <w:lang w:eastAsia="en-GB"/>
        </w:rPr>
      </w:pPr>
    </w:p>
    <w:p w14:paraId="1A07AFFA" w14:textId="77777777" w:rsidR="008E2E3A" w:rsidRDefault="00ED0FAD">
      <w:pPr>
        <w:pStyle w:val="NoSpacing"/>
      </w:pPr>
      <w:r>
        <w:rPr>
          <w:rFonts w:ascii="Arial" w:hAnsi="Arial"/>
          <w:sz w:val="24"/>
          <w:szCs w:val="24"/>
          <w:lang w:eastAsia="en-GB"/>
        </w:rPr>
        <w:t xml:space="preserve">You should complete this form if you </w:t>
      </w:r>
      <w:r>
        <w:rPr>
          <w:rFonts w:ascii="Arial" w:eastAsia="Arial" w:hAnsi="Arial"/>
          <w:sz w:val="24"/>
          <w:szCs w:val="24"/>
        </w:rPr>
        <w:t>wish to register your interest in the TRQ review</w:t>
      </w:r>
      <w:r>
        <w:rPr>
          <w:rFonts w:ascii="Arial" w:hAnsi="Arial"/>
          <w:sz w:val="24"/>
          <w:szCs w:val="24"/>
          <w:lang w:eastAsia="en-GB"/>
        </w:rPr>
        <w:t>.</w:t>
      </w:r>
    </w:p>
    <w:p w14:paraId="33F6BDF9" w14:textId="77777777" w:rsidR="008E2E3A" w:rsidRDefault="008E2E3A">
      <w:pPr>
        <w:rPr>
          <w:sz w:val="22"/>
          <w:szCs w:val="22"/>
        </w:rPr>
      </w:pPr>
      <w:bookmarkStart w:id="10" w:name="_Hlk6411388"/>
    </w:p>
    <w:p w14:paraId="1BE2BD1F" w14:textId="77777777" w:rsidR="008E2E3A" w:rsidRDefault="008E2E3A">
      <w:pPr>
        <w:rPr>
          <w:sz w:val="22"/>
          <w:szCs w:val="22"/>
        </w:rPr>
      </w:pPr>
    </w:p>
    <w:p w14:paraId="647E028F" w14:textId="77777777" w:rsidR="008E2E3A" w:rsidRDefault="00ED0FAD">
      <w:pPr>
        <w:pStyle w:val="Heading3"/>
        <w:rPr>
          <w:lang w:eastAsia="zh-CN"/>
        </w:rPr>
      </w:pPr>
      <w:bookmarkStart w:id="11" w:name="_Toc10642844"/>
      <w:bookmarkStart w:id="12" w:name="_Toc10708170"/>
      <w:bookmarkStart w:id="13" w:name="_Toc190264842"/>
      <w:r>
        <w:rPr>
          <w:lang w:eastAsia="zh-CN"/>
        </w:rPr>
        <w:t>II – Note about confidentiality</w:t>
      </w:r>
      <w:bookmarkEnd w:id="11"/>
      <w:bookmarkEnd w:id="12"/>
      <w:bookmarkEnd w:id="13"/>
    </w:p>
    <w:p w14:paraId="51351FE9" w14:textId="77777777" w:rsidR="008E2E3A" w:rsidRDefault="00ED0FAD">
      <w:pPr>
        <w:pStyle w:val="NormalWeb"/>
        <w:rPr>
          <w:rFonts w:ascii="Arial" w:hAnsi="Arial" w:cs="Arial"/>
          <w:color w:val="000000"/>
        </w:rPr>
      </w:pPr>
      <w:r>
        <w:rPr>
          <w:rFonts w:ascii="Arial" w:hAnsi="Arial" w:cs="Arial"/>
          <w:color w:val="000000"/>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7E160010" w14:textId="77777777" w:rsidR="008E2E3A" w:rsidRDefault="00ED0FAD">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2D0D5E86" w14:textId="77777777" w:rsidR="008E2E3A" w:rsidRDefault="00ED0FAD">
      <w:pPr>
        <w:pStyle w:val="NormalWe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names and signatures. </w:t>
      </w:r>
      <w:bookmarkEnd w:id="10"/>
    </w:p>
    <w:p w14:paraId="74F00621" w14:textId="77777777" w:rsidR="008E2E3A" w:rsidRDefault="00ED0FAD">
      <w:pPr>
        <w:pStyle w:val="NormalWeb"/>
      </w:pPr>
      <w:r>
        <w:rPr>
          <w:rFonts w:ascii="Arial" w:hAnsi="Arial" w:cs="Arial"/>
          <w:color w:val="000000"/>
        </w:rPr>
        <w:t>All information provided to the Trade Remedies Authority (TRA) in confidence will be treated accordingly, only used for this review, and will be stored in protected systems.</w:t>
      </w:r>
    </w:p>
    <w:p w14:paraId="37281CD2" w14:textId="77777777" w:rsidR="008E2E3A" w:rsidRDefault="00ED0FAD">
      <w:pPr>
        <w:pStyle w:val="NormalWeb"/>
        <w:spacing w:before="0" w:after="0" w:line="22" w:lineRule="atLeast"/>
      </w:pPr>
      <w:r>
        <w:rPr>
          <w:rFonts w:ascii="Arial" w:hAnsi="Arial" w:cs="Arial"/>
          <w:color w:val="000000"/>
        </w:rPr>
        <w:lastRenderedPageBreak/>
        <w:t>The non-confidential version of your submission may be placed on the public file, which is available on</w:t>
      </w:r>
      <w:r>
        <w:rPr>
          <w:rFonts w:ascii="Arial" w:hAnsi="Arial" w:cs="Arial"/>
          <w:b/>
          <w:color w:val="FF0000"/>
        </w:rPr>
        <w:t xml:space="preserve"> </w:t>
      </w:r>
      <w:hyperlink r:id="rId12" w:history="1">
        <w:r w:rsidR="008E2E3A">
          <w:rPr>
            <w:rStyle w:val="Hyperlink"/>
            <w:rFonts w:ascii="Arial" w:hAnsi="Arial" w:cs="Arial"/>
          </w:rPr>
          <w:t>www.trade-remedies.service.gov.uk/public/cases</w:t>
        </w:r>
      </w:hyperlink>
      <w:r>
        <w:rPr>
          <w:rStyle w:val="Hyperlink"/>
          <w:rFonts w:ascii="Arial" w:hAnsi="Arial" w:cs="Arial"/>
          <w:bCs/>
        </w:rPr>
        <w:t>.</w:t>
      </w:r>
    </w:p>
    <w:p w14:paraId="18E66F72" w14:textId="77777777" w:rsidR="008E2E3A" w:rsidRDefault="008E2E3A">
      <w:pPr>
        <w:pStyle w:val="NormalWeb"/>
        <w:rPr>
          <w:rFonts w:ascii="Arial" w:hAnsi="Arial" w:cs="Arial"/>
          <w:color w:val="000000"/>
        </w:rPr>
      </w:pPr>
    </w:p>
    <w:p w14:paraId="5B4E2302" w14:textId="77777777" w:rsidR="008E2E3A" w:rsidRDefault="008E2E3A">
      <w:pPr>
        <w:rPr>
          <w:lang w:eastAsia="zh-CN"/>
        </w:rPr>
      </w:pPr>
    </w:p>
    <w:p w14:paraId="5FA1DF36" w14:textId="77777777" w:rsidR="008E2E3A" w:rsidRDefault="008E2E3A">
      <w:pPr>
        <w:pageBreakBefore/>
        <w:spacing w:after="160" w:line="249" w:lineRule="auto"/>
        <w:rPr>
          <w:lang w:eastAsia="zh-CN"/>
        </w:rPr>
      </w:pPr>
    </w:p>
    <w:p w14:paraId="5FFD1280" w14:textId="77777777" w:rsidR="008E2E3A" w:rsidRDefault="00ED0FAD">
      <w:pPr>
        <w:pStyle w:val="Heading2"/>
      </w:pPr>
      <w:bookmarkStart w:id="14" w:name="_Toc190264843"/>
      <w:r>
        <w:rPr>
          <w:lang w:eastAsia="zh-CN"/>
        </w:rPr>
        <w:t xml:space="preserve">Section A – </w:t>
      </w:r>
      <w:r>
        <w:rPr>
          <w:rFonts w:cs="Arial"/>
          <w:bCs/>
        </w:rPr>
        <w:t>Your organisation’s interest in the review</w:t>
      </w:r>
      <w:bookmarkEnd w:id="14"/>
    </w:p>
    <w:p w14:paraId="0ABBAA52" w14:textId="77777777" w:rsidR="008E2E3A" w:rsidRDefault="008E2E3A"/>
    <w:p w14:paraId="5C81BBE4" w14:textId="77777777" w:rsidR="008E2E3A" w:rsidRDefault="00ED0FAD">
      <w:pPr>
        <w:spacing w:line="22" w:lineRule="atLeast"/>
        <w:rPr>
          <w:rFonts w:eastAsia="Arial"/>
        </w:rPr>
      </w:pPr>
      <w:r>
        <w:rPr>
          <w:rFonts w:eastAsia="Arial"/>
        </w:rPr>
        <w:t>To register your organisation’s interest in this TRQ review, please complete the text boxes below.</w:t>
      </w:r>
    </w:p>
    <w:p w14:paraId="78120B31" w14:textId="77777777" w:rsidR="008E2E3A" w:rsidRDefault="008E2E3A">
      <w:pPr>
        <w:spacing w:line="22" w:lineRule="atLeast"/>
        <w:rPr>
          <w:color w:val="000000"/>
        </w:rPr>
      </w:pPr>
    </w:p>
    <w:p w14:paraId="6744502F" w14:textId="77777777" w:rsidR="008E2E3A" w:rsidRDefault="00ED0FAD">
      <w:pPr>
        <w:spacing w:line="22" w:lineRule="atLeast"/>
      </w:pPr>
      <w:r>
        <w:t>A1. Please describe your interest in this TRQ review:</w:t>
      </w:r>
    </w:p>
    <w:p w14:paraId="42C4FECE" w14:textId="270D8FC9" w:rsidR="008E2E3A" w:rsidRDefault="007843A6">
      <w:pPr>
        <w:spacing w:line="22" w:lineRule="atLeast"/>
      </w:pPr>
      <w:r>
        <w:rPr>
          <w:noProof/>
        </w:rPr>
        <mc:AlternateContent>
          <mc:Choice Requires="wps">
            <w:drawing>
              <wp:anchor distT="0" distB="0" distL="114300" distR="114300" simplePos="0" relativeHeight="251658240" behindDoc="0" locked="0" layoutInCell="1" allowOverlap="1" wp14:anchorId="25CEB8E7" wp14:editId="70206838">
                <wp:simplePos x="0" y="0"/>
                <wp:positionH relativeFrom="margin">
                  <wp:align>left</wp:align>
                </wp:positionH>
                <wp:positionV relativeFrom="paragraph">
                  <wp:posOffset>196211</wp:posOffset>
                </wp:positionV>
                <wp:extent cx="5704840" cy="1039495"/>
                <wp:effectExtent l="0" t="0" r="10160" b="27305"/>
                <wp:wrapSquare wrapText="bothSides"/>
                <wp:docPr id="324590191" name="Text Box 2"/>
                <wp:cNvGraphicFramePr/>
                <a:graphic xmlns:a="http://schemas.openxmlformats.org/drawingml/2006/main">
                  <a:graphicData uri="http://schemas.microsoft.com/office/word/2010/wordprocessingShape">
                    <wps:wsp>
                      <wps:cNvSpPr txBox="1"/>
                      <wps:spPr>
                        <a:xfrm>
                          <a:off x="0" y="0"/>
                          <a:ext cx="5704840" cy="1039586"/>
                        </a:xfrm>
                        <a:prstGeom prst="rect">
                          <a:avLst/>
                        </a:prstGeom>
                        <a:solidFill>
                          <a:srgbClr val="FFFFFF"/>
                        </a:solidFill>
                        <a:ln w="9528">
                          <a:solidFill>
                            <a:srgbClr val="000000"/>
                          </a:solidFill>
                          <a:prstDash val="solid"/>
                        </a:ln>
                      </wps:spPr>
                      <wps:txbx>
                        <w:txbxContent>
                          <w:p w14:paraId="2A191997" w14:textId="0321D53F" w:rsidR="008E2E3A" w:rsidRDefault="0008311D">
                            <w:r>
                              <w:t xml:space="preserve">Belmont and Knott Ltd is a privately owned Steel Trading company, established in the UK for a substantial period of time and predominantly supplying the private steel stockholding and processing sector. Historically, imports have been in categories 1, 4, 7 and 17. </w:t>
                            </w:r>
                            <w:r w:rsidR="00AF2226">
                              <w:t>We</w:t>
                            </w:r>
                            <w:r w:rsidR="00FA320E">
                              <w:t xml:space="preserve"> have strong views regarding the TRQ and w</w:t>
                            </w:r>
                            <w:r w:rsidR="003B6660">
                              <w:t xml:space="preserve">e wish to participate in the review. </w:t>
                            </w:r>
                          </w:p>
                          <w:p w14:paraId="4DC9D8B2" w14:textId="77777777" w:rsidR="0008311D" w:rsidRPr="0008311D" w:rsidRDefault="0008311D"/>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25CEB8E7" id="_x0000_t202" coordsize="21600,21600" o:spt="202" path="m,l,21600r21600,l21600,xe">
                <v:stroke joinstyle="miter"/>
                <v:path gradientshapeok="t" o:connecttype="rect"/>
              </v:shapetype>
              <v:shape id="Text Box 2" o:spid="_x0000_s1026" type="#_x0000_t202" style="position:absolute;margin-left:0;margin-top:15.45pt;width:449.2pt;height:81.8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" strokeweight=".26467mm">
                <v:textbox>
                  <w:txbxContent>
                    <w:p w14:paraId="2A191997" w14:textId="0321D53F" w:rsidR="008E2E3A" w:rsidRDefault="0008311D">
                      <w:r>
                        <w:t xml:space="preserve">Belmont and Knott Ltd is a privately owned Steel Trading company, established in the UK for a substantial period of time and predominantly supplying the private steel stockholding and processing sector. Historically, imports have been in categories 1, 4, 7 and 17. </w:t>
                      </w:r>
                      <w:r w:rsidR="00AF2226">
                        <w:t>We</w:t>
                      </w:r>
                      <w:r w:rsidR="00FA320E">
                        <w:t xml:space="preserve"> have strong views regarding the TRQ and w</w:t>
                      </w:r>
                      <w:r w:rsidR="003B6660">
                        <w:t xml:space="preserve">e wish to participate in the review. </w:t>
                      </w:r>
                    </w:p>
                    <w:p w14:paraId="4DC9D8B2" w14:textId="77777777" w:rsidR="0008311D" w:rsidRPr="0008311D" w:rsidRDefault="0008311D"/>
                  </w:txbxContent>
                </v:textbox>
                <w10:wrap type="square" anchorx="margin"/>
              </v:shape>
            </w:pict>
          </mc:Fallback>
        </mc:AlternateContent>
      </w:r>
    </w:p>
    <w:p w14:paraId="1A6FF59C" w14:textId="6ADDBC22" w:rsidR="008E2E3A" w:rsidRDefault="008E2E3A">
      <w:pPr>
        <w:pStyle w:val="Heading2"/>
        <w:rPr>
          <w:lang w:eastAsia="zh-CN"/>
        </w:rPr>
      </w:pPr>
    </w:p>
    <w:p w14:paraId="0B942EF0" w14:textId="49E0FC94" w:rsidR="008E2E3A" w:rsidRDefault="00ED0FAD">
      <w:pPr>
        <w:pStyle w:val="Heading2"/>
        <w:rPr>
          <w:lang w:eastAsia="zh-CN"/>
        </w:rPr>
      </w:pPr>
      <w:bookmarkStart w:id="15" w:name="_Toc190264844"/>
      <w:bookmarkStart w:id="16" w:name="_Hlk105432157"/>
      <w:r>
        <w:rPr>
          <w:lang w:eastAsia="zh-CN"/>
        </w:rPr>
        <w:t>Section B – Additional information</w:t>
      </w:r>
      <w:bookmarkEnd w:id="15"/>
      <w:r>
        <w:rPr>
          <w:lang w:eastAsia="zh-CN"/>
        </w:rPr>
        <w:t xml:space="preserve"> </w:t>
      </w:r>
    </w:p>
    <w:p w14:paraId="4ED97472" w14:textId="756673A5" w:rsidR="008E2E3A" w:rsidRDefault="008E2E3A"/>
    <w:p w14:paraId="0755094B" w14:textId="180E5BAE" w:rsidR="008E2E3A" w:rsidRDefault="00ED0FAD">
      <w:r>
        <w:t>B1. Please use the box to provide information about anything else you consider relevant to this TRQ review:</w:t>
      </w:r>
    </w:p>
    <w:bookmarkEnd w:id="16"/>
    <w:p w14:paraId="6452277C" w14:textId="4E51CA5D" w:rsidR="008E2E3A" w:rsidRDefault="007054B6">
      <w:r>
        <w:rPr>
          <w:noProof/>
        </w:rPr>
        <mc:AlternateContent>
          <mc:Choice Requires="wps">
            <w:drawing>
              <wp:anchor distT="0" distB="0" distL="114300" distR="114300" simplePos="0" relativeHeight="251658241" behindDoc="0" locked="0" layoutInCell="1" allowOverlap="1" wp14:anchorId="1B4FC1A0" wp14:editId="5AC00A73">
                <wp:simplePos x="0" y="0"/>
                <wp:positionH relativeFrom="margin">
                  <wp:posOffset>-19050</wp:posOffset>
                </wp:positionH>
                <wp:positionV relativeFrom="paragraph">
                  <wp:posOffset>229235</wp:posOffset>
                </wp:positionV>
                <wp:extent cx="5704840" cy="3276600"/>
                <wp:effectExtent l="0" t="0" r="10160" b="19050"/>
                <wp:wrapSquare wrapText="bothSides"/>
                <wp:docPr id="2111341334" name="Text Box 7"/>
                <wp:cNvGraphicFramePr/>
                <a:graphic xmlns:a="http://schemas.openxmlformats.org/drawingml/2006/main">
                  <a:graphicData uri="http://schemas.microsoft.com/office/word/2010/wordprocessingShape">
                    <wps:wsp>
                      <wps:cNvSpPr txBox="1"/>
                      <wps:spPr>
                        <a:xfrm>
                          <a:off x="0" y="0"/>
                          <a:ext cx="5704840" cy="3276600"/>
                        </a:xfrm>
                        <a:prstGeom prst="rect">
                          <a:avLst/>
                        </a:prstGeom>
                        <a:solidFill>
                          <a:srgbClr val="FFFFFF"/>
                        </a:solidFill>
                        <a:ln w="9528">
                          <a:solidFill>
                            <a:srgbClr val="000000"/>
                          </a:solidFill>
                          <a:prstDash val="solid"/>
                        </a:ln>
                      </wps:spPr>
                      <wps:txbx>
                        <w:txbxContent>
                          <w:p w14:paraId="54A36EE8" w14:textId="20EC037B" w:rsidR="008E2E3A" w:rsidRDefault="0008311D">
                            <w:r>
                              <w:t xml:space="preserve">Belmont and Knott Ltd has noticed the intention to review the TRQ for a substantial number of steel products. We supply a large number of private steel stockists and processors who depend upon imports to fulfil the downstream manufacturing requirements. </w:t>
                            </w:r>
                          </w:p>
                          <w:p w14:paraId="505105A2" w14:textId="77777777" w:rsidR="009D51F2" w:rsidRDefault="0008311D">
                            <w:r>
                              <w:t xml:space="preserve">Our largest area of importation involves category 4 products. Currently </w:t>
                            </w:r>
                            <w:r w:rsidR="009D51F2">
                              <w:t>there are substantial individual quotas for EU, Taiwan and Turkey which are greatly under used and reasonable quotas for India and “Others” which are normally utilised in full and in the case of “Others” at a very early stage in the relevant quarter.</w:t>
                            </w:r>
                          </w:p>
                          <w:p w14:paraId="6A2CFD78" w14:textId="0B39DC86" w:rsidR="0008311D" w:rsidRDefault="009D51F2">
                            <w:r>
                              <w:t xml:space="preserve">Whilst we understand that the total quota may be too large, </w:t>
                            </w:r>
                            <w:r w:rsidR="00695ABE">
                              <w:t>its</w:t>
                            </w:r>
                            <w:r>
                              <w:t xml:space="preserve"> origin allocation is </w:t>
                            </w:r>
                            <w:r w:rsidRPr="005A6699">
                              <w:t xml:space="preserve">misguided </w:t>
                            </w:r>
                            <w:r>
                              <w:t xml:space="preserve">for the current market scenario. </w:t>
                            </w:r>
                          </w:p>
                          <w:p w14:paraId="48D99401" w14:textId="57DD20A9" w:rsidR="009D51F2" w:rsidRDefault="009D51F2">
                            <w:r>
                              <w:t>The request from UK</w:t>
                            </w:r>
                            <w:r w:rsidR="00FF1583">
                              <w:t xml:space="preserve"> Steel</w:t>
                            </w:r>
                            <w:r>
                              <w:t xml:space="preserve"> for a 15% cap of any specific origin </w:t>
                            </w:r>
                            <w:r w:rsidR="007843A6">
                              <w:t xml:space="preserve">within the “Other” origin </w:t>
                            </w:r>
                            <w:r>
                              <w:t xml:space="preserve">is </w:t>
                            </w:r>
                            <w:r w:rsidR="008E75A3" w:rsidRPr="008E75A3">
                              <w:t>unnecessary</w:t>
                            </w:r>
                            <w:r>
                              <w:t xml:space="preserve"> and would make shipping from far afield impractical. </w:t>
                            </w:r>
                          </w:p>
                          <w:p w14:paraId="2D8119B4" w14:textId="70A9113D" w:rsidR="007843A6" w:rsidRDefault="009D51F2">
                            <w:r>
                              <w:t>Please be further aware that the individual product cod</w:t>
                            </w:r>
                            <w:r w:rsidR="007843A6">
                              <w:t>es</w:t>
                            </w:r>
                            <w:r>
                              <w:t xml:space="preserve"> within the categories is </w:t>
                            </w:r>
                            <w:r w:rsidRPr="005A6699">
                              <w:t>inappropriate</w:t>
                            </w:r>
                            <w:r>
                              <w:t xml:space="preserve"> in so much as Aluminium coated steel and Aluzinc coated steel are not even produced by the home manufacturer (TATA). Equally, the home producer is unable to produce the full range of sizes and qualities that the downstream manufacturers require.</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1B4FC1A0" id="Text Box 7" o:spid="_x0000_s1027" type="#_x0000_t202" style="position:absolute;margin-left:-1.5pt;margin-top:18.05pt;width:449.2pt;height:258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" strokeweight=".26467mm">
                <v:textbox>
                  <w:txbxContent>
                    <w:p w14:paraId="54A36EE8" w14:textId="20EC037B" w:rsidR="008E2E3A" w:rsidRDefault="0008311D">
                      <w:r>
                        <w:t xml:space="preserve">Belmont and Knott Ltd has noticed the intention to review the TRQ for a substantial number of steel products. We supply a large number of private steel stockists and processors who depend upon imports to fulfil the downstream manufacturing requirements. </w:t>
                      </w:r>
                    </w:p>
                    <w:p w14:paraId="505105A2" w14:textId="77777777" w:rsidR="009D51F2" w:rsidRDefault="0008311D">
                      <w:r>
                        <w:t xml:space="preserve">Our largest area of importation involves category 4 products. Currently </w:t>
                      </w:r>
                      <w:r w:rsidR="009D51F2">
                        <w:t>there are substantial individual quotas for EU, Taiwan and Turkey which are greatly under used and reasonable quotas for India and “Others” which are normally utilised in full and in the case of “Others” at a very early stage in the relevant quarter.</w:t>
                      </w:r>
                    </w:p>
                    <w:p w14:paraId="6A2CFD78" w14:textId="0B39DC86" w:rsidR="0008311D" w:rsidRDefault="009D51F2">
                      <w:r>
                        <w:t xml:space="preserve">Whilst we understand that the total quota may be too large, </w:t>
                      </w:r>
                      <w:r w:rsidR="00695ABE">
                        <w:t>its</w:t>
                      </w:r>
                      <w:r>
                        <w:t xml:space="preserve"> origin allocation is </w:t>
                      </w:r>
                      <w:r w:rsidRPr="005A6699">
                        <w:t xml:space="preserve">misguided </w:t>
                      </w:r>
                      <w:r>
                        <w:t xml:space="preserve">for the current market scenario. </w:t>
                      </w:r>
                    </w:p>
                    <w:p w14:paraId="48D99401" w14:textId="57DD20A9" w:rsidR="009D51F2" w:rsidRDefault="009D51F2">
                      <w:r>
                        <w:t>The request from UK</w:t>
                      </w:r>
                      <w:r w:rsidR="00FF1583">
                        <w:t xml:space="preserve"> Steel</w:t>
                      </w:r>
                      <w:r>
                        <w:t xml:space="preserve"> for a 15% cap of any specific origin </w:t>
                      </w:r>
                      <w:r w:rsidR="007843A6">
                        <w:t xml:space="preserve">within the “Other” origin </w:t>
                      </w:r>
                      <w:r>
                        <w:t xml:space="preserve">is </w:t>
                      </w:r>
                      <w:r w:rsidR="008E75A3" w:rsidRPr="008E75A3">
                        <w:t>unnecessary</w:t>
                      </w:r>
                      <w:r>
                        <w:t xml:space="preserve"> and would make shipping from far afield impractical. </w:t>
                      </w:r>
                    </w:p>
                    <w:p w14:paraId="2D8119B4" w14:textId="70A9113D" w:rsidR="007843A6" w:rsidRDefault="009D51F2">
                      <w:r>
                        <w:t>Please be further aware that the individual product cod</w:t>
                      </w:r>
                      <w:r w:rsidR="007843A6">
                        <w:t>es</w:t>
                      </w:r>
                      <w:r>
                        <w:t xml:space="preserve"> within the categories is </w:t>
                      </w:r>
                      <w:r w:rsidRPr="005A6699">
                        <w:t>inappropriate</w:t>
                      </w:r>
                      <w:r>
                        <w:t xml:space="preserve"> in so much as Aluminium coated steel and Aluzinc coated steel are not even produced by the home manufacturer (TATA). Equally, the home producer is unable to produce the full range of sizes and qualities that the downstream manufacturers require.</w:t>
                      </w:r>
                    </w:p>
                  </w:txbxContent>
                </v:textbox>
                <w10:wrap type="square" anchorx="margin"/>
              </v:shape>
            </w:pict>
          </mc:Fallback>
        </mc:AlternateContent>
      </w:r>
    </w:p>
    <w:p w14:paraId="0779437C" w14:textId="77777777" w:rsidR="007054B6" w:rsidRPr="007054B6" w:rsidRDefault="007054B6" w:rsidP="007054B6"/>
    <w:p w14:paraId="561EE40B" w14:textId="77777777" w:rsidR="007054B6" w:rsidRPr="007054B6" w:rsidRDefault="007054B6" w:rsidP="007054B6"/>
    <w:p w14:paraId="74F577CA" w14:textId="37690D09" w:rsidR="007054B6" w:rsidRPr="0008311D" w:rsidRDefault="007054B6" w:rsidP="007054B6">
      <w:r>
        <w:rPr>
          <w:noProof/>
        </w:rPr>
        <w:lastRenderedPageBreak/>
        <mc:AlternateContent>
          <mc:Choice Requires="wps">
            <w:drawing>
              <wp:anchor distT="0" distB="0" distL="114300" distR="114300" simplePos="0" relativeHeight="251663361" behindDoc="0" locked="0" layoutInCell="1" allowOverlap="1" wp14:anchorId="5425F58C" wp14:editId="4F49EF8C">
                <wp:simplePos x="0" y="0"/>
                <wp:positionH relativeFrom="margin">
                  <wp:posOffset>0</wp:posOffset>
                </wp:positionH>
                <wp:positionV relativeFrom="paragraph">
                  <wp:posOffset>171450</wp:posOffset>
                </wp:positionV>
                <wp:extent cx="5704840" cy="3276600"/>
                <wp:effectExtent l="0" t="0" r="10160" b="19050"/>
                <wp:wrapSquare wrapText="bothSides"/>
                <wp:docPr id="59420906" name="Text Box 7"/>
                <wp:cNvGraphicFramePr/>
                <a:graphic xmlns:a="http://schemas.openxmlformats.org/drawingml/2006/main">
                  <a:graphicData uri="http://schemas.microsoft.com/office/word/2010/wordprocessingShape">
                    <wps:wsp>
                      <wps:cNvSpPr txBox="1"/>
                      <wps:spPr>
                        <a:xfrm>
                          <a:off x="0" y="0"/>
                          <a:ext cx="5704840" cy="3276600"/>
                        </a:xfrm>
                        <a:prstGeom prst="rect">
                          <a:avLst/>
                        </a:prstGeom>
                        <a:solidFill>
                          <a:srgbClr val="FFFFFF"/>
                        </a:solidFill>
                        <a:ln w="9528">
                          <a:solidFill>
                            <a:srgbClr val="000000"/>
                          </a:solidFill>
                          <a:prstDash val="solid"/>
                        </a:ln>
                      </wps:spPr>
                      <wps:txbx>
                        <w:txbxContent>
                          <w:p w14:paraId="76BA484D" w14:textId="77777777" w:rsidR="007054B6" w:rsidRDefault="007054B6" w:rsidP="007054B6">
                            <w:r>
                              <w:t xml:space="preserve">Zinc Magnesium coated steel is a much-used category of steel for the manufacturer of Solar Panel frames. Whilst TATA are able in a general way to produce this product, they are unable to supply the grades, and in some instances dimensions, that this important industry requires. Once again, this product comes under category 4 and a restriction of supply would be </w:t>
                            </w:r>
                            <w:r w:rsidRPr="007843A6">
                              <w:t>disastrous</w:t>
                            </w:r>
                            <w:r>
                              <w:rPr>
                                <w:b/>
                                <w:bCs/>
                              </w:rPr>
                              <w:t xml:space="preserve"> </w:t>
                            </w:r>
                            <w:r>
                              <w:t xml:space="preserve">for this very important sector of manufacturing which is fundamental to the country’s renewable energy plans.  </w:t>
                            </w:r>
                          </w:p>
                          <w:p w14:paraId="63749912" w14:textId="77777777" w:rsidR="007054B6" w:rsidRDefault="007054B6" w:rsidP="007054B6">
                            <w:r>
                              <w:t>Please also be aware of the following regarding category 17. Press reports are suggesting that British Steel is on the verge of ceasing production of Beams. Any restriction of inflow would be catastrophic to UK building and construction sector.</w:t>
                            </w:r>
                          </w:p>
                          <w:p w14:paraId="0B214559" w14:textId="77777777" w:rsidR="007054B6" w:rsidRDefault="007054B6" w:rsidP="007054B6"/>
                          <w:p w14:paraId="166E19D6" w14:textId="6DAB62CD" w:rsidR="007054B6" w:rsidRDefault="007054B6" w:rsidP="007054B6">
                            <w:r>
                              <w:t>To re-iterate our initial points, we believe there needs to be a serious review of the TRQ, particularly with so much unused quota from the EU</w:t>
                            </w:r>
                            <w:r w:rsidR="00E15CB3">
                              <w:t xml:space="preserve">. </w:t>
                            </w:r>
                            <w:r>
                              <w:t xml:space="preserve">We can see no benefit to further restricting the total individual quotas from “Other” origins. </w:t>
                            </w:r>
                          </w:p>
                          <w:p w14:paraId="2DC6A62A" w14:textId="6496EE0E" w:rsidR="007054B6" w:rsidRDefault="007054B6" w:rsidP="007054B6"/>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5425F58C" id="_x0000_s1028" type="#_x0000_t202" style="position:absolute;margin-left:0;margin-top:13.5pt;width:449.2pt;height:258pt;z-index:25166336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" strokeweight=".26467mm">
                <v:textbox>
                  <w:txbxContent>
                    <w:p w14:paraId="76BA484D" w14:textId="77777777" w:rsidR="007054B6" w:rsidRDefault="007054B6" w:rsidP="007054B6">
                      <w:r>
                        <w:t xml:space="preserve">Zinc Magnesium coated steel is a much-used category of steel for the manufacturer of Solar Panel frames. Whilst TATA are able in a general way to produce this product, they are unable to supply the grades, and in some instances dimensions, that this important industry requires. Once again, this product comes under category 4 and a restriction of supply would be </w:t>
                      </w:r>
                      <w:r w:rsidRPr="007843A6">
                        <w:t>disastrous</w:t>
                      </w:r>
                      <w:r>
                        <w:rPr>
                          <w:b/>
                          <w:bCs/>
                        </w:rPr>
                        <w:t xml:space="preserve"> </w:t>
                      </w:r>
                      <w:r>
                        <w:t xml:space="preserve">for this very important sector of manufacturing which is fundamental to the country’s renewable energy plans.  </w:t>
                      </w:r>
                    </w:p>
                    <w:p w14:paraId="63749912" w14:textId="77777777" w:rsidR="007054B6" w:rsidRDefault="007054B6" w:rsidP="007054B6">
                      <w:r>
                        <w:t>Please also be aware of the following regarding category 17. Press reports are suggesting that British Steel is on the verge of ceasing production of Beams. Any restriction of inflow would be catastrophic to UK building and construction sector.</w:t>
                      </w:r>
                    </w:p>
                    <w:p w14:paraId="0B214559" w14:textId="77777777" w:rsidR="007054B6" w:rsidRDefault="007054B6" w:rsidP="007054B6"/>
                    <w:p w14:paraId="166E19D6" w14:textId="6DAB62CD" w:rsidR="007054B6" w:rsidRDefault="007054B6" w:rsidP="007054B6">
                      <w:r>
                        <w:t>To re-iterate our initial points, we believe there needs to be a serious review of the TRQ, particularly with so much unused quota from the EU</w:t>
                      </w:r>
                      <w:r w:rsidR="00E15CB3">
                        <w:t xml:space="preserve">. </w:t>
                      </w:r>
                      <w:r>
                        <w:t xml:space="preserve">We can see no benefit to further restricting the total individual quotas from “Other” origins. </w:t>
                      </w:r>
                    </w:p>
                    <w:p w14:paraId="2DC6A62A" w14:textId="6496EE0E" w:rsidR="007054B6" w:rsidRDefault="007054B6" w:rsidP="007054B6"/>
                  </w:txbxContent>
                </v:textbox>
                <w10:wrap type="square" anchorx="margin"/>
              </v:shape>
            </w:pict>
          </mc:Fallback>
        </mc:AlternateContent>
      </w:r>
    </w:p>
    <w:p w14:paraId="21B749B2" w14:textId="77777777" w:rsidR="007054B6" w:rsidRPr="007054B6" w:rsidRDefault="007054B6" w:rsidP="007054B6"/>
    <w:p w14:paraId="161931F4" w14:textId="77777777" w:rsidR="007054B6" w:rsidRPr="007054B6" w:rsidRDefault="007054B6" w:rsidP="007054B6"/>
    <w:p w14:paraId="4FBE29A7" w14:textId="77777777" w:rsidR="007054B6" w:rsidRPr="007054B6" w:rsidRDefault="007054B6" w:rsidP="007054B6"/>
    <w:p w14:paraId="3145406A" w14:textId="77777777" w:rsidR="007054B6" w:rsidRPr="007054B6" w:rsidRDefault="007054B6" w:rsidP="007054B6"/>
    <w:p w14:paraId="452C155F" w14:textId="77777777" w:rsidR="007054B6" w:rsidRPr="007054B6" w:rsidRDefault="007054B6" w:rsidP="007054B6"/>
    <w:p w14:paraId="7D9DDD05" w14:textId="77777777" w:rsidR="007054B6" w:rsidRPr="007054B6" w:rsidRDefault="007054B6" w:rsidP="007054B6"/>
    <w:p w14:paraId="0B79819E" w14:textId="77777777" w:rsidR="007054B6" w:rsidRPr="007054B6" w:rsidRDefault="007054B6" w:rsidP="007054B6"/>
    <w:p w14:paraId="51F27B70" w14:textId="77777777" w:rsidR="007054B6" w:rsidRPr="007054B6" w:rsidRDefault="007054B6" w:rsidP="007054B6"/>
    <w:p w14:paraId="7AD228D8" w14:textId="77777777" w:rsidR="007054B6" w:rsidRPr="007054B6" w:rsidRDefault="007054B6" w:rsidP="007054B6"/>
    <w:p w14:paraId="2292A384" w14:textId="77777777" w:rsidR="007054B6" w:rsidRPr="007054B6" w:rsidRDefault="007054B6" w:rsidP="007054B6"/>
    <w:p w14:paraId="4ECCDECD" w14:textId="77777777" w:rsidR="007054B6" w:rsidRPr="007054B6" w:rsidRDefault="007054B6" w:rsidP="007054B6"/>
    <w:p w14:paraId="34758E6C" w14:textId="77777777" w:rsidR="007054B6" w:rsidRPr="007054B6" w:rsidRDefault="007054B6" w:rsidP="007054B6"/>
    <w:p w14:paraId="2EE3BB49" w14:textId="77777777" w:rsidR="007054B6" w:rsidRPr="007054B6" w:rsidRDefault="007054B6" w:rsidP="007054B6"/>
    <w:p w14:paraId="6DFFF97A" w14:textId="77777777" w:rsidR="007054B6" w:rsidRPr="007054B6" w:rsidRDefault="007054B6" w:rsidP="007054B6"/>
    <w:p w14:paraId="365A3954" w14:textId="77777777" w:rsidR="007054B6" w:rsidRPr="007054B6" w:rsidRDefault="007054B6" w:rsidP="007054B6"/>
    <w:p w14:paraId="09BE876A" w14:textId="77777777" w:rsidR="007054B6" w:rsidRPr="007054B6" w:rsidRDefault="007054B6" w:rsidP="007054B6"/>
    <w:p w14:paraId="3E2BFBBE" w14:textId="77777777" w:rsidR="007054B6" w:rsidRPr="007054B6" w:rsidRDefault="007054B6" w:rsidP="007054B6"/>
    <w:p w14:paraId="2836D857" w14:textId="77777777" w:rsidR="007054B6" w:rsidRPr="007054B6" w:rsidRDefault="007054B6" w:rsidP="007054B6"/>
    <w:sectPr w:rsidR="007054B6" w:rsidRPr="007054B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E3F5C" w14:textId="77777777" w:rsidR="009110E7" w:rsidRDefault="009110E7">
      <w:r>
        <w:separator/>
      </w:r>
    </w:p>
  </w:endnote>
  <w:endnote w:type="continuationSeparator" w:id="0">
    <w:p w14:paraId="78479581" w14:textId="77777777" w:rsidR="009110E7" w:rsidRDefault="0091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AFBA" w14:textId="77777777" w:rsidR="00595368" w:rsidRDefault="0059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FE0F" w14:textId="77777777" w:rsidR="004E71B2" w:rsidRDefault="00ED0FAD">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09F5146" w14:textId="77777777" w:rsidR="004E71B2" w:rsidRDefault="004E7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3F66" w14:textId="77777777" w:rsidR="00595368" w:rsidRDefault="00595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DD92" w14:textId="77777777" w:rsidR="009110E7" w:rsidRDefault="009110E7">
      <w:r>
        <w:rPr>
          <w:color w:val="000000"/>
        </w:rPr>
        <w:separator/>
      </w:r>
    </w:p>
  </w:footnote>
  <w:footnote w:type="continuationSeparator" w:id="0">
    <w:p w14:paraId="3AA0ACB7" w14:textId="77777777" w:rsidR="009110E7" w:rsidRDefault="00911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2BCF" w14:textId="77777777" w:rsidR="00595368" w:rsidRDefault="00595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8911A6" w14:paraId="10976C94"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A7F4D2C" w14:textId="77777777" w:rsidR="004E71B2" w:rsidRDefault="00ED0FAD">
          <w:pPr>
            <w:spacing w:before="20" w:after="20"/>
          </w:pPr>
          <w:bookmarkStart w:id="17" w:name="_Hlk43194599"/>
          <w:r>
            <w:rPr>
              <w:noProof/>
            </w:rPr>
            <w:drawing>
              <wp:inline distT="0" distB="0" distL="0" distR="0" wp14:anchorId="54FB5221" wp14:editId="488A8E1C">
                <wp:extent cx="1434538" cy="810048"/>
                <wp:effectExtent l="0" t="0" r="0" b="9102"/>
                <wp:docPr id="1722993398"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0C04A9B" w14:textId="77777777" w:rsidR="004E71B2" w:rsidRDefault="004E71B2">
          <w:pPr>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BFAE9F0" w14:textId="77777777" w:rsidR="004E71B2" w:rsidRDefault="004E71B2">
          <w:pPr>
            <w:pStyle w:val="NoSpacing"/>
            <w:jc w:val="right"/>
            <w:rPr>
              <w:rFonts w:ascii="Arial" w:hAnsi="Arial"/>
              <w:sz w:val="19"/>
              <w:szCs w:val="19"/>
            </w:rPr>
          </w:pPr>
        </w:p>
        <w:p w14:paraId="4C6304B4" w14:textId="77777777" w:rsidR="00D54470" w:rsidRDefault="00ED0FAD" w:rsidP="00D54470">
          <w:pPr>
            <w:pStyle w:val="NoSpacing"/>
            <w:jc w:val="right"/>
            <w:rPr>
              <w:rFonts w:ascii="Arial" w:hAnsi="Arial"/>
              <w:sz w:val="19"/>
              <w:szCs w:val="19"/>
            </w:rPr>
          </w:pPr>
          <w:bookmarkStart w:id="18" w:name="_Hlk43194575"/>
          <w:r>
            <w:rPr>
              <w:rFonts w:ascii="Arial" w:hAnsi="Arial"/>
              <w:sz w:val="19"/>
              <w:szCs w:val="19"/>
            </w:rPr>
            <w:t>Trade Remedies Authority</w:t>
          </w:r>
        </w:p>
        <w:p w14:paraId="331E7288" w14:textId="26C8A593" w:rsidR="004E71B2" w:rsidRPr="00D54470" w:rsidRDefault="00B33D21" w:rsidP="00D54470">
          <w:pPr>
            <w:pStyle w:val="NoSpacing"/>
            <w:jc w:val="right"/>
            <w:rPr>
              <w:rFonts w:ascii="Arial" w:hAnsi="Arial"/>
              <w:sz w:val="19"/>
              <w:szCs w:val="19"/>
            </w:rPr>
          </w:pPr>
          <w:r>
            <w:rPr>
              <w:color w:val="FF0000"/>
              <w:sz w:val="18"/>
            </w:rPr>
            <w:t>Non-</w:t>
          </w:r>
          <w:r w:rsidR="00ED0FAD">
            <w:rPr>
              <w:color w:val="FF0000"/>
              <w:sz w:val="18"/>
            </w:rPr>
            <w:t>Confidential</w:t>
          </w:r>
        </w:p>
        <w:bookmarkEnd w:id="18"/>
        <w:p w14:paraId="321CA94B" w14:textId="77777777" w:rsidR="004E71B2" w:rsidRDefault="004E71B2">
          <w:pPr>
            <w:pStyle w:val="NoSpacing"/>
            <w:ind w:firstLine="148"/>
            <w:rPr>
              <w:rFonts w:ascii="Arial" w:hAnsi="Arial"/>
              <w:color w:val="FF0000"/>
              <w:sz w:val="18"/>
              <w:szCs w:val="24"/>
            </w:rPr>
          </w:pPr>
        </w:p>
      </w:tc>
    </w:tr>
    <w:bookmarkEnd w:id="17"/>
  </w:tbl>
  <w:p w14:paraId="1C2D2470" w14:textId="77777777" w:rsidR="004E71B2" w:rsidRDefault="004E7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5FEC" w14:textId="77777777" w:rsidR="00595368" w:rsidRDefault="00595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E592B"/>
    <w:multiLevelType w:val="multilevel"/>
    <w:tmpl w:val="27DEC7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1D56DC6"/>
    <w:multiLevelType w:val="multilevel"/>
    <w:tmpl w:val="18B42158"/>
    <w:lvl w:ilvl="0">
      <w:numFmt w:val="bullet"/>
      <w:lvlText w:val="-"/>
      <w:lvlJc w:val="left"/>
      <w:pPr>
        <w:ind w:left="720" w:hanging="360"/>
      </w:pPr>
      <w:rPr>
        <w:rFonts w:ascii="Arial" w:eastAsia="Yu Mincho"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3551658">
    <w:abstractNumId w:val="0"/>
  </w:num>
  <w:num w:numId="2" w16cid:durableId="122081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3A"/>
    <w:rsid w:val="0008311D"/>
    <w:rsid w:val="001268D7"/>
    <w:rsid w:val="001C21DC"/>
    <w:rsid w:val="003577DE"/>
    <w:rsid w:val="00387572"/>
    <w:rsid w:val="003B6660"/>
    <w:rsid w:val="00417A37"/>
    <w:rsid w:val="004C7CDB"/>
    <w:rsid w:val="004E71B2"/>
    <w:rsid w:val="00522025"/>
    <w:rsid w:val="00595368"/>
    <w:rsid w:val="005A6699"/>
    <w:rsid w:val="00695ABE"/>
    <w:rsid w:val="007054B6"/>
    <w:rsid w:val="0073569B"/>
    <w:rsid w:val="007843A6"/>
    <w:rsid w:val="00831DB0"/>
    <w:rsid w:val="008741A5"/>
    <w:rsid w:val="008E2E3A"/>
    <w:rsid w:val="008E75A3"/>
    <w:rsid w:val="009110E7"/>
    <w:rsid w:val="009D51F2"/>
    <w:rsid w:val="00A17F1B"/>
    <w:rsid w:val="00AF2226"/>
    <w:rsid w:val="00B33D21"/>
    <w:rsid w:val="00C00EEF"/>
    <w:rsid w:val="00CD47FE"/>
    <w:rsid w:val="00D32DF6"/>
    <w:rsid w:val="00D37262"/>
    <w:rsid w:val="00D54470"/>
    <w:rsid w:val="00E071C7"/>
    <w:rsid w:val="00E15CB3"/>
    <w:rsid w:val="00ED0FAD"/>
    <w:rsid w:val="00FA320E"/>
    <w:rsid w:val="00FF158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8686C"/>
  <w15:docId w15:val="{7373E400-394F-4C3A-851B-894C90B1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Yu Mincho" w:hAnsi="Arial"/>
      <w:sz w:val="24"/>
      <w:szCs w:val="24"/>
    </w:rPr>
  </w:style>
  <w:style w:type="paragraph" w:styleId="Heading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Yu Gothic Light"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Times New Roman"/>
      <w:b/>
      <w:sz w:val="36"/>
      <w:szCs w:val="32"/>
    </w:rPr>
  </w:style>
  <w:style w:type="character" w:customStyle="1" w:styleId="Heading2Char">
    <w:name w:val="Heading 2 Char"/>
    <w:basedOn w:val="DefaultParagraphFont"/>
    <w:rPr>
      <w:rFonts w:ascii="Arial" w:eastAsia="Yu Gothic Light" w:hAnsi="Arial" w:cs="Times New Roman"/>
      <w:b/>
      <w:sz w:val="32"/>
      <w:szCs w:val="26"/>
    </w:rPr>
  </w:style>
  <w:style w:type="character" w:customStyle="1" w:styleId="Heading3Char">
    <w:name w:val="Heading 3 Char"/>
    <w:basedOn w:val="DefaultParagraphFont"/>
    <w:rPr>
      <w:rFonts w:ascii="Arial" w:eastAsia="Yu Gothic Light" w:hAnsi="Arial" w:cs="Times New Roman"/>
      <w:b/>
      <w:sz w:val="28"/>
      <w:szCs w:val="24"/>
    </w:rPr>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Yu Mincho" w:hAnsi="Arial"/>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Yu Mincho"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Yu Mincho" w:hAnsi="Arial"/>
      <w:b/>
      <w:bCs/>
      <w:sz w:val="20"/>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Yu Mincho" w:hAnsi="Arial"/>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Yu Mincho" w:hAnsi="Arial"/>
      <w:sz w:val="24"/>
      <w:szCs w:val="24"/>
    </w:rPr>
  </w:style>
  <w:style w:type="character" w:styleId="Hyperlink">
    <w:name w:val="Hyperlink"/>
    <w:basedOn w:val="DefaultParagraphFont"/>
    <w:rPr>
      <w:color w:val="0563C1"/>
      <w:u w:val="single"/>
    </w:rPr>
  </w:style>
  <w:style w:type="paragraph" w:styleId="TOCHeading">
    <w:name w:val="TOC Heading"/>
    <w:basedOn w:val="Heading1"/>
    <w:next w:val="Normal"/>
    <w:pPr>
      <w:spacing w:line="249"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pPr>
      <w:tabs>
        <w:tab w:val="right" w:leader="dot" w:pos="9016"/>
      </w:tabs>
      <w:spacing w:after="100" w:line="22" w:lineRule="atLeast"/>
      <w:ind w:left="240"/>
    </w:p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eastAsia="Yu Mincho"/>
      <w:sz w:val="24"/>
      <w:szCs w:val="24"/>
    </w:rPr>
  </w:style>
  <w:style w:type="character" w:customStyle="1" w:styleId="findhit">
    <w:name w:val="findhit"/>
    <w:basedOn w:val="DefaultParagraphFont"/>
  </w:style>
  <w:style w:type="paragraph" w:styleId="TOC3">
    <w:name w:val="toc 3"/>
    <w:basedOn w:val="Normal"/>
    <w:next w:val="Normal"/>
    <w:autoRedefine/>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NoSpacing">
    <w:name w:val="No Spacing"/>
    <w:pPr>
      <w:suppressAutoHyphens/>
      <w:spacing w:after="0" w:line="240" w:lineRule="auto"/>
    </w:pPr>
    <w:rPr>
      <w:rFonts w:eastAsia="Yu Mincho"/>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styleId="Mention">
    <w:name w:val="Mention"/>
    <w:basedOn w:val="DefaultParagraphFont"/>
    <w:rPr>
      <w:color w:val="2B579A"/>
      <w:shd w:val="clear" w:color="auto" w:fill="E1DFDD"/>
    </w:rPr>
  </w:style>
  <w:style w:type="paragraph" w:styleId="FootnoteText">
    <w:name w:val="footnote text"/>
    <w:basedOn w:val="Normal"/>
    <w:pPr>
      <w:suppressAutoHyphens w:val="0"/>
    </w:pPr>
    <w:rPr>
      <w:rFonts w:ascii="Calibri" w:eastAsia="Calibri" w:hAnsi="Calibri"/>
      <w:sz w:val="20"/>
      <w:szCs w:val="20"/>
    </w:rPr>
  </w:style>
  <w:style w:type="character" w:customStyle="1" w:styleId="FootnoteTextChar">
    <w:name w:val="Footnote Text Char"/>
    <w:basedOn w:val="DefaultParagraphFont"/>
    <w:rPr>
      <w:rFonts w:ascii="Calibri" w:eastAsia="Calibri" w:hAnsi="Calibri" w:cs="Arial"/>
      <w:sz w:val="20"/>
      <w:szCs w:val="20"/>
    </w:rPr>
  </w:style>
  <w:style w:type="character" w:styleId="FootnoteReference">
    <w:name w:val="footnote reference"/>
    <w:basedOn w:val="DefaultParagraphFont"/>
    <w:rPr>
      <w:position w:val="0"/>
      <w:vertAlign w:val="superscript"/>
    </w:rPr>
  </w:style>
  <w:style w:type="character" w:customStyle="1" w:styleId="superscript">
    <w:name w:val="superscrip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rade-remedies-notices-tariff-rate-quotas-on-steel-goods/trade-remedies-notice-202406-safeguard-measure-tariff-rate-quota-on-steel-good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trade-remedies.service.gov.uk" TargetMode="External"/><Relationship Id="rId12" Type="http://schemas.openxmlformats.org/officeDocument/2006/relationships/hyperlink" Target="http://www.trade-remedies.service.gov.uk/public/cas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public/cases"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gov.uk/government/publications/trade-remedies-notices-revocation-of-the-safeguard-measure-on-category-2-steel-products/trade-remedies-notice-202502-safeguarding-measure-on-category-2-steel-produc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trade-remedies-notices-tariff-rate-quotas-on-steel-goods/trade-remedies-notice-202408-safeguard-measure-tariff-rate-quota-on-steel-goods" TargetMode="External"/><Relationship Id="rId14" Type="http://schemas.openxmlformats.org/officeDocument/2006/relationships/header" Target="header2.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E67E79D-61F8-41E1-AB53-DD2E1D7651B3}"/>
</file>

<file path=customXml/itemProps2.xml><?xml version="1.0" encoding="utf-8"?>
<ds:datastoreItem xmlns:ds="http://schemas.openxmlformats.org/officeDocument/2006/customXml" ds:itemID="{89188F46-818C-4459-91FA-88F6701DAA43}"/>
</file>

<file path=customXml/itemProps3.xml><?xml version="1.0" encoding="utf-8"?>
<ds:datastoreItem xmlns:ds="http://schemas.openxmlformats.org/officeDocument/2006/customXml" ds:itemID="{B4FF10EB-E81C-453F-9C08-92D8292F86E9}"/>
</file>

<file path=docProps/app.xml><?xml version="1.0" encoding="utf-8"?>
<Properties xmlns="http://schemas.openxmlformats.org/officeDocument/2006/extended-properties" xmlns:vt="http://schemas.openxmlformats.org/officeDocument/2006/docPropsVTypes">
  <Template>Normal</Template>
  <TotalTime>1</TotalTime>
  <Pages>7</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4</cp:revision>
  <cp:lastPrinted>2025-04-09T10:12:00Z</cp:lastPrinted>
  <dcterms:created xsi:type="dcterms:W3CDTF">2025-04-09T10:25:00Z</dcterms:created>
  <dcterms:modified xsi:type="dcterms:W3CDTF">2025-04-09T10:28:00Z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6200</vt:r8>
  </property>
  <property fmtid="{D5CDD505-2E9C-101B-9397-08002B2CF9AE}" pid="3" name="OperationalTheme">
    <vt:lpwstr/>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MediaServiceImageTags">
    <vt:lpwstr/>
  </property>
  <property fmtid="{D5CDD505-2E9C-101B-9397-08002B2CF9AE}" pid="7" name="ContentTypeId">
    <vt:lpwstr>0x010100C9280E48E807ED4AA4BA7BE40CA69573</vt:lpwstr>
  </property>
  <property fmtid="{D5CDD505-2E9C-101B-9397-08002B2CF9AE}" pid="8" name="ComplianceAssetId">
    <vt:lpwstr/>
  </property>
  <property fmtid="{D5CDD505-2E9C-101B-9397-08002B2CF9AE}" pid="9" name="TemplateUrl">
    <vt:lpwstr/>
  </property>
  <property fmtid="{D5CDD505-2E9C-101B-9397-08002B2CF9AE}" pid="10" name="InvestigationArea">
    <vt:lpwstr>66;#PSQ|65c6fcf8-b6a7-4f93-896b-1b52a565c1a0</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SharedWithUsers">
    <vt:lpwstr/>
  </property>
  <property fmtid="{D5CDD505-2E9C-101B-9397-08002B2CF9AE}" pid="16" name="Product">
    <vt:lpwstr/>
  </property>
  <property fmtid="{D5CDD505-2E9C-101B-9397-08002B2CF9AE}" pid="17" name="Country">
    <vt:lpwstr/>
  </property>
</Properties>
</file>