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99E608B8-EA16-445E-B87F-C1CA1E05F56F}"/>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