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E4D1FBDB-F416-4B86-A812-79D2D9AC312A}"/>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