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3DD169-14C1-40C8-93DC-EF3D54270F5B}"/>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