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67F7C1-F0B3-4C7F-8A09-149B0F979908}"/>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