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CC28E3F2-6E0D-4A06-ABC8-3FA67D13CF8B}"/>
</file>

<file path=customXml/itemProps3.xml><?xml version="1.0" encoding="utf-8"?>
<ds:datastoreItem xmlns:ds="http://schemas.openxmlformats.org/officeDocument/2006/customXml" ds:itemID="{DA7B7069-A1D6-4D68-8BB2-B97A5DE1DDE3}"/>
</file>

<file path=customXml/itemProps4.xml><?xml version="1.0" encoding="utf-8"?>
<ds:datastoreItem xmlns:ds="http://schemas.openxmlformats.org/officeDocument/2006/customXml" ds:itemID="{413C48C1-FB89-42B5-9422-D9872E130F5D}"/>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