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Arial" w:cs="Arial"/>
                <w:color w:val="FF0000"/>
                <w:szCs w:val="24"/>
                <w:lang w:val="en-US"/>
              </w:rPr>
            </w:pPr>
            <w:r>
              <w:rPr>
                <w:rFonts w:hint="eastAsia" w:eastAsia="宋体" w:cs="Arial"/>
                <w:color w:val="FF0000"/>
                <w:sz w:val="24"/>
                <w:szCs w:val="24"/>
                <w:lang w:eastAsia="zh-CN"/>
              </w:rPr>
              <w:t>C</w:t>
            </w:r>
            <w:r>
              <w:rPr>
                <w:rFonts w:hint="eastAsia" w:eastAsia="宋体" w:cs="Arial"/>
                <w:color w:val="FF0000"/>
                <w:sz w:val="24"/>
                <w:szCs w:val="24"/>
                <w:lang w:val="en-US" w:eastAsia="zh-CN"/>
              </w:rPr>
              <w:t>HANGZHOU HEYEAH TECHNOLOGY CO.,LTD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6319072"/>
      <w:bookmarkStart w:id="7" w:name="_Toc135639604"/>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r>
        <w:rPr>
          <w:rFonts w:hint="default" w:ascii="Arial" w:hAnsi="Arial" w:eastAsia="Times New Roman" w:cs="Arial"/>
          <w:szCs w:val="24"/>
          <w:lang w:val="en-US" w:eastAsia="en-GB"/>
        </w:rPr>
        <w:sym w:font="Wingdings" w:char="00FE"/>
      </w:r>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744"/>
        <w:gridCol w:w="189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7"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5"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938" w:type="pct"/>
          </w:tcPr>
          <w:p>
            <w:pPr>
              <w:spacing w:after="0" w:line="22" w:lineRule="atLeast"/>
              <w:rPr>
                <w:rFonts w:hint="default" w:eastAsia="宋体" w:cs="Arial"/>
                <w:i/>
                <w:iCs/>
                <w:szCs w:val="24"/>
                <w:lang w:val="en-US" w:eastAsia="zh-CN"/>
              </w:rPr>
            </w:pPr>
            <w:r>
              <w:rPr>
                <w:rFonts w:hint="eastAsia" w:eastAsia="宋体" w:cs="Arial"/>
                <w:i/>
                <w:iCs/>
                <w:szCs w:val="24"/>
                <w:lang w:val="en-US" w:eastAsia="zh-CN"/>
              </w:rPr>
              <w:t>Changhzou Heyeah Technology Co.,LTD</w:t>
            </w:r>
          </w:p>
        </w:tc>
        <w:tc>
          <w:tcPr>
            <w:tcW w:w="1017" w:type="pct"/>
          </w:tcPr>
          <w:p>
            <w:pPr>
              <w:spacing w:after="0" w:line="22" w:lineRule="atLeast"/>
              <w:rPr>
                <w:rFonts w:hint="default" w:eastAsia="宋体" w:cs="Arial"/>
                <w:szCs w:val="24"/>
                <w:lang w:val="en-US" w:eastAsia="zh-CN"/>
              </w:rPr>
            </w:pPr>
            <w:r>
              <w:rPr>
                <w:rFonts w:hint="eastAsia" w:eastAsia="宋体" w:cs="Arial"/>
                <w:szCs w:val="24"/>
                <w:lang w:val="en-US" w:eastAsia="zh-CN"/>
              </w:rPr>
              <w:t>CHAGNZHOU,CHINA</w:t>
            </w:r>
          </w:p>
        </w:tc>
        <w:tc>
          <w:tcPr>
            <w:tcW w:w="782" w:type="pct"/>
          </w:tcPr>
          <w:p>
            <w:pPr>
              <w:spacing w:after="0" w:line="22" w:lineRule="atLeast"/>
              <w:rPr>
                <w:rFonts w:hint="default" w:eastAsia="宋体" w:cs="Arial"/>
                <w:szCs w:val="24"/>
                <w:lang w:val="en-US" w:eastAsia="zh-CN"/>
              </w:rPr>
            </w:pPr>
            <w:r>
              <w:rPr>
                <w:rFonts w:hint="eastAsia" w:eastAsia="宋体" w:cs="Arial"/>
                <w:szCs w:val="24"/>
                <w:lang w:val="en-US" w:eastAsia="zh-CN"/>
              </w:rPr>
              <w:t>Production and sale of electric bike</w:t>
            </w: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hint="default" w:eastAsia="宋体" w:cs="Arial"/>
                <w:szCs w:val="24"/>
                <w:lang w:val="en-US" w:eastAsia="zh-CN"/>
              </w:rPr>
            </w:pPr>
            <w:r>
              <w:rPr>
                <w:rFonts w:hint="eastAsia" w:eastAsia="宋体" w:cs="Arial"/>
                <w:szCs w:val="24"/>
                <w:lang w:val="en-US" w:eastAsia="zh-CN"/>
              </w:rPr>
              <w:t>The respondent that provides this response</w:t>
            </w: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tcPr>
          <w:p>
            <w:pPr>
              <w:spacing w:after="0" w:line="22" w:lineRule="atLeast"/>
              <w:rPr>
                <w:rFonts w:eastAsia="Arial" w:cs="Arial"/>
                <w:i/>
                <w:iCs/>
                <w:szCs w:val="24"/>
              </w:rPr>
            </w:pPr>
          </w:p>
        </w:tc>
        <w:tc>
          <w:tcPr>
            <w:tcW w:w="1017"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1667" w:type="pct"/>
          </w:tcPr>
          <w:p>
            <w:pPr>
              <w:keepNext/>
              <w:keepLines/>
              <w:spacing w:after="0" w:line="22" w:lineRule="atLeast"/>
              <w:ind w:firstLine="720" w:firstLineChars="300"/>
              <w:rPr>
                <w:rFonts w:hint="default" w:eastAsia="宋体" w:cs="Arial"/>
                <w:szCs w:val="24"/>
                <w:u w:val="single"/>
                <w:lang w:val="en-US" w:eastAsia="zh-CN"/>
              </w:rPr>
            </w:pPr>
            <w:r>
              <w:rPr>
                <w:rFonts w:hint="eastAsia" w:eastAsia="宋体" w:cs="Arial"/>
                <w:szCs w:val="24"/>
                <w:u w:val="single"/>
                <w:lang w:val="en-US" w:eastAsia="zh-CN"/>
              </w:rPr>
              <w:t>5000-10000</w:t>
            </w:r>
          </w:p>
        </w:tc>
        <w:tc>
          <w:tcPr>
            <w:tcW w:w="166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 xml:space="preserve">  200-300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tcPr>
          <w:p>
            <w:pPr>
              <w:keepNext/>
              <w:keepLines/>
              <w:spacing w:after="0" w:line="22" w:lineRule="atLeast"/>
              <w:ind w:firstLine="720" w:firstLineChars="300"/>
              <w:rPr>
                <w:rFonts w:hint="default" w:eastAsia="宋体" w:cs="Arial"/>
                <w:szCs w:val="24"/>
                <w:u w:val="single"/>
                <w:lang w:val="en-US" w:eastAsia="zh-CN"/>
              </w:rPr>
            </w:pPr>
            <w:r>
              <w:rPr>
                <w:rFonts w:hint="eastAsia" w:eastAsia="宋体" w:cs="Arial"/>
                <w:szCs w:val="24"/>
                <w:u w:val="single"/>
                <w:lang w:val="en-US" w:eastAsia="zh-CN"/>
              </w:rPr>
              <w:t>35000-45000</w:t>
            </w:r>
          </w:p>
        </w:tc>
        <w:tc>
          <w:tcPr>
            <w:tcW w:w="166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1000-1300</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250-350</w:t>
            </w:r>
          </w:p>
        </w:tc>
        <w:tc>
          <w:tcPr>
            <w:tcW w:w="1033" w:type="pct"/>
          </w:tcPr>
          <w:p>
            <w:pPr>
              <w:keepNext/>
              <w:keepLines/>
              <w:spacing w:after="0" w:line="22" w:lineRule="atLeast"/>
              <w:ind w:firstLine="480" w:firstLineChars="200"/>
              <w:rPr>
                <w:rFonts w:cs="Arial"/>
                <w:szCs w:val="24"/>
                <w:u w:val="single"/>
              </w:rPr>
            </w:pPr>
            <w:r>
              <w:rPr>
                <w:rFonts w:hint="eastAsia" w:eastAsia="宋体" w:cs="Arial"/>
                <w:szCs w:val="24"/>
                <w:u w:val="single"/>
                <w:lang w:val="en-US" w:eastAsia="zh-CN"/>
              </w:rPr>
              <w:t>5-20</w:t>
            </w:r>
          </w:p>
        </w:tc>
        <w:tc>
          <w:tcPr>
            <w:tcW w:w="82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2500-4500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0-200</w:t>
            </w:r>
          </w:p>
        </w:tc>
        <w:tc>
          <w:tcPr>
            <w:tcW w:w="1033"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 xml:space="preserve">        0-5</w:t>
            </w:r>
          </w:p>
        </w:tc>
        <w:tc>
          <w:tcPr>
            <w:tcW w:w="82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0-200</w:t>
            </w:r>
          </w:p>
        </w:tc>
        <w:tc>
          <w:tcPr>
            <w:tcW w:w="1033"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 xml:space="preserve">        0-5</w:t>
            </w:r>
          </w:p>
        </w:tc>
        <w:tc>
          <w:tcPr>
            <w:tcW w:w="82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943" w:type="pct"/>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0-200</w:t>
            </w:r>
          </w:p>
        </w:tc>
        <w:tc>
          <w:tcPr>
            <w:tcW w:w="1033" w:type="pct"/>
          </w:tcPr>
          <w:p>
            <w:pPr>
              <w:keepNext/>
              <w:keepLines/>
              <w:spacing w:after="0" w:line="22" w:lineRule="atLeast"/>
              <w:ind w:firstLine="480" w:firstLineChars="200"/>
              <w:rPr>
                <w:rFonts w:hint="default" w:eastAsia="宋体" w:cs="Arial"/>
                <w:szCs w:val="24"/>
                <w:u w:val="single"/>
                <w:lang w:val="en-US" w:eastAsia="zh-CN"/>
              </w:rPr>
            </w:pPr>
            <w:r>
              <w:rPr>
                <w:rFonts w:hint="eastAsia" w:eastAsia="宋体" w:cs="Arial"/>
                <w:szCs w:val="24"/>
                <w:u w:val="single"/>
                <w:lang w:val="en-US" w:eastAsia="zh-CN"/>
              </w:rPr>
              <w:t>0-5</w:t>
            </w:r>
          </w:p>
        </w:tc>
        <w:tc>
          <w:tcPr>
            <w:tcW w:w="82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0-2500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Style w:val="38"/>
                                <w:rFonts w:ascii="Arial" w:hAnsi="Arial" w:cs="Arial"/>
                              </w:rPr>
                              <w:t>87 11 60 10 00</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cs="Arial"/>
                        </w:rPr>
                      </w:pPr>
                      <w:r>
                        <w:rPr>
                          <w:rStyle w:val="38"/>
                          <w:rFonts w:ascii="Arial" w:hAnsi="Arial" w:cs="Arial"/>
                        </w:rPr>
                        <w:t>87 11 60 10 00</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135639615"/>
      <w:bookmarkStart w:id="23" w:name="_Toc98925164"/>
      <w:bookmarkStart w:id="24" w:name="_Toc11043399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35639616"/>
      <w:bookmarkStart w:id="26" w:name="_Toc98925166"/>
      <w:bookmarkStart w:id="27" w:name="_Toc110433997"/>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135639617"/>
      <w:bookmarkStart w:id="29" w:name="_Toc98925167"/>
      <w:bookmarkStart w:id="30" w:name="_Toc110433998"/>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It looks good,if also contain some other parts like derailleur,shifter,display and so on will be perfect.</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It looks good,if also contain some other parts like derailleur,shifter,display and so on will be perfect.</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35639618"/>
      <w:bookmarkStart w:id="32" w:name="_Toc110434000"/>
      <w:bookmarkStart w:id="33" w:name="_Toc98925169"/>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10"/>
        <w:gridCol w:w="1626"/>
        <w:gridCol w:w="2190"/>
        <w:gridCol w:w="165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9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9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hint="default" w:eastAsia="宋体" w:cs="Arial"/>
                <w:sz w:val="22"/>
                <w:szCs w:val="24"/>
                <w:lang w:val="en-US" w:eastAsia="zh-CN"/>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hint="default" w:eastAsia="宋体" w:cs="Arial"/>
                <w:sz w:val="22"/>
                <w:szCs w:val="24"/>
                <w:lang w:val="en-US" w:eastAsia="zh-CN"/>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hint="eastAsia" w:eastAsia="宋体" w:cs="Arial"/>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 xml:space="preserve"> None</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 xml:space="preserve"> None</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OWYyY2Y2ZGVmMzRjNTM0YmU2OTVmOTc0NmVlNmM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29AA0C94"/>
    <w:rsid w:val="484B99C3"/>
    <w:rsid w:val="67C9B078"/>
    <w:rsid w:val="6E9451F1"/>
    <w:rsid w:val="6FE15F3E"/>
    <w:rsid w:val="72326272"/>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DengXi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glossaryDocument" Target="glossary/document.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5E8F58F2FD4B20A31C16B6ADF63D6F"/>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30F72-7417-48E6-AE0C-1B81CF923EE9}">
  <ds:schemaRefs/>
</ds:datastoreItem>
</file>

<file path=customXml/itemProps3.xml><?xml version="1.0" encoding="utf-8"?>
<ds:datastoreItem xmlns:ds="http://schemas.openxmlformats.org/officeDocument/2006/customXml" ds:itemID="{62F61784-554A-41A2-A434-F1B5B8105136}"/>
</file>

<file path=customXml/itemProps4.xml><?xml version="1.0" encoding="utf-8"?>
<ds:datastoreItem xmlns:ds="http://schemas.openxmlformats.org/officeDocument/2006/customXml" ds:itemID="{77031060-4A8E-4745-8E93-1055D6FF401F}">
  <ds:schemaRefs/>
</ds:datastoreItem>
</file>

<file path=customXml/itemProps5.xml><?xml version="1.0" encoding="utf-8"?>
<ds:datastoreItem xmlns:ds="http://schemas.openxmlformats.org/officeDocument/2006/customXml" ds:itemID="{FB7B7C74-D0C3-433A-8D0D-DB2DE94CCECD}">
  <ds:schemaRefs/>
</ds:datastoreItem>
</file>

<file path=docProps/app.xml><?xml version="1.0" encoding="utf-8"?>
<Properties xmlns="http://schemas.openxmlformats.org/officeDocument/2006/extended-properties" xmlns:vt="http://schemas.openxmlformats.org/officeDocument/2006/docPropsVTypes">
  <Template>Normal</Template>
  <Pages>15</Pages>
  <Words>2127</Words>
  <Characters>11230</Characters>
  <Lines>111</Lines>
  <Paragraphs>31</Paragraphs>
  <TotalTime>32</TotalTime>
  <ScaleCrop>false</ScaleCrop>
  <LinksUpToDate>false</LinksUpToDate>
  <CharactersWithSpaces>13194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2023-06-28T01:37:57Z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100154E7CF134D3B9AE49C582A3B031C_12</vt:lpwstr>
  </property>
</Properties>
</file>