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2E05D" w14:textId="77777777" w:rsidR="00C348D8" w:rsidRDefault="00000000">
      <w:pPr>
        <w:spacing w:line="22" w:lineRule="atLeast"/>
        <w:jc w:val="center"/>
        <w:rPr>
          <w:rFonts w:eastAsia="Arial" w:cs="Arial"/>
          <w:b/>
          <w:bCs/>
          <w:sz w:val="36"/>
          <w:szCs w:val="32"/>
        </w:rPr>
      </w:pPr>
      <w:r>
        <w:rPr>
          <w:rFonts w:eastAsia="Arial" w:cs="Arial"/>
          <w:b/>
          <w:bCs/>
          <w:sz w:val="36"/>
          <w:szCs w:val="32"/>
        </w:rPr>
        <w:t>Registration Form</w:t>
      </w:r>
    </w:p>
    <w:p w14:paraId="07462D73" w14:textId="77777777" w:rsidR="00C348D8" w:rsidRDefault="00000000">
      <w:pPr>
        <w:spacing w:line="22" w:lineRule="atLeast"/>
        <w:jc w:val="center"/>
        <w:rPr>
          <w:rFonts w:eastAsia="Arial" w:cs="Arial"/>
          <w:b/>
          <w:bCs/>
          <w:szCs w:val="24"/>
        </w:rPr>
      </w:pPr>
      <w:r>
        <w:rPr>
          <w:rFonts w:eastAsia="Arial" w:cs="Arial"/>
          <w:b/>
          <w:bCs/>
          <w:szCs w:val="24"/>
        </w:rPr>
        <w:t>This form is for other Interested Parties and Contributors, including foreign governments, trades or business associations and others wanting to participate in the investigation. Please see party type below.</w:t>
      </w:r>
    </w:p>
    <w:p w14:paraId="2A4A4A34" w14:textId="77777777" w:rsidR="00C348D8" w:rsidRDefault="00000000">
      <w:pPr>
        <w:spacing w:line="22" w:lineRule="atLeast"/>
        <w:jc w:val="center"/>
      </w:pPr>
      <w:r>
        <w:rPr>
          <w:rFonts w:eastAsia="Arial" w:cs="Arial"/>
          <w:b/>
          <w:szCs w:val="24"/>
        </w:rPr>
        <w:t xml:space="preserve">This form is not to be completed by UK Producers, Importers or Overseas Exporters of the goods concerned – please see the relevant </w:t>
      </w:r>
      <w:r>
        <w:rPr>
          <w:rFonts w:eastAsia="Times New Roman" w:cs="Arial"/>
          <w:b/>
          <w:szCs w:val="24"/>
          <w:lang w:eastAsia="en-GB"/>
        </w:rPr>
        <w:t>Registration and Pre-Sampling Questionnaire.</w:t>
      </w:r>
    </w:p>
    <w:p w14:paraId="7F0D73EB" w14:textId="77777777" w:rsidR="00C348D8" w:rsidRDefault="00C348D8">
      <w:pPr>
        <w:tabs>
          <w:tab w:val="left" w:pos="2130"/>
        </w:tabs>
        <w:spacing w:line="22" w:lineRule="atLeast"/>
        <w:jc w:val="center"/>
        <w:rPr>
          <w:rFonts w:cs="Arial"/>
          <w:b/>
          <w:sz w:val="36"/>
          <w:szCs w:val="36"/>
        </w:rPr>
      </w:pPr>
    </w:p>
    <w:p w14:paraId="42250611" w14:textId="77777777" w:rsidR="00C348D8" w:rsidRDefault="00000000">
      <w:pPr>
        <w:tabs>
          <w:tab w:val="left" w:pos="2130"/>
        </w:tabs>
        <w:spacing w:line="22" w:lineRule="atLeast"/>
        <w:jc w:val="center"/>
      </w:pPr>
      <w:r>
        <w:rPr>
          <w:rFonts w:cs="Arial"/>
          <w:b/>
          <w:sz w:val="36"/>
          <w:szCs w:val="36"/>
        </w:rPr>
        <w:t>Anti-dumping Investigation</w:t>
      </w:r>
    </w:p>
    <w:p w14:paraId="21669238" w14:textId="77777777" w:rsidR="00C348D8" w:rsidRDefault="00C348D8">
      <w:pPr>
        <w:spacing w:line="22" w:lineRule="atLeast"/>
        <w:jc w:val="center"/>
      </w:pPr>
    </w:p>
    <w:p w14:paraId="7704323A" w14:textId="77777777" w:rsidR="00C348D8" w:rsidRDefault="00000000">
      <w:pPr>
        <w:tabs>
          <w:tab w:val="left" w:pos="2130"/>
        </w:tabs>
        <w:spacing w:line="22" w:lineRule="atLeast"/>
        <w:jc w:val="center"/>
      </w:pPr>
      <w:r>
        <w:rPr>
          <w:rFonts w:eastAsia="Arial" w:cs="Arial"/>
          <w:b/>
          <w:bCs/>
          <w:sz w:val="36"/>
          <w:szCs w:val="32"/>
        </w:rPr>
        <w:t>Case AD0058: Biodiesel exported from the People’s Republic of China</w:t>
      </w:r>
    </w:p>
    <w:p w14:paraId="7707CAA3" w14:textId="77777777" w:rsidR="00C348D8" w:rsidRDefault="00C348D8">
      <w:pPr>
        <w:tabs>
          <w:tab w:val="left" w:pos="2130"/>
        </w:tabs>
        <w:spacing w:line="22" w:lineRule="atLeast"/>
        <w:jc w:val="center"/>
        <w:rPr>
          <w:rFonts w:eastAsia="Arial" w:cs="Arial"/>
          <w:b/>
          <w:bCs/>
          <w:sz w:val="32"/>
          <w:szCs w:val="32"/>
        </w:rPr>
      </w:pPr>
    </w:p>
    <w:tbl>
      <w:tblPr>
        <w:tblW w:w="9598" w:type="dxa"/>
        <w:tblCellMar>
          <w:left w:w="10" w:type="dxa"/>
          <w:right w:w="10" w:type="dxa"/>
        </w:tblCellMar>
        <w:tblLook w:val="0000" w:firstRow="0" w:lastRow="0" w:firstColumn="0" w:lastColumn="0" w:noHBand="0" w:noVBand="0"/>
      </w:tblPr>
      <w:tblGrid>
        <w:gridCol w:w="3960"/>
        <w:gridCol w:w="536"/>
        <w:gridCol w:w="5076"/>
        <w:gridCol w:w="26"/>
      </w:tblGrid>
      <w:tr w:rsidR="00C348D8" w14:paraId="6170F0B7"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00F5BAE4" w14:textId="77777777" w:rsidR="00C348D8" w:rsidRDefault="00000000">
            <w:pPr>
              <w:tabs>
                <w:tab w:val="left" w:pos="2130"/>
              </w:tabs>
              <w:spacing w:line="22" w:lineRule="atLeast"/>
            </w:pPr>
            <w:r>
              <w:rPr>
                <w:rFonts w:eastAsia="Arial" w:cs="Arial"/>
                <w:b/>
                <w:bCs/>
                <w:szCs w:val="24"/>
              </w:rPr>
              <w:t>Period of Investigation:</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F710D" w14:textId="77777777" w:rsidR="00C348D8" w:rsidRDefault="00000000">
            <w:pPr>
              <w:tabs>
                <w:tab w:val="left" w:pos="2130"/>
              </w:tabs>
              <w:spacing w:line="22" w:lineRule="atLeast"/>
            </w:pPr>
            <w:r>
              <w:rPr>
                <w:rStyle w:val="normaltextrun"/>
                <w:rFonts w:cs="Arial"/>
                <w:shd w:val="clear" w:color="auto" w:fill="FFFFFF"/>
              </w:rPr>
              <w:t>1 April 2023 to 31 March 2024</w:t>
            </w:r>
          </w:p>
        </w:tc>
      </w:tr>
      <w:tr w:rsidR="00C348D8" w14:paraId="4A827D3B" w14:textId="77777777">
        <w:tblPrEx>
          <w:tblCellMar>
            <w:top w:w="0" w:type="dxa"/>
            <w:bottom w:w="0" w:type="dxa"/>
          </w:tblCellMar>
        </w:tblPrEx>
        <w:tc>
          <w:tcPr>
            <w:tcW w:w="3960" w:type="dxa"/>
            <w:shd w:val="clear" w:color="auto" w:fill="auto"/>
            <w:tcMar>
              <w:top w:w="0" w:type="dxa"/>
              <w:left w:w="108" w:type="dxa"/>
              <w:bottom w:w="0" w:type="dxa"/>
              <w:right w:w="108" w:type="dxa"/>
            </w:tcMar>
          </w:tcPr>
          <w:p w14:paraId="44CF7E90" w14:textId="77777777" w:rsidR="00C348D8" w:rsidRDefault="00C348D8">
            <w:pPr>
              <w:tabs>
                <w:tab w:val="left" w:pos="2130"/>
              </w:tabs>
              <w:spacing w:line="22" w:lineRule="atLeast"/>
              <w:rPr>
                <w:rFonts w:eastAsia="Arial" w:cs="Arial"/>
                <w:b/>
                <w:bCs/>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67372B3C" w14:textId="77777777" w:rsidR="00C348D8" w:rsidRDefault="00C348D8">
            <w:pPr>
              <w:tabs>
                <w:tab w:val="left" w:pos="2130"/>
              </w:tabs>
              <w:spacing w:line="22" w:lineRule="atLeast"/>
              <w:rPr>
                <w:rFonts w:eastAsia="Arial" w:cs="Arial"/>
                <w:szCs w:val="24"/>
              </w:rPr>
            </w:pPr>
          </w:p>
        </w:tc>
      </w:tr>
      <w:tr w:rsidR="00C348D8" w14:paraId="45FD76A1"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0B0B1182" w14:textId="77777777" w:rsidR="00C348D8" w:rsidRDefault="00000000">
            <w:pPr>
              <w:tabs>
                <w:tab w:val="left" w:pos="2130"/>
              </w:tabs>
              <w:spacing w:line="22" w:lineRule="atLeast"/>
            </w:pPr>
            <w:r>
              <w:rPr>
                <w:rFonts w:eastAsia="Arial" w:cs="Arial"/>
                <w:b/>
                <w:bCs/>
                <w:szCs w:val="24"/>
              </w:rPr>
              <w:t>Injury Period:</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B703C" w14:textId="77777777" w:rsidR="00C348D8" w:rsidRDefault="00000000">
            <w:pPr>
              <w:tabs>
                <w:tab w:val="left" w:pos="2130"/>
              </w:tabs>
              <w:spacing w:line="22" w:lineRule="atLeast"/>
            </w:pPr>
            <w:r>
              <w:rPr>
                <w:rStyle w:val="normaltextrun"/>
                <w:rFonts w:cs="Arial"/>
                <w:shd w:val="clear" w:color="auto" w:fill="FFFFFF"/>
              </w:rPr>
              <w:t>1 April 2020 to 31 March 2024</w:t>
            </w:r>
          </w:p>
        </w:tc>
      </w:tr>
      <w:tr w:rsidR="00C348D8" w14:paraId="48C61BC1" w14:textId="77777777">
        <w:tblPrEx>
          <w:tblCellMar>
            <w:top w:w="0" w:type="dxa"/>
            <w:bottom w:w="0" w:type="dxa"/>
          </w:tblCellMar>
        </w:tblPrEx>
        <w:trPr>
          <w:trHeight w:val="50"/>
        </w:trPr>
        <w:tc>
          <w:tcPr>
            <w:tcW w:w="3960" w:type="dxa"/>
            <w:shd w:val="clear" w:color="auto" w:fill="auto"/>
            <w:tcMar>
              <w:top w:w="0" w:type="dxa"/>
              <w:left w:w="108" w:type="dxa"/>
              <w:bottom w:w="0" w:type="dxa"/>
              <w:right w:w="108" w:type="dxa"/>
            </w:tcMar>
          </w:tcPr>
          <w:p w14:paraId="27BCC73F" w14:textId="77777777" w:rsidR="00C348D8" w:rsidRDefault="00C348D8">
            <w:pPr>
              <w:tabs>
                <w:tab w:val="left" w:pos="2130"/>
              </w:tabs>
              <w:spacing w:line="22" w:lineRule="atLeast"/>
              <w:rPr>
                <w:rFonts w:eastAsia="Arial" w:cs="Arial"/>
                <w:b/>
                <w:bCs/>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10347DAD" w14:textId="77777777" w:rsidR="00C348D8" w:rsidRDefault="00C348D8">
            <w:pPr>
              <w:tabs>
                <w:tab w:val="left" w:pos="2130"/>
              </w:tabs>
              <w:spacing w:line="22" w:lineRule="atLeast"/>
              <w:rPr>
                <w:rFonts w:eastAsia="Arial" w:cs="Arial"/>
                <w:szCs w:val="24"/>
              </w:rPr>
            </w:pPr>
          </w:p>
        </w:tc>
      </w:tr>
      <w:tr w:rsidR="00C348D8" w14:paraId="3812542D"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7323A702" w14:textId="77777777" w:rsidR="00C348D8" w:rsidRDefault="00000000">
            <w:pPr>
              <w:tabs>
                <w:tab w:val="left" w:pos="2130"/>
              </w:tabs>
              <w:spacing w:line="22" w:lineRule="atLeast"/>
            </w:pPr>
            <w:r>
              <w:rPr>
                <w:rFonts w:eastAsia="Arial" w:cs="Arial"/>
                <w:b/>
                <w:bCs/>
                <w:szCs w:val="24"/>
              </w:rPr>
              <w:t>Deadline for response:</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AE725" w14:textId="77777777" w:rsidR="00C348D8" w:rsidRDefault="00000000">
            <w:pPr>
              <w:tabs>
                <w:tab w:val="left" w:pos="2130"/>
              </w:tabs>
              <w:spacing w:line="22" w:lineRule="atLeast"/>
            </w:pPr>
            <w:r>
              <w:rPr>
                <w:rFonts w:eastAsia="Arial"/>
              </w:rPr>
              <w:t>24 June 2024</w:t>
            </w:r>
          </w:p>
        </w:tc>
      </w:tr>
      <w:tr w:rsidR="00C348D8" w14:paraId="7419578C" w14:textId="77777777">
        <w:tblPrEx>
          <w:tblCellMar>
            <w:top w:w="0" w:type="dxa"/>
            <w:bottom w:w="0" w:type="dxa"/>
          </w:tblCellMar>
        </w:tblPrEx>
        <w:tc>
          <w:tcPr>
            <w:tcW w:w="3960" w:type="dxa"/>
            <w:shd w:val="clear" w:color="auto" w:fill="auto"/>
            <w:tcMar>
              <w:top w:w="0" w:type="dxa"/>
              <w:left w:w="108" w:type="dxa"/>
              <w:bottom w:w="0" w:type="dxa"/>
              <w:right w:w="108" w:type="dxa"/>
            </w:tcMar>
          </w:tcPr>
          <w:p w14:paraId="3234251B" w14:textId="77777777" w:rsidR="00C348D8" w:rsidRDefault="00C348D8">
            <w:pPr>
              <w:tabs>
                <w:tab w:val="left" w:pos="2130"/>
              </w:tabs>
              <w:spacing w:line="22" w:lineRule="atLeast"/>
              <w:rPr>
                <w:rFonts w:eastAsia="Arial" w:cs="Arial"/>
                <w:b/>
                <w:bCs/>
                <w:color w:val="FF0000"/>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15803FB9" w14:textId="77777777" w:rsidR="00C348D8" w:rsidRDefault="00C348D8">
            <w:pPr>
              <w:tabs>
                <w:tab w:val="left" w:pos="2130"/>
              </w:tabs>
              <w:spacing w:line="22" w:lineRule="atLeast"/>
              <w:rPr>
                <w:rFonts w:eastAsia="Arial" w:cs="Arial"/>
                <w:szCs w:val="24"/>
              </w:rPr>
            </w:pPr>
          </w:p>
        </w:tc>
      </w:tr>
      <w:tr w:rsidR="00C348D8" w14:paraId="1C79472F"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0B4090AC" w14:textId="77777777" w:rsidR="00C348D8" w:rsidRDefault="00000000">
            <w:pPr>
              <w:tabs>
                <w:tab w:val="left" w:pos="2130"/>
              </w:tabs>
              <w:spacing w:line="22" w:lineRule="atLeast"/>
              <w:rPr>
                <w:rFonts w:eastAsia="Arial" w:cs="Arial"/>
                <w:b/>
                <w:bCs/>
                <w:szCs w:val="24"/>
              </w:rPr>
            </w:pPr>
            <w:r>
              <w:rPr>
                <w:rFonts w:eastAsia="Arial" w:cs="Arial"/>
                <w:b/>
                <w:bCs/>
                <w:szCs w:val="24"/>
              </w:rPr>
              <w:t>Case Team Contact:</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ABEDF" w14:textId="77777777" w:rsidR="00C348D8" w:rsidRDefault="00000000">
            <w:pPr>
              <w:tabs>
                <w:tab w:val="left" w:pos="2130"/>
              </w:tabs>
              <w:spacing w:line="22" w:lineRule="atLeast"/>
            </w:pPr>
            <w:hyperlink r:id="rId8" w:history="1">
              <w:r>
                <w:rPr>
                  <w:rStyle w:val="Hyperlink"/>
                  <w:rFonts w:eastAsia="Arial" w:cs="Arial"/>
                </w:rPr>
                <w:t>AD0058@traderemedies.gov.uk</w:t>
              </w:r>
            </w:hyperlink>
          </w:p>
        </w:tc>
      </w:tr>
      <w:tr w:rsidR="00C348D8" w14:paraId="6F18A7EB" w14:textId="77777777">
        <w:tblPrEx>
          <w:tblCellMar>
            <w:top w:w="0" w:type="dxa"/>
            <w:bottom w:w="0" w:type="dxa"/>
          </w:tblCellMar>
        </w:tblPrEx>
        <w:tc>
          <w:tcPr>
            <w:tcW w:w="3960" w:type="dxa"/>
            <w:shd w:val="clear" w:color="auto" w:fill="auto"/>
            <w:tcMar>
              <w:top w:w="0" w:type="dxa"/>
              <w:left w:w="108" w:type="dxa"/>
              <w:bottom w:w="0" w:type="dxa"/>
              <w:right w:w="108" w:type="dxa"/>
            </w:tcMar>
          </w:tcPr>
          <w:p w14:paraId="73AC8534" w14:textId="77777777" w:rsidR="00C348D8" w:rsidRDefault="00C348D8">
            <w:pPr>
              <w:tabs>
                <w:tab w:val="left" w:pos="2130"/>
              </w:tabs>
              <w:spacing w:line="22" w:lineRule="atLeast"/>
              <w:rPr>
                <w:rFonts w:eastAsia="Arial" w:cs="Arial"/>
                <w:b/>
                <w:bCs/>
                <w:color w:val="FF0000"/>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3C7EFF65" w14:textId="77777777" w:rsidR="00C348D8" w:rsidRDefault="00C348D8">
            <w:pPr>
              <w:tabs>
                <w:tab w:val="left" w:pos="2130"/>
              </w:tabs>
              <w:spacing w:line="22" w:lineRule="atLeast"/>
              <w:rPr>
                <w:rFonts w:eastAsia="Arial" w:cs="Arial"/>
                <w:color w:val="FF0000"/>
                <w:szCs w:val="24"/>
              </w:rPr>
            </w:pPr>
          </w:p>
        </w:tc>
      </w:tr>
      <w:tr w:rsidR="00C348D8" w14:paraId="738951D6"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1FEEE799" w14:textId="77777777" w:rsidR="00C348D8" w:rsidRDefault="00000000">
            <w:pPr>
              <w:tabs>
                <w:tab w:val="left" w:pos="2130"/>
              </w:tabs>
              <w:spacing w:line="22" w:lineRule="atLeast"/>
            </w:pPr>
            <w:r>
              <w:rPr>
                <w:rFonts w:eastAsia="Arial" w:cs="Arial"/>
                <w:b/>
                <w:bCs/>
                <w:szCs w:val="24"/>
              </w:rPr>
              <w:t>Completed on behalf of:</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78A90" w14:textId="77777777" w:rsidR="00C348D8" w:rsidRDefault="00000000">
            <w:pPr>
              <w:tabs>
                <w:tab w:val="left" w:pos="2130"/>
              </w:tabs>
              <w:spacing w:line="22" w:lineRule="atLeast"/>
            </w:pPr>
            <w:r>
              <w:rPr>
                <w:rStyle w:val="PlaceholderText"/>
              </w:rPr>
              <w:t>Click or tap here to enter text.</w:t>
            </w:r>
          </w:p>
          <w:p w14:paraId="0CCB6FB6" w14:textId="77777777" w:rsidR="00C348D8" w:rsidRDefault="00C348D8">
            <w:pPr>
              <w:tabs>
                <w:tab w:val="left" w:pos="2130"/>
              </w:tabs>
              <w:spacing w:line="22" w:lineRule="atLeast"/>
              <w:rPr>
                <w:rFonts w:eastAsia="Arial" w:cs="Arial"/>
                <w:color w:val="FF0000"/>
                <w:szCs w:val="24"/>
              </w:rPr>
            </w:pPr>
          </w:p>
        </w:tc>
      </w:tr>
      <w:tr w:rsidR="00C348D8" w14:paraId="03D868D7" w14:textId="77777777">
        <w:tblPrEx>
          <w:tblCellMar>
            <w:top w:w="0" w:type="dxa"/>
            <w:bottom w:w="0" w:type="dxa"/>
          </w:tblCellMar>
        </w:tblPrEx>
        <w:tc>
          <w:tcPr>
            <w:tcW w:w="3960" w:type="dxa"/>
            <w:tcBorders>
              <w:right w:val="single" w:sz="4" w:space="0" w:color="FFFFFF"/>
            </w:tcBorders>
            <w:shd w:val="clear" w:color="auto" w:fill="auto"/>
            <w:tcMar>
              <w:top w:w="0" w:type="dxa"/>
              <w:left w:w="108" w:type="dxa"/>
              <w:bottom w:w="0" w:type="dxa"/>
              <w:right w:w="108" w:type="dxa"/>
            </w:tcMar>
          </w:tcPr>
          <w:p w14:paraId="76156BD6" w14:textId="77777777" w:rsidR="00C348D8" w:rsidRDefault="00C348D8">
            <w:pPr>
              <w:tabs>
                <w:tab w:val="left" w:pos="2130"/>
              </w:tabs>
              <w:spacing w:line="22" w:lineRule="atLeast"/>
              <w:rPr>
                <w:rFonts w:eastAsia="Arial" w:cs="Arial"/>
                <w:b/>
                <w:bCs/>
                <w:color w:val="FF0000"/>
                <w:szCs w:val="24"/>
              </w:rPr>
            </w:pPr>
          </w:p>
        </w:tc>
        <w:tc>
          <w:tcPr>
            <w:tcW w:w="5638"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2ED6DC91" w14:textId="77777777" w:rsidR="00C348D8" w:rsidRDefault="00C348D8">
            <w:pPr>
              <w:tabs>
                <w:tab w:val="left" w:pos="2130"/>
              </w:tabs>
              <w:spacing w:line="22" w:lineRule="atLeast"/>
              <w:rPr>
                <w:rFonts w:eastAsia="Arial" w:cs="Arial"/>
                <w:b/>
                <w:bCs/>
                <w:color w:val="FF0000"/>
                <w:szCs w:val="24"/>
              </w:rPr>
            </w:pPr>
          </w:p>
        </w:tc>
      </w:tr>
      <w:tr w:rsidR="00C348D8" w14:paraId="6AA948C5"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203AC27F" w14:textId="77777777" w:rsidR="00C348D8" w:rsidRDefault="00000000">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09443312" w14:textId="52EDF534" w:rsidR="00C348D8" w:rsidRDefault="001C3D16">
            <w:pPr>
              <w:tabs>
                <w:tab w:val="left" w:pos="2130"/>
              </w:tabs>
              <w:spacing w:line="22" w:lineRule="atLeast"/>
            </w:pPr>
            <w:r>
              <w:rPr>
                <w:rFonts w:ascii="MS Gothic" w:eastAsia="MS Gothic" w:hAnsi="MS Gothic" w:cs="Arial"/>
                <w:szCs w:val="24"/>
              </w:rPr>
              <w:t>X</w:t>
            </w:r>
            <w:r w:rsidR="00000000">
              <w:rPr>
                <w:rFonts w:eastAsia="Arial" w:cs="Arial"/>
                <w:szCs w:val="24"/>
              </w:rPr>
              <w:t xml:space="preserve">  </w:t>
            </w:r>
          </w:p>
        </w:tc>
        <w:tc>
          <w:tcPr>
            <w:tcW w:w="5076"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867DE1B" w14:textId="77777777" w:rsidR="00C348D8" w:rsidRDefault="00000000">
            <w:pPr>
              <w:tabs>
                <w:tab w:val="left" w:pos="2130"/>
              </w:tabs>
              <w:spacing w:line="22" w:lineRule="atLeast"/>
            </w:pPr>
            <w:r>
              <w:rPr>
                <w:rFonts w:eastAsia="Arial" w:cs="Arial"/>
                <w:szCs w:val="24"/>
              </w:rPr>
              <w:t>C</w:t>
            </w:r>
            <w:r>
              <w:rPr>
                <w:rFonts w:eastAsia="Yu Mincho" w:cs="Arial"/>
                <w:szCs w:val="24"/>
              </w:rPr>
              <w:t>ontributor</w:t>
            </w:r>
          </w:p>
        </w:tc>
        <w:tc>
          <w:tcPr>
            <w:tcW w:w="26" w:type="dxa"/>
            <w:shd w:val="clear" w:color="auto" w:fill="auto"/>
            <w:tcMar>
              <w:top w:w="0" w:type="dxa"/>
              <w:left w:w="10" w:type="dxa"/>
              <w:bottom w:w="0" w:type="dxa"/>
              <w:right w:w="10" w:type="dxa"/>
            </w:tcMar>
          </w:tcPr>
          <w:p w14:paraId="63C07DDC" w14:textId="77777777" w:rsidR="00C348D8" w:rsidRDefault="00C348D8">
            <w:pPr>
              <w:tabs>
                <w:tab w:val="left" w:pos="2130"/>
              </w:tabs>
              <w:spacing w:line="22" w:lineRule="atLeast"/>
            </w:pPr>
          </w:p>
        </w:tc>
      </w:tr>
      <w:tr w:rsidR="00C348D8" w14:paraId="396B6F0A"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7B59A453" w14:textId="77777777" w:rsidR="00C348D8" w:rsidRDefault="00C348D8">
            <w:pPr>
              <w:tabs>
                <w:tab w:val="left" w:pos="2130"/>
              </w:tabs>
              <w:spacing w:line="22" w:lineRule="atLeast"/>
              <w:rPr>
                <w:rFonts w:eastAsia="Arial" w:cs="Arial"/>
                <w:b/>
                <w:bCs/>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39020089" w14:textId="77777777" w:rsidR="00C348D8" w:rsidRDefault="00000000">
            <w:pPr>
              <w:tabs>
                <w:tab w:val="left" w:pos="2130"/>
              </w:tabs>
              <w:spacing w:line="22" w:lineRule="atLeast"/>
            </w:pPr>
            <w:r>
              <w:rPr>
                <w:rFonts w:ascii="MS Gothic" w:eastAsia="MS Gothic" w:hAnsi="MS Gothic" w:cs="Arial"/>
                <w:szCs w:val="24"/>
              </w:rPr>
              <w:t>☐</w:t>
            </w:r>
            <w:r>
              <w:rPr>
                <w:rFonts w:eastAsia="Arial" w:cs="Arial"/>
                <w:szCs w:val="24"/>
              </w:rPr>
              <w:t xml:space="preserve">   </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CDB4F54" w14:textId="77777777" w:rsidR="00C348D8" w:rsidRDefault="00000000">
            <w:pPr>
              <w:tabs>
                <w:tab w:val="left" w:pos="2130"/>
              </w:tabs>
              <w:spacing w:line="22" w:lineRule="atLeast"/>
            </w:pPr>
            <w:r>
              <w:rPr>
                <w:rFonts w:eastAsia="Yu Mincho" w:cs="Arial"/>
                <w:szCs w:val="24"/>
              </w:rPr>
              <w:t>Government of relevant foreign country or territory (</w:t>
            </w:r>
            <w:r>
              <w:rPr>
                <w:rFonts w:eastAsia="Yu Mincho" w:cs="Arial"/>
                <w:i/>
                <w:iCs/>
                <w:szCs w:val="24"/>
              </w:rPr>
              <w:t>Interested Party</w:t>
            </w:r>
            <w:r>
              <w:rPr>
                <w:rFonts w:eastAsia="Yu Mincho" w:cs="Arial"/>
                <w:szCs w:val="24"/>
              </w:rPr>
              <w:t>)</w:t>
            </w:r>
          </w:p>
        </w:tc>
        <w:tc>
          <w:tcPr>
            <w:tcW w:w="26" w:type="dxa"/>
            <w:shd w:val="clear" w:color="auto" w:fill="auto"/>
            <w:tcMar>
              <w:top w:w="0" w:type="dxa"/>
              <w:left w:w="10" w:type="dxa"/>
              <w:bottom w:w="0" w:type="dxa"/>
              <w:right w:w="10" w:type="dxa"/>
            </w:tcMar>
          </w:tcPr>
          <w:p w14:paraId="247F0EE7" w14:textId="77777777" w:rsidR="00C348D8" w:rsidRDefault="00C348D8">
            <w:pPr>
              <w:tabs>
                <w:tab w:val="left" w:pos="2130"/>
              </w:tabs>
              <w:spacing w:line="22" w:lineRule="atLeast"/>
            </w:pPr>
          </w:p>
        </w:tc>
      </w:tr>
      <w:tr w:rsidR="00C348D8" w14:paraId="2A1D81F8"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698F922B" w14:textId="77777777" w:rsidR="00C348D8" w:rsidRDefault="00C348D8">
            <w:pPr>
              <w:tabs>
                <w:tab w:val="left" w:pos="2130"/>
              </w:tabs>
              <w:spacing w:line="22" w:lineRule="atLeast"/>
              <w:rPr>
                <w:rFonts w:eastAsia="Arial" w:cs="Arial"/>
                <w:b/>
                <w:bCs/>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43E77D06" w14:textId="77777777" w:rsidR="00C348D8" w:rsidRDefault="00000000">
            <w:pPr>
              <w:tabs>
                <w:tab w:val="left" w:pos="2130"/>
              </w:tabs>
              <w:spacing w:line="22" w:lineRule="atLeast"/>
            </w:pPr>
            <w:r>
              <w:rPr>
                <w:rFonts w:ascii="MS Gothic" w:eastAsia="MS Gothic" w:hAnsi="MS Gothic" w:cs="Arial"/>
                <w:szCs w:val="24"/>
              </w:rPr>
              <w:t>☐</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22B41D42" w14:textId="77777777" w:rsidR="00C348D8" w:rsidRDefault="00000000">
            <w:pPr>
              <w:tabs>
                <w:tab w:val="left" w:pos="2130"/>
              </w:tabs>
              <w:spacing w:line="22" w:lineRule="atLeast"/>
            </w:pPr>
            <w:r>
              <w:rPr>
                <w:rFonts w:eastAsia="Yu Mincho" w:cs="Arial"/>
                <w:szCs w:val="24"/>
              </w:rPr>
              <w:t>Trade or business association of overseas producers, overseas exporters or importers of the goods concerned (</w:t>
            </w:r>
            <w:r>
              <w:rPr>
                <w:rFonts w:eastAsia="Yu Mincho" w:cs="Arial"/>
                <w:i/>
                <w:iCs/>
                <w:szCs w:val="24"/>
              </w:rPr>
              <w:t>Interested Party</w:t>
            </w:r>
            <w:r>
              <w:rPr>
                <w:rFonts w:eastAsia="Yu Mincho" w:cs="Arial"/>
                <w:szCs w:val="24"/>
              </w:rPr>
              <w:t>)</w:t>
            </w:r>
          </w:p>
        </w:tc>
        <w:tc>
          <w:tcPr>
            <w:tcW w:w="26" w:type="dxa"/>
            <w:shd w:val="clear" w:color="auto" w:fill="auto"/>
            <w:tcMar>
              <w:top w:w="0" w:type="dxa"/>
              <w:left w:w="10" w:type="dxa"/>
              <w:bottom w:w="0" w:type="dxa"/>
              <w:right w:w="10" w:type="dxa"/>
            </w:tcMar>
          </w:tcPr>
          <w:p w14:paraId="72D32ACA" w14:textId="77777777" w:rsidR="00C348D8" w:rsidRDefault="00C348D8">
            <w:pPr>
              <w:tabs>
                <w:tab w:val="left" w:pos="2130"/>
              </w:tabs>
              <w:spacing w:line="22" w:lineRule="atLeast"/>
            </w:pPr>
          </w:p>
        </w:tc>
      </w:tr>
      <w:tr w:rsidR="00C348D8" w14:paraId="648CF60D" w14:textId="77777777">
        <w:tblPrEx>
          <w:tblCellMar>
            <w:top w:w="0" w:type="dxa"/>
            <w:bottom w:w="0" w:type="dxa"/>
          </w:tblCellMar>
        </w:tblPrEx>
        <w:tc>
          <w:tcPr>
            <w:tcW w:w="3960" w:type="dxa"/>
            <w:tcBorders>
              <w:right w:val="single" w:sz="4" w:space="0" w:color="000000"/>
            </w:tcBorders>
            <w:shd w:val="clear" w:color="auto" w:fill="auto"/>
            <w:tcMar>
              <w:top w:w="0" w:type="dxa"/>
              <w:left w:w="108" w:type="dxa"/>
              <w:bottom w:w="0" w:type="dxa"/>
              <w:right w:w="108" w:type="dxa"/>
            </w:tcMar>
          </w:tcPr>
          <w:p w14:paraId="490FC0DD" w14:textId="77777777" w:rsidR="00C348D8" w:rsidRDefault="00C348D8">
            <w:pPr>
              <w:tabs>
                <w:tab w:val="left" w:pos="2130"/>
              </w:tabs>
              <w:spacing w:line="22" w:lineRule="atLeast"/>
              <w:rPr>
                <w:rFonts w:eastAsia="Arial" w:cs="Arial"/>
                <w:b/>
                <w:bCs/>
                <w:szCs w:val="24"/>
              </w:rPr>
            </w:pPr>
          </w:p>
        </w:tc>
        <w:tc>
          <w:tcPr>
            <w:tcW w:w="53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7C66B9D8" w14:textId="77777777" w:rsidR="00C348D8" w:rsidRDefault="00000000">
            <w:r>
              <w:rPr>
                <w:rFonts w:ascii="MS Gothic" w:eastAsia="MS Gothic" w:hAnsi="MS Gothic" w:cs="Arial"/>
                <w:szCs w:val="24"/>
              </w:rPr>
              <w:t>☐</w:t>
            </w:r>
          </w:p>
          <w:p w14:paraId="0BF49253" w14:textId="77777777" w:rsidR="00C348D8" w:rsidRDefault="00C348D8">
            <w:pPr>
              <w:rPr>
                <w:rFonts w:ascii="MS Gothic" w:eastAsia="MS Gothic" w:hAnsi="MS Gothic" w:cs="Arial"/>
                <w:szCs w:val="24"/>
              </w:rPr>
            </w:pPr>
          </w:p>
          <w:p w14:paraId="409E418F" w14:textId="77777777" w:rsidR="00C348D8" w:rsidRDefault="00000000">
            <w:r>
              <w:rPr>
                <w:rFonts w:ascii="MS Gothic" w:eastAsia="MS Gothic" w:hAnsi="MS Gothic" w:cs="Arial"/>
                <w:szCs w:val="24"/>
              </w:rPr>
              <w:t>☐</w:t>
            </w:r>
          </w:p>
        </w:tc>
        <w:tc>
          <w:tcPr>
            <w:tcW w:w="5076"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1245E8C3" w14:textId="77777777" w:rsidR="00C348D8" w:rsidRDefault="00000000">
            <w:pPr>
              <w:tabs>
                <w:tab w:val="left" w:pos="2130"/>
              </w:tabs>
              <w:spacing w:line="22" w:lineRule="atLeast"/>
            </w:pPr>
            <w:r>
              <w:rPr>
                <w:rFonts w:eastAsia="Yu Mincho" w:cs="Arial"/>
                <w:szCs w:val="24"/>
              </w:rPr>
              <w:t>Trade or business association of UK producers of like goods or directly competitive goods (</w:t>
            </w:r>
            <w:r>
              <w:rPr>
                <w:rFonts w:eastAsia="Yu Mincho" w:cs="Arial"/>
                <w:i/>
                <w:iCs/>
                <w:szCs w:val="24"/>
              </w:rPr>
              <w:t>Interested Party</w:t>
            </w:r>
            <w:r>
              <w:rPr>
                <w:rFonts w:eastAsia="Yu Mincho" w:cs="Arial"/>
                <w:szCs w:val="24"/>
              </w:rPr>
              <w:t>)</w:t>
            </w:r>
          </w:p>
          <w:p w14:paraId="1EFF4434" w14:textId="77777777" w:rsidR="00C348D8" w:rsidRDefault="00000000">
            <w:pPr>
              <w:tabs>
                <w:tab w:val="left" w:pos="2130"/>
              </w:tabs>
              <w:spacing w:line="22" w:lineRule="atLeast"/>
            </w:pPr>
            <w:r>
              <w:rPr>
                <w:rFonts w:eastAsia="Yu Mincho" w:cs="Arial"/>
                <w:szCs w:val="24"/>
              </w:rPr>
              <w:t>Overseas producer* of the goods concerned</w:t>
            </w:r>
            <w:r>
              <w:rPr>
                <w:rFonts w:eastAsia="Yu Mincho" w:cs="Arial"/>
                <w:b/>
                <w:bCs/>
                <w:szCs w:val="24"/>
              </w:rPr>
              <w:t xml:space="preserve"> </w:t>
            </w:r>
            <w:r>
              <w:rPr>
                <w:rFonts w:eastAsia="Yu Mincho" w:cs="Arial"/>
                <w:i/>
                <w:iCs/>
                <w:szCs w:val="24"/>
              </w:rPr>
              <w:t>(Interested Party)</w:t>
            </w:r>
          </w:p>
          <w:p w14:paraId="41E83DAE" w14:textId="77777777" w:rsidR="00C348D8" w:rsidRDefault="00000000">
            <w:pPr>
              <w:tabs>
                <w:tab w:val="left" w:pos="2130"/>
              </w:tabs>
              <w:spacing w:line="22" w:lineRule="atLeast"/>
            </w:pPr>
            <w:r>
              <w:rPr>
                <w:rFonts w:eastAsia="Yu Mincho" w:cs="Arial"/>
                <w:i/>
                <w:iCs/>
                <w:szCs w:val="24"/>
              </w:rPr>
              <w:t>*</w:t>
            </w:r>
            <w:proofErr w:type="gramStart"/>
            <w:r>
              <w:rPr>
                <w:rFonts w:eastAsia="Yu Mincho" w:cs="Arial"/>
                <w:i/>
                <w:iCs/>
                <w:szCs w:val="24"/>
              </w:rPr>
              <w:t>who</w:t>
            </w:r>
            <w:proofErr w:type="gramEnd"/>
            <w:r>
              <w:rPr>
                <w:rFonts w:eastAsia="Yu Mincho" w:cs="Arial"/>
                <w:i/>
                <w:iCs/>
                <w:szCs w:val="24"/>
              </w:rPr>
              <w:t xml:space="preserve"> does not export. If you are an overseas producer who exports, please complete the exporter Pre-Sampling Questionnaire.</w:t>
            </w:r>
          </w:p>
          <w:p w14:paraId="05931E4C" w14:textId="77777777" w:rsidR="00C348D8" w:rsidRDefault="00C348D8">
            <w:pPr>
              <w:tabs>
                <w:tab w:val="left" w:pos="2130"/>
              </w:tabs>
              <w:spacing w:line="22" w:lineRule="atLeast"/>
              <w:ind w:left="-403"/>
              <w:rPr>
                <w:rFonts w:ascii="MS Gothic" w:eastAsia="MS Gothic" w:hAnsi="MS Gothic" w:cs="Arial"/>
                <w:szCs w:val="24"/>
              </w:rPr>
            </w:pPr>
          </w:p>
        </w:tc>
        <w:tc>
          <w:tcPr>
            <w:tcW w:w="26" w:type="dxa"/>
            <w:shd w:val="clear" w:color="auto" w:fill="auto"/>
            <w:tcMar>
              <w:top w:w="0" w:type="dxa"/>
              <w:left w:w="10" w:type="dxa"/>
              <w:bottom w:w="0" w:type="dxa"/>
              <w:right w:w="10" w:type="dxa"/>
            </w:tcMar>
          </w:tcPr>
          <w:p w14:paraId="77FDF42A" w14:textId="77777777" w:rsidR="00C348D8" w:rsidRDefault="00C348D8">
            <w:pPr>
              <w:tabs>
                <w:tab w:val="left" w:pos="2130"/>
              </w:tabs>
              <w:spacing w:line="22" w:lineRule="atLeast"/>
              <w:ind w:left="-403"/>
              <w:rPr>
                <w:rFonts w:ascii="MS Gothic" w:eastAsia="MS Gothic" w:hAnsi="MS Gothic" w:cs="Arial"/>
                <w:szCs w:val="24"/>
              </w:rPr>
            </w:pPr>
          </w:p>
        </w:tc>
      </w:tr>
    </w:tbl>
    <w:p w14:paraId="0EC8483D" w14:textId="77777777" w:rsidR="00C348D8" w:rsidRDefault="00C348D8">
      <w:bookmarkStart w:id="0" w:name="_Toc32829438"/>
    </w:p>
    <w:p w14:paraId="3487F4C6" w14:textId="77777777" w:rsidR="00C348D8" w:rsidRDefault="00000000">
      <w:pPr>
        <w:spacing w:line="22" w:lineRule="atLeast"/>
        <w:contextualSpacing/>
      </w:pPr>
      <w:r>
        <w:rPr>
          <w:rFonts w:eastAsia="Arial" w:cs="Arial"/>
          <w:color w:val="000000"/>
          <w:szCs w:val="24"/>
        </w:rPr>
        <w:t xml:space="preserve">When you have completed this form, indicate the </w:t>
      </w:r>
      <w:r>
        <w:rPr>
          <w:rFonts w:eastAsia="Arial" w:cs="Arial"/>
          <w:b/>
          <w:bCs/>
          <w:color w:val="000000"/>
          <w:szCs w:val="24"/>
        </w:rPr>
        <w:t>confidentiality</w:t>
      </w:r>
      <w:r>
        <w:rPr>
          <w:rFonts w:eastAsia="Arial" w:cs="Arial"/>
          <w:color w:val="000000"/>
          <w:szCs w:val="24"/>
        </w:rPr>
        <w:t xml:space="preserve"> status of this document by placing an X in the relevant box below and in the header. We strongly </w:t>
      </w:r>
      <w:r>
        <w:rPr>
          <w:rFonts w:eastAsia="Arial" w:cs="Arial"/>
          <w:color w:val="000000"/>
          <w:szCs w:val="24"/>
        </w:rPr>
        <w:lastRenderedPageBreak/>
        <w:t>recommend this document to be completed on the computer, so this step is easy to complete:</w:t>
      </w:r>
    </w:p>
    <w:p w14:paraId="5EC614A3" w14:textId="77777777" w:rsidR="00C348D8" w:rsidRDefault="00C348D8">
      <w:pPr>
        <w:spacing w:line="22" w:lineRule="atLeast"/>
        <w:contextualSpacing/>
        <w:rPr>
          <w:rFonts w:eastAsia="Arial" w:cs="Arial"/>
          <w:color w:val="000000"/>
          <w:szCs w:val="24"/>
        </w:rPr>
      </w:pPr>
    </w:p>
    <w:p w14:paraId="7012A0B5" w14:textId="77777777" w:rsidR="00C348D8" w:rsidRDefault="00000000">
      <w:pPr>
        <w:spacing w:line="22" w:lineRule="atLeast"/>
        <w:ind w:left="720"/>
        <w:contextualSpacing/>
      </w:pPr>
      <w:r>
        <w:rPr>
          <w:rFonts w:ascii="MS Gothic" w:eastAsia="MS Gothic" w:hAnsi="MS Gothic" w:cs="Segoe UI Symbol"/>
          <w:b/>
          <w:bCs/>
          <w:color w:val="000000"/>
          <w:szCs w:val="24"/>
        </w:rPr>
        <w:t>☐</w:t>
      </w:r>
      <w:r>
        <w:rPr>
          <w:rFonts w:eastAsia="Arial" w:cs="Arial"/>
          <w:color w:val="000000"/>
          <w:szCs w:val="24"/>
        </w:rPr>
        <w:t xml:space="preserve"> Confidential</w:t>
      </w:r>
    </w:p>
    <w:p w14:paraId="15AC2463" w14:textId="77777777" w:rsidR="00C348D8" w:rsidRDefault="00000000">
      <w:pPr>
        <w:spacing w:line="22" w:lineRule="atLeast"/>
        <w:ind w:left="720"/>
        <w:contextualSpacing/>
      </w:pPr>
      <w:r>
        <w:rPr>
          <w:rFonts w:ascii="MS Gothic" w:eastAsia="MS Gothic" w:hAnsi="MS Gothic" w:cs="Segoe UI Symbol"/>
          <w:b/>
          <w:bCs/>
          <w:color w:val="000000"/>
          <w:szCs w:val="24"/>
        </w:rPr>
        <w:t>☐</w:t>
      </w:r>
      <w:r>
        <w:rPr>
          <w:rFonts w:eastAsia="Arial" w:cs="Arial"/>
          <w:color w:val="000000"/>
          <w:szCs w:val="24"/>
        </w:rPr>
        <w:t xml:space="preserve"> </w:t>
      </w:r>
      <w:proofErr w:type="gramStart"/>
      <w:r>
        <w:rPr>
          <w:rFonts w:eastAsia="Arial" w:cs="Arial"/>
          <w:color w:val="000000"/>
          <w:szCs w:val="24"/>
        </w:rPr>
        <w:t>Non-confidential</w:t>
      </w:r>
      <w:proofErr w:type="gramEnd"/>
      <w:r>
        <w:rPr>
          <w:rFonts w:eastAsia="Arial" w:cs="Arial"/>
          <w:color w:val="000000"/>
          <w:szCs w:val="24"/>
        </w:rPr>
        <w:t xml:space="preserve"> – will be made publicly available</w:t>
      </w:r>
    </w:p>
    <w:p w14:paraId="07FC9B59" w14:textId="77777777" w:rsidR="00C348D8" w:rsidRDefault="00C348D8">
      <w:pPr>
        <w:spacing w:line="22" w:lineRule="atLeast"/>
        <w:contextualSpacing/>
        <w:rPr>
          <w:rFonts w:eastAsia="Arial" w:cs="Arial"/>
          <w:color w:val="000000"/>
          <w:szCs w:val="24"/>
        </w:rPr>
      </w:pPr>
    </w:p>
    <w:p w14:paraId="00E04D59" w14:textId="77777777" w:rsidR="00C348D8" w:rsidRDefault="00000000">
      <w:pPr>
        <w:spacing w:line="22" w:lineRule="atLeast"/>
      </w:pPr>
      <w:r>
        <w:rPr>
          <w:rFonts w:eastAsia="Arial" w:cs="Arial"/>
          <w:color w:val="000000"/>
        </w:rPr>
        <w:t xml:space="preserve">Please note that you will have to provide </w:t>
      </w:r>
      <w:r>
        <w:rPr>
          <w:rFonts w:eastAsia="Arial" w:cs="Arial"/>
          <w:b/>
          <w:bCs/>
          <w:color w:val="000000"/>
        </w:rPr>
        <w:t>two copies of your response</w:t>
      </w:r>
      <w:r>
        <w:rPr>
          <w:rFonts w:eastAsia="Arial" w:cs="Arial"/>
          <w:color w:val="000000"/>
        </w:rPr>
        <w:t xml:space="preserve"> – a </w:t>
      </w:r>
      <w:r>
        <w:rPr>
          <w:rFonts w:eastAsia="Arial" w:cs="Arial"/>
          <w:b/>
          <w:bCs/>
          <w:color w:val="000000"/>
        </w:rPr>
        <w:t xml:space="preserve">confidential </w:t>
      </w:r>
      <w:r>
        <w:rPr>
          <w:rFonts w:eastAsia="Arial" w:cs="Arial"/>
          <w:color w:val="000000"/>
        </w:rPr>
        <w:t xml:space="preserve">and a </w:t>
      </w:r>
      <w:r>
        <w:rPr>
          <w:rFonts w:eastAsia="Arial" w:cs="Arial"/>
          <w:b/>
          <w:bCs/>
          <w:color w:val="000000"/>
        </w:rPr>
        <w:t>non-confidential version</w:t>
      </w:r>
      <w:r>
        <w:rPr>
          <w:rFonts w:eastAsia="Arial" w:cs="Arial"/>
          <w:color w:val="000000"/>
        </w:rPr>
        <w:t>.</w:t>
      </w:r>
      <w:r>
        <w:rPr>
          <w:rFonts w:eastAsia="Arial" w:cs="Arial"/>
          <w:b/>
          <w:bCs/>
          <w:color w:val="000000"/>
        </w:rPr>
        <w:t xml:space="preserve"> </w:t>
      </w:r>
      <w:r>
        <w:rPr>
          <w:rFonts w:eastAsia="Arial" w:cs="Arial"/>
          <w:color w:val="000000"/>
        </w:rPr>
        <w:t>Both copies must be returned to the TRA using the Trade Remedies Service (</w:t>
      </w:r>
      <w:hyperlink r:id="rId9" w:history="1">
        <w:r>
          <w:rPr>
            <w:rStyle w:val="Hyperlink"/>
            <w:rFonts w:eastAsia="Arial" w:cs="Arial"/>
          </w:rPr>
          <w:t>www.trade-remedies.service.gov.uk</w:t>
        </w:r>
      </w:hyperlink>
      <w:r>
        <w:rPr>
          <w:rFonts w:eastAsia="Arial" w:cs="Arial"/>
          <w:color w:val="000000"/>
        </w:rPr>
        <w:t xml:space="preserve">) by </w:t>
      </w:r>
      <w:r>
        <w:rPr>
          <w:rFonts w:eastAsia="Arial" w:cs="Arial"/>
          <w:b/>
          <w:bCs/>
        </w:rPr>
        <w:t>24 June 2024</w:t>
      </w:r>
    </w:p>
    <w:p w14:paraId="380402A9" w14:textId="77777777" w:rsidR="00C348D8" w:rsidRDefault="00C348D8">
      <w:pPr>
        <w:pageBreakBefore/>
      </w:pPr>
    </w:p>
    <w:p w14:paraId="0CE6D122" w14:textId="77777777" w:rsidR="00C348D8" w:rsidRDefault="00C348D8">
      <w:pPr>
        <w:jc w:val="center"/>
        <w:rPr>
          <w:rFonts w:cs="Arial"/>
          <w:b/>
          <w:bCs/>
          <w:sz w:val="28"/>
          <w:szCs w:val="28"/>
        </w:rPr>
      </w:pPr>
    </w:p>
    <w:p w14:paraId="0DF1CC16" w14:textId="77777777" w:rsidR="00C348D8" w:rsidRDefault="00000000">
      <w:pPr>
        <w:jc w:val="center"/>
        <w:rPr>
          <w:rFonts w:cs="Arial"/>
          <w:b/>
          <w:bCs/>
          <w:sz w:val="28"/>
          <w:szCs w:val="28"/>
        </w:rPr>
      </w:pPr>
      <w:r>
        <w:rPr>
          <w:rFonts w:cs="Arial"/>
          <w:b/>
          <w:bCs/>
          <w:sz w:val="28"/>
          <w:szCs w:val="28"/>
        </w:rPr>
        <w:t>Table of Contents</w:t>
      </w:r>
    </w:p>
    <w:p w14:paraId="102F2D74" w14:textId="77777777" w:rsidR="00C348D8" w:rsidRDefault="00C348D8"/>
    <w:p w14:paraId="7CEF7D39" w14:textId="77777777" w:rsidR="00C348D8" w:rsidRDefault="00000000">
      <w:pPr>
        <w:pStyle w:val="TOC2"/>
        <w:tabs>
          <w:tab w:val="right" w:leader="dot" w:pos="9016"/>
        </w:tabs>
      </w:pPr>
      <w:r>
        <w:fldChar w:fldCharType="begin"/>
      </w:r>
      <w:r>
        <w:instrText xml:space="preserve"> TOC \o "1-3" \u \h </w:instrText>
      </w:r>
      <w:r>
        <w:fldChar w:fldCharType="separate"/>
      </w:r>
      <w:hyperlink r:id="rId10" w:history="1">
        <w:r>
          <w:rPr>
            <w:rStyle w:val="Hyperlink"/>
            <w:rFonts w:cs="Arial"/>
            <w:b/>
            <w:bCs/>
          </w:rPr>
          <w:t>The scope of this investigation</w:t>
        </w:r>
        <w:r>
          <w:tab/>
          <w:t>4</w:t>
        </w:r>
      </w:hyperlink>
    </w:p>
    <w:p w14:paraId="0AA3FBDB" w14:textId="77777777" w:rsidR="00C348D8" w:rsidRDefault="00000000">
      <w:pPr>
        <w:pStyle w:val="TOC1"/>
        <w:tabs>
          <w:tab w:val="right" w:leader="dot" w:pos="9016"/>
        </w:tabs>
      </w:pPr>
      <w:hyperlink r:id="rId11" w:history="1">
        <w:r>
          <w:rPr>
            <w:rStyle w:val="Hyperlink"/>
            <w:rFonts w:cs="Arial"/>
            <w:b/>
            <w:bCs/>
          </w:rPr>
          <w:t>Instructions</w:t>
        </w:r>
        <w:r>
          <w:tab/>
          <w:t>5</w:t>
        </w:r>
      </w:hyperlink>
    </w:p>
    <w:p w14:paraId="5001B5AF" w14:textId="77777777" w:rsidR="00C348D8" w:rsidRDefault="00000000">
      <w:pPr>
        <w:pStyle w:val="TOC3"/>
        <w:tabs>
          <w:tab w:val="right" w:leader="dot" w:pos="9016"/>
        </w:tabs>
      </w:pPr>
      <w:hyperlink r:id="rId12" w:history="1">
        <w:r>
          <w:rPr>
            <w:rStyle w:val="Hyperlink"/>
          </w:rPr>
          <w:t>Who should complete this form?</w:t>
        </w:r>
        <w:r>
          <w:tab/>
          <w:t>5</w:t>
        </w:r>
      </w:hyperlink>
    </w:p>
    <w:p w14:paraId="6CA3CC18" w14:textId="77777777" w:rsidR="00C348D8" w:rsidRDefault="00000000">
      <w:pPr>
        <w:pStyle w:val="TOC3"/>
        <w:tabs>
          <w:tab w:val="right" w:leader="dot" w:pos="9016"/>
        </w:tabs>
      </w:pPr>
      <w:hyperlink r:id="rId13" w:history="1">
        <w:r>
          <w:rPr>
            <w:rStyle w:val="Hyperlink"/>
            <w:rFonts w:cs="Arial"/>
            <w:lang w:eastAsia="zh-CN"/>
          </w:rPr>
          <w:t>Note about confidentiality</w:t>
        </w:r>
        <w:r>
          <w:tab/>
          <w:t>5</w:t>
        </w:r>
      </w:hyperlink>
    </w:p>
    <w:p w14:paraId="62D9A688" w14:textId="77777777" w:rsidR="00C348D8" w:rsidRDefault="00000000">
      <w:pPr>
        <w:pStyle w:val="TOC1"/>
        <w:tabs>
          <w:tab w:val="right" w:leader="dot" w:pos="9016"/>
        </w:tabs>
      </w:pPr>
      <w:hyperlink r:id="rId14" w:history="1">
        <w:r>
          <w:rPr>
            <w:rStyle w:val="Hyperlink"/>
            <w:rFonts w:cs="Arial"/>
            <w:b/>
            <w:bCs/>
          </w:rPr>
          <w:t>Section A – Your organisation’s interest in the case</w:t>
        </w:r>
        <w:r>
          <w:tab/>
          <w:t>6</w:t>
        </w:r>
      </w:hyperlink>
    </w:p>
    <w:p w14:paraId="52D6AC50" w14:textId="77777777" w:rsidR="00C348D8" w:rsidRDefault="00000000">
      <w:pPr>
        <w:pStyle w:val="TOC1"/>
        <w:tabs>
          <w:tab w:val="right" w:leader="dot" w:pos="9016"/>
        </w:tabs>
      </w:pPr>
      <w:hyperlink r:id="rId15" w:history="1">
        <w:r>
          <w:rPr>
            <w:rStyle w:val="Hyperlink"/>
            <w:rFonts w:cs="Arial"/>
            <w:b/>
            <w:bCs/>
          </w:rPr>
          <w:t>Section B – Additional information</w:t>
        </w:r>
        <w:r>
          <w:tab/>
          <w:t>7</w:t>
        </w:r>
      </w:hyperlink>
    </w:p>
    <w:p w14:paraId="109D4B0A" w14:textId="77777777" w:rsidR="00C348D8" w:rsidRDefault="00000000">
      <w:pPr>
        <w:pStyle w:val="TOC3"/>
        <w:tabs>
          <w:tab w:val="right" w:leader="dot" w:pos="9016"/>
        </w:tabs>
      </w:pPr>
      <w:hyperlink r:id="rId16" w:history="1">
        <w:r>
          <w:rPr>
            <w:rStyle w:val="Hyperlink"/>
          </w:rPr>
          <w:t>B1 – Other interested parties</w:t>
        </w:r>
        <w:r>
          <w:tab/>
          <w:t>7</w:t>
        </w:r>
      </w:hyperlink>
    </w:p>
    <w:p w14:paraId="7D54672A" w14:textId="77777777" w:rsidR="00C348D8" w:rsidRDefault="00000000">
      <w:pPr>
        <w:pStyle w:val="TOC3"/>
        <w:tabs>
          <w:tab w:val="right" w:leader="dot" w:pos="9016"/>
        </w:tabs>
      </w:pPr>
      <w:hyperlink r:id="rId17" w:history="1">
        <w:r>
          <w:rPr>
            <w:rStyle w:val="Hyperlink"/>
          </w:rPr>
          <w:t>B2 – Particular Market Situation</w:t>
        </w:r>
        <w:r>
          <w:tab/>
          <w:t>7</w:t>
        </w:r>
      </w:hyperlink>
    </w:p>
    <w:p w14:paraId="2A06C0BA" w14:textId="77777777" w:rsidR="00C348D8" w:rsidRDefault="00000000">
      <w:pPr>
        <w:pStyle w:val="TOC3"/>
        <w:tabs>
          <w:tab w:val="right" w:leader="dot" w:pos="9016"/>
        </w:tabs>
      </w:pPr>
      <w:hyperlink r:id="rId18" w:history="1">
        <w:r>
          <w:rPr>
            <w:rStyle w:val="Hyperlink"/>
            <w:rFonts w:eastAsia="Yu Gothic Light"/>
            <w:b/>
          </w:rPr>
          <w:t>B3 – Appropriate Third Country</w:t>
        </w:r>
        <w:r>
          <w:tab/>
          <w:t>7</w:t>
        </w:r>
      </w:hyperlink>
    </w:p>
    <w:p w14:paraId="601C6CD2" w14:textId="77777777" w:rsidR="00C348D8" w:rsidRDefault="00000000">
      <w:pPr>
        <w:pStyle w:val="TOC3"/>
        <w:tabs>
          <w:tab w:val="right" w:leader="dot" w:pos="9016"/>
        </w:tabs>
      </w:pPr>
      <w:hyperlink r:id="rId19" w:history="1">
        <w:r>
          <w:rPr>
            <w:rStyle w:val="Hyperlink"/>
          </w:rPr>
          <w:t>B4 - Scope</w:t>
        </w:r>
        <w:r>
          <w:tab/>
          <w:t>8</w:t>
        </w:r>
      </w:hyperlink>
    </w:p>
    <w:p w14:paraId="3D87988B" w14:textId="77777777" w:rsidR="00C348D8" w:rsidRDefault="00000000">
      <w:pPr>
        <w:pStyle w:val="TOC3"/>
        <w:tabs>
          <w:tab w:val="right" w:leader="dot" w:pos="9016"/>
        </w:tabs>
      </w:pPr>
      <w:hyperlink r:id="rId20" w:history="1">
        <w:r>
          <w:rPr>
            <w:rStyle w:val="Hyperlink"/>
          </w:rPr>
          <w:t>B5 – Economic Interest Test</w:t>
        </w:r>
        <w:r>
          <w:tab/>
          <w:t>9</w:t>
        </w:r>
      </w:hyperlink>
    </w:p>
    <w:p w14:paraId="15F3E7B0" w14:textId="77777777" w:rsidR="00C348D8" w:rsidRDefault="00000000">
      <w:pPr>
        <w:pStyle w:val="TOC3"/>
        <w:tabs>
          <w:tab w:val="right" w:leader="dot" w:pos="9016"/>
        </w:tabs>
      </w:pPr>
      <w:hyperlink r:id="rId21" w:history="1">
        <w:r>
          <w:rPr>
            <w:rStyle w:val="Hyperlink"/>
          </w:rPr>
          <w:t>B6 – Anything else</w:t>
        </w:r>
        <w:r>
          <w:tab/>
          <w:t>9</w:t>
        </w:r>
      </w:hyperlink>
    </w:p>
    <w:p w14:paraId="490C0096" w14:textId="77777777" w:rsidR="00C348D8" w:rsidRDefault="00000000">
      <w:r>
        <w:fldChar w:fldCharType="end"/>
      </w:r>
    </w:p>
    <w:p w14:paraId="6C7F566D" w14:textId="77777777" w:rsidR="00C348D8" w:rsidRDefault="00C348D8"/>
    <w:p w14:paraId="6C238EED" w14:textId="77777777" w:rsidR="00C348D8" w:rsidRDefault="00C348D8"/>
    <w:p w14:paraId="2B2F19B4" w14:textId="77777777" w:rsidR="00C348D8" w:rsidRDefault="00C348D8">
      <w:pPr>
        <w:pageBreakBefore/>
        <w:rPr>
          <w:rFonts w:eastAsia="Times New Roman"/>
          <w:b/>
          <w:sz w:val="32"/>
          <w:szCs w:val="26"/>
        </w:rPr>
      </w:pPr>
    </w:p>
    <w:p w14:paraId="48F9CEC1" w14:textId="77777777" w:rsidR="00C348D8" w:rsidRDefault="00000000">
      <w:pPr>
        <w:pStyle w:val="Heading2"/>
      </w:pPr>
      <w:bookmarkStart w:id="1" w:name="_Toc98165159"/>
      <w:bookmarkStart w:id="2" w:name="_Toc167353331"/>
      <w:bookmarkStart w:id="3" w:name="_Toc32519544"/>
      <w:bookmarkStart w:id="4" w:name="_Toc53524891"/>
      <w:r>
        <w:rPr>
          <w:rStyle w:val="normaltextrun"/>
          <w:rFonts w:ascii="Arial" w:hAnsi="Arial" w:cs="Arial"/>
          <w:b/>
          <w:bCs/>
          <w:color w:val="auto"/>
          <w:sz w:val="32"/>
          <w:szCs w:val="32"/>
        </w:rPr>
        <w:t>The scope of this investigation</w:t>
      </w:r>
      <w:bookmarkEnd w:id="1"/>
      <w:bookmarkEnd w:id="2"/>
    </w:p>
    <w:p w14:paraId="327D9D14" w14:textId="77777777" w:rsidR="00C348D8" w:rsidRDefault="00C348D8">
      <w:pPr>
        <w:pStyle w:val="paragraph"/>
        <w:spacing w:before="0" w:after="0"/>
        <w:textAlignment w:val="baseline"/>
      </w:pPr>
    </w:p>
    <w:p w14:paraId="17FFCF60" w14:textId="77777777" w:rsidR="00C348D8" w:rsidRDefault="00000000">
      <w:pPr>
        <w:pStyle w:val="paragraph"/>
        <w:spacing w:before="0" w:after="0"/>
        <w:textAlignment w:val="baseline"/>
      </w:pPr>
      <w:r>
        <w:rPr>
          <w:rStyle w:val="normaltextrun"/>
          <w:rFonts w:ascii="Arial" w:hAnsi="Arial" w:cs="Arial"/>
          <w:b/>
          <w:bCs/>
          <w:sz w:val="28"/>
          <w:szCs w:val="32"/>
        </w:rPr>
        <w:t>Goods concerned</w:t>
      </w:r>
      <w:r>
        <w:rPr>
          <w:rStyle w:val="eop"/>
          <w:rFonts w:ascii="Arial" w:hAnsi="Arial" w:cs="Arial"/>
          <w:b/>
          <w:bCs/>
          <w:sz w:val="28"/>
          <w:szCs w:val="32"/>
        </w:rPr>
        <w:t xml:space="preserve"> </w:t>
      </w:r>
    </w:p>
    <w:p w14:paraId="4BC357D0" w14:textId="77777777" w:rsidR="00C348D8" w:rsidRDefault="00C348D8">
      <w:pPr>
        <w:pStyle w:val="paragraph"/>
        <w:spacing w:before="0" w:after="0"/>
        <w:textAlignment w:val="baseline"/>
        <w:rPr>
          <w:rFonts w:ascii="Segoe UI" w:hAnsi="Segoe UI" w:cs="Segoe UI"/>
          <w:b/>
          <w:bCs/>
          <w:sz w:val="16"/>
          <w:szCs w:val="18"/>
        </w:rPr>
      </w:pPr>
    </w:p>
    <w:p w14:paraId="200C9A69" w14:textId="77777777" w:rsidR="00C348D8" w:rsidRDefault="00000000">
      <w:pPr>
        <w:pStyle w:val="paragraph"/>
        <w:spacing w:before="0" w:after="0"/>
        <w:textAlignment w:val="baseline"/>
      </w:pPr>
      <w:r>
        <w:rPr>
          <w:rStyle w:val="normaltextrun"/>
          <w:rFonts w:ascii="Arial" w:hAnsi="Arial" w:cs="Arial"/>
        </w:rPr>
        <w:t>This investigation covers biodiesel exported from the People’s Republic of China, described as:</w:t>
      </w:r>
      <w:r>
        <w:rPr>
          <w:rStyle w:val="eop"/>
          <w:rFonts w:ascii="Arial" w:hAnsi="Arial" w:cs="Arial"/>
        </w:rPr>
        <w:t xml:space="preserve"> </w:t>
      </w:r>
    </w:p>
    <w:p w14:paraId="1E8C6B70" w14:textId="77777777" w:rsidR="00C348D8" w:rsidRDefault="00C348D8">
      <w:pPr>
        <w:pStyle w:val="paragraph"/>
        <w:spacing w:before="0" w:after="0"/>
        <w:textAlignment w:val="baseline"/>
        <w:rPr>
          <w:rFonts w:ascii="Segoe UI" w:hAnsi="Segoe UI" w:cs="Segoe UI"/>
          <w:sz w:val="18"/>
          <w:szCs w:val="18"/>
        </w:rPr>
      </w:pPr>
    </w:p>
    <w:p w14:paraId="0C02717F" w14:textId="77777777" w:rsidR="00C348D8" w:rsidRDefault="00000000">
      <w:pPr>
        <w:pStyle w:val="paragraph"/>
        <w:numPr>
          <w:ilvl w:val="0"/>
          <w:numId w:val="1"/>
        </w:numPr>
        <w:spacing w:before="0" w:after="0"/>
        <w:jc w:val="both"/>
        <w:textAlignment w:val="baseline"/>
      </w:pPr>
      <w:r>
        <w:rPr>
          <w:rStyle w:val="eop"/>
          <w:rFonts w:ascii="Arial" w:eastAsia="Yu Gothic Light" w:hAnsi="Arial" w:cs="Arial"/>
        </w:rPr>
        <w:t>“Fatty-acid mono-</w:t>
      </w:r>
      <w:proofErr w:type="spellStart"/>
      <w:r>
        <w:rPr>
          <w:rStyle w:val="eop"/>
          <w:rFonts w:ascii="Arial" w:eastAsia="Yu Gothic Light" w:hAnsi="Arial" w:cs="Arial"/>
        </w:rPr>
        <w:t>alkylesters</w:t>
      </w:r>
      <w:proofErr w:type="spellEnd"/>
      <w:r>
        <w:rPr>
          <w:rStyle w:val="eop"/>
          <w:rFonts w:ascii="Arial" w:eastAsia="Yu Gothic Light" w:hAnsi="Arial" w:cs="Arial"/>
        </w:rPr>
        <w:t xml:space="preserve"> or paraffinic </w:t>
      </w:r>
      <w:proofErr w:type="spellStart"/>
      <w:r>
        <w:rPr>
          <w:rStyle w:val="eop"/>
          <w:rFonts w:ascii="Arial" w:eastAsia="Yu Gothic Light" w:hAnsi="Arial" w:cs="Arial"/>
        </w:rPr>
        <w:t>gasoils</w:t>
      </w:r>
      <w:proofErr w:type="spellEnd"/>
      <w:r>
        <w:rPr>
          <w:rStyle w:val="eop"/>
          <w:rFonts w:ascii="Arial" w:eastAsia="Yu Gothic Light" w:hAnsi="Arial" w:cs="Arial"/>
        </w:rPr>
        <w:t xml:space="preserve"> obtained from synthesis or hydrotreatment of non-fossil origin, in pure form or as included in a blend”</w:t>
      </w:r>
    </w:p>
    <w:p w14:paraId="54C8C564" w14:textId="77777777" w:rsidR="00C348D8" w:rsidRDefault="00C348D8"/>
    <w:p w14:paraId="35496645" w14:textId="77777777" w:rsidR="00C348D8" w:rsidRDefault="00000000">
      <w:pPr>
        <w:pStyle w:val="paragraph"/>
        <w:spacing w:before="0" w:after="0"/>
        <w:textAlignment w:val="baseline"/>
      </w:pPr>
      <w:r>
        <w:rPr>
          <w:rStyle w:val="normaltextrun"/>
          <w:rFonts w:ascii="Arial" w:hAnsi="Arial" w:cs="Arial"/>
        </w:rPr>
        <w:t>These goods are currently classifiable within the following commodity codes:</w:t>
      </w:r>
    </w:p>
    <w:p w14:paraId="5BE52FD8" w14:textId="77777777" w:rsidR="00C348D8" w:rsidRDefault="00C348D8">
      <w:pPr>
        <w:spacing w:after="160" w:line="254" w:lineRule="auto"/>
        <w:rPr>
          <w:rFonts w:eastAsia="Arial" w:cs="Arial"/>
          <w:szCs w:val="24"/>
        </w:rPr>
      </w:pPr>
    </w:p>
    <w:p w14:paraId="026955F4" w14:textId="77777777" w:rsidR="00C348D8" w:rsidRDefault="00000000">
      <w:pPr>
        <w:rPr>
          <w:rFonts w:eastAsia="Arial" w:cs="Arial"/>
          <w:szCs w:val="24"/>
        </w:rPr>
      </w:pPr>
      <w:r>
        <w:rPr>
          <w:rFonts w:eastAsia="Arial" w:cs="Arial"/>
          <w:szCs w:val="24"/>
        </w:rPr>
        <w:t xml:space="preserve">1516 20 98 21, </w:t>
      </w:r>
      <w:r>
        <w:rPr>
          <w:rFonts w:eastAsia="Arial" w:cs="Arial"/>
          <w:szCs w:val="24"/>
        </w:rPr>
        <w:tab/>
        <w:t xml:space="preserve">1516 20 98 29, </w:t>
      </w:r>
      <w:r>
        <w:rPr>
          <w:rFonts w:eastAsia="Arial" w:cs="Arial"/>
          <w:szCs w:val="24"/>
        </w:rPr>
        <w:tab/>
        <w:t xml:space="preserve">1516 20 98 30, </w:t>
      </w:r>
      <w:r>
        <w:rPr>
          <w:rFonts w:eastAsia="Arial" w:cs="Arial"/>
          <w:szCs w:val="24"/>
        </w:rPr>
        <w:tab/>
        <w:t xml:space="preserve">1518 00 91 21, </w:t>
      </w:r>
    </w:p>
    <w:p w14:paraId="1E131502" w14:textId="77777777" w:rsidR="00C348D8" w:rsidRDefault="00000000">
      <w:pPr>
        <w:rPr>
          <w:rFonts w:eastAsia="Arial" w:cs="Arial"/>
          <w:szCs w:val="24"/>
        </w:rPr>
      </w:pPr>
      <w:r>
        <w:rPr>
          <w:rFonts w:eastAsia="Arial" w:cs="Arial"/>
          <w:szCs w:val="24"/>
        </w:rPr>
        <w:t xml:space="preserve">1518 00 91 29, </w:t>
      </w:r>
      <w:r>
        <w:rPr>
          <w:rFonts w:eastAsia="Arial" w:cs="Arial"/>
          <w:szCs w:val="24"/>
        </w:rPr>
        <w:tab/>
        <w:t xml:space="preserve">1518 00 91 30, </w:t>
      </w:r>
      <w:r>
        <w:rPr>
          <w:rFonts w:eastAsia="Arial" w:cs="Arial"/>
          <w:szCs w:val="24"/>
        </w:rPr>
        <w:tab/>
        <w:t xml:space="preserve">1518 00 95 10, </w:t>
      </w:r>
      <w:r>
        <w:rPr>
          <w:rFonts w:eastAsia="Arial" w:cs="Arial"/>
          <w:szCs w:val="24"/>
        </w:rPr>
        <w:tab/>
        <w:t xml:space="preserve">1518 00 99 21, </w:t>
      </w:r>
    </w:p>
    <w:p w14:paraId="5D19BD60" w14:textId="77777777" w:rsidR="00C348D8" w:rsidRDefault="00000000">
      <w:pPr>
        <w:rPr>
          <w:rFonts w:eastAsia="Arial" w:cs="Arial"/>
          <w:szCs w:val="24"/>
        </w:rPr>
      </w:pPr>
      <w:r>
        <w:rPr>
          <w:rFonts w:eastAsia="Arial" w:cs="Arial"/>
          <w:szCs w:val="24"/>
        </w:rPr>
        <w:t xml:space="preserve">1518 00 99 29, </w:t>
      </w:r>
      <w:r>
        <w:rPr>
          <w:rFonts w:eastAsia="Arial" w:cs="Arial"/>
          <w:szCs w:val="24"/>
        </w:rPr>
        <w:tab/>
        <w:t xml:space="preserve">1518 00 99 30, </w:t>
      </w:r>
      <w:r>
        <w:rPr>
          <w:rFonts w:eastAsia="Arial" w:cs="Arial"/>
          <w:szCs w:val="24"/>
        </w:rPr>
        <w:tab/>
        <w:t xml:space="preserve">2710 19 43 21, </w:t>
      </w:r>
      <w:r>
        <w:rPr>
          <w:rFonts w:eastAsia="Arial" w:cs="Arial"/>
          <w:szCs w:val="24"/>
        </w:rPr>
        <w:tab/>
        <w:t xml:space="preserve">2710 19 43 29, </w:t>
      </w:r>
    </w:p>
    <w:p w14:paraId="3F82FFF0" w14:textId="77777777" w:rsidR="00C348D8" w:rsidRDefault="00000000">
      <w:pPr>
        <w:rPr>
          <w:rFonts w:eastAsia="Arial" w:cs="Arial"/>
          <w:szCs w:val="24"/>
        </w:rPr>
      </w:pPr>
      <w:r>
        <w:rPr>
          <w:rFonts w:eastAsia="Arial" w:cs="Arial"/>
          <w:szCs w:val="24"/>
        </w:rPr>
        <w:t xml:space="preserve">2710 19 43 30, </w:t>
      </w:r>
      <w:r>
        <w:rPr>
          <w:rFonts w:eastAsia="Arial" w:cs="Arial"/>
          <w:szCs w:val="24"/>
        </w:rPr>
        <w:tab/>
        <w:t xml:space="preserve">2710 19 46 21, </w:t>
      </w:r>
      <w:r>
        <w:rPr>
          <w:rFonts w:eastAsia="Arial" w:cs="Arial"/>
          <w:szCs w:val="24"/>
        </w:rPr>
        <w:tab/>
        <w:t xml:space="preserve">2710 19 46 29, </w:t>
      </w:r>
      <w:r>
        <w:rPr>
          <w:rFonts w:eastAsia="Arial" w:cs="Arial"/>
          <w:szCs w:val="24"/>
        </w:rPr>
        <w:tab/>
        <w:t xml:space="preserve">2710 19 46 30, </w:t>
      </w:r>
    </w:p>
    <w:p w14:paraId="1FA181E4" w14:textId="77777777" w:rsidR="00C348D8" w:rsidRDefault="00000000">
      <w:pPr>
        <w:rPr>
          <w:rFonts w:eastAsia="Arial" w:cs="Arial"/>
          <w:szCs w:val="24"/>
        </w:rPr>
      </w:pPr>
      <w:r>
        <w:rPr>
          <w:rFonts w:eastAsia="Arial" w:cs="Arial"/>
          <w:szCs w:val="24"/>
        </w:rPr>
        <w:t xml:space="preserve">2710 19 47 21, </w:t>
      </w:r>
      <w:r>
        <w:rPr>
          <w:rFonts w:eastAsia="Arial" w:cs="Arial"/>
          <w:szCs w:val="24"/>
        </w:rPr>
        <w:tab/>
        <w:t xml:space="preserve">2710 19 47 29, </w:t>
      </w:r>
      <w:r>
        <w:rPr>
          <w:rFonts w:eastAsia="Arial" w:cs="Arial"/>
          <w:szCs w:val="24"/>
        </w:rPr>
        <w:tab/>
        <w:t xml:space="preserve">2710 19 47 30, </w:t>
      </w:r>
      <w:r>
        <w:rPr>
          <w:rFonts w:eastAsia="Arial" w:cs="Arial"/>
          <w:szCs w:val="24"/>
        </w:rPr>
        <w:tab/>
        <w:t xml:space="preserve">2710 20 11 21, </w:t>
      </w:r>
    </w:p>
    <w:p w14:paraId="1200CA4B" w14:textId="77777777" w:rsidR="00C348D8" w:rsidRDefault="00000000">
      <w:pPr>
        <w:rPr>
          <w:rFonts w:eastAsia="Arial" w:cs="Arial"/>
          <w:szCs w:val="24"/>
        </w:rPr>
      </w:pPr>
      <w:r>
        <w:rPr>
          <w:rFonts w:eastAsia="Arial" w:cs="Arial"/>
          <w:szCs w:val="24"/>
        </w:rPr>
        <w:t xml:space="preserve">2710 20 11 29, </w:t>
      </w:r>
      <w:r>
        <w:rPr>
          <w:rFonts w:eastAsia="Arial" w:cs="Arial"/>
          <w:szCs w:val="24"/>
        </w:rPr>
        <w:tab/>
        <w:t xml:space="preserve">2710 20 11 30, </w:t>
      </w:r>
      <w:r>
        <w:rPr>
          <w:rFonts w:eastAsia="Arial" w:cs="Arial"/>
          <w:szCs w:val="24"/>
        </w:rPr>
        <w:tab/>
        <w:t xml:space="preserve">2710 20 16 21, </w:t>
      </w:r>
      <w:r>
        <w:rPr>
          <w:rFonts w:eastAsia="Arial" w:cs="Arial"/>
          <w:szCs w:val="24"/>
        </w:rPr>
        <w:tab/>
        <w:t xml:space="preserve">2710 20 16 29, </w:t>
      </w:r>
    </w:p>
    <w:p w14:paraId="435D5725" w14:textId="77777777" w:rsidR="00C348D8" w:rsidRDefault="00000000">
      <w:pPr>
        <w:rPr>
          <w:rFonts w:eastAsia="Arial" w:cs="Arial"/>
          <w:szCs w:val="24"/>
        </w:rPr>
      </w:pPr>
      <w:r>
        <w:rPr>
          <w:rFonts w:eastAsia="Arial" w:cs="Arial"/>
          <w:szCs w:val="24"/>
        </w:rPr>
        <w:t xml:space="preserve">2710 20 16 30, </w:t>
      </w:r>
      <w:r>
        <w:rPr>
          <w:rFonts w:eastAsia="Arial" w:cs="Arial"/>
          <w:szCs w:val="24"/>
        </w:rPr>
        <w:tab/>
        <w:t xml:space="preserve">2710 20 16 90, </w:t>
      </w:r>
      <w:r>
        <w:rPr>
          <w:rFonts w:eastAsia="Arial" w:cs="Arial"/>
          <w:szCs w:val="24"/>
        </w:rPr>
        <w:tab/>
        <w:t xml:space="preserve">3824 99 92 10, </w:t>
      </w:r>
      <w:r>
        <w:rPr>
          <w:rFonts w:eastAsia="Arial" w:cs="Arial"/>
          <w:szCs w:val="24"/>
        </w:rPr>
        <w:tab/>
        <w:t xml:space="preserve">3824 99 92 12, </w:t>
      </w:r>
    </w:p>
    <w:p w14:paraId="6EE4ED3F" w14:textId="77777777" w:rsidR="00C348D8" w:rsidRDefault="00000000">
      <w:pPr>
        <w:rPr>
          <w:rFonts w:eastAsia="Arial" w:cs="Arial"/>
          <w:szCs w:val="24"/>
        </w:rPr>
      </w:pPr>
      <w:r>
        <w:rPr>
          <w:rFonts w:eastAsia="Arial" w:cs="Arial"/>
          <w:szCs w:val="24"/>
        </w:rPr>
        <w:t xml:space="preserve">3824 99 92 20, </w:t>
      </w:r>
      <w:r>
        <w:rPr>
          <w:rFonts w:eastAsia="Arial" w:cs="Arial"/>
          <w:szCs w:val="24"/>
        </w:rPr>
        <w:tab/>
        <w:t xml:space="preserve">3826 00 10 20, </w:t>
      </w:r>
      <w:r>
        <w:rPr>
          <w:rFonts w:eastAsia="Arial" w:cs="Arial"/>
          <w:szCs w:val="24"/>
        </w:rPr>
        <w:tab/>
        <w:t xml:space="preserve">3826 00 10 29, </w:t>
      </w:r>
      <w:r>
        <w:rPr>
          <w:rFonts w:eastAsia="Arial" w:cs="Arial"/>
          <w:szCs w:val="24"/>
        </w:rPr>
        <w:tab/>
        <w:t xml:space="preserve">3826 00 10 50, </w:t>
      </w:r>
    </w:p>
    <w:p w14:paraId="5F6E7CAD" w14:textId="77777777" w:rsidR="00C348D8" w:rsidRDefault="00000000">
      <w:pPr>
        <w:rPr>
          <w:rFonts w:eastAsia="Arial" w:cs="Arial"/>
          <w:szCs w:val="24"/>
        </w:rPr>
      </w:pPr>
      <w:r>
        <w:rPr>
          <w:rFonts w:eastAsia="Arial" w:cs="Arial"/>
          <w:szCs w:val="24"/>
        </w:rPr>
        <w:t xml:space="preserve">3826 00 10 59, </w:t>
      </w:r>
      <w:r>
        <w:rPr>
          <w:rFonts w:eastAsia="Arial" w:cs="Arial"/>
          <w:szCs w:val="24"/>
        </w:rPr>
        <w:tab/>
        <w:t xml:space="preserve">3826 00 10 89, </w:t>
      </w:r>
      <w:r>
        <w:rPr>
          <w:rFonts w:eastAsia="Arial" w:cs="Arial"/>
          <w:szCs w:val="24"/>
        </w:rPr>
        <w:tab/>
        <w:t xml:space="preserve">3826 00 10 99, </w:t>
      </w:r>
      <w:r>
        <w:rPr>
          <w:rFonts w:eastAsia="Arial" w:cs="Arial"/>
          <w:szCs w:val="24"/>
        </w:rPr>
        <w:tab/>
        <w:t xml:space="preserve">3826 00 90 11, </w:t>
      </w:r>
    </w:p>
    <w:p w14:paraId="2CB1DD2E" w14:textId="77777777" w:rsidR="00C348D8" w:rsidRDefault="00000000">
      <w:r>
        <w:rPr>
          <w:rFonts w:eastAsia="Arial" w:cs="Arial"/>
          <w:szCs w:val="24"/>
        </w:rPr>
        <w:t xml:space="preserve">3826 00 90 19, </w:t>
      </w:r>
      <w:r>
        <w:tab/>
      </w:r>
      <w:r>
        <w:rPr>
          <w:rFonts w:eastAsia="Arial" w:cs="Arial"/>
          <w:szCs w:val="24"/>
        </w:rPr>
        <w:t>3826 00 90 30</w:t>
      </w:r>
    </w:p>
    <w:p w14:paraId="3E7EE981" w14:textId="77777777" w:rsidR="00C348D8" w:rsidRDefault="00C348D8">
      <w:pPr>
        <w:spacing w:after="160" w:line="254" w:lineRule="auto"/>
        <w:rPr>
          <w:rFonts w:eastAsia="Arial" w:cs="Arial"/>
          <w:sz w:val="22"/>
        </w:rPr>
      </w:pPr>
    </w:p>
    <w:p w14:paraId="25D0D1C2" w14:textId="77777777" w:rsidR="00C348D8" w:rsidRDefault="00000000">
      <w:pPr>
        <w:pStyle w:val="paragraph"/>
        <w:spacing w:before="0" w:after="0"/>
        <w:textAlignment w:val="baseline"/>
      </w:pPr>
      <w:r>
        <w:rPr>
          <w:rStyle w:val="normaltextrun"/>
          <w:rFonts w:ascii="Arial" w:hAnsi="Arial" w:cs="Arial"/>
        </w:rPr>
        <w:t>These commodity codes are only given for information.</w:t>
      </w:r>
    </w:p>
    <w:p w14:paraId="570BB56D" w14:textId="77777777" w:rsidR="00C348D8" w:rsidRDefault="00000000">
      <w:pPr>
        <w:pStyle w:val="paragraph"/>
        <w:spacing w:before="0" w:after="0"/>
        <w:textAlignment w:val="baseline"/>
      </w:pPr>
      <w:r>
        <w:rPr>
          <w:rStyle w:val="eop"/>
          <w:rFonts w:ascii="Arial" w:hAnsi="Arial" w:cs="Arial"/>
        </w:rPr>
        <w:t xml:space="preserve"> </w:t>
      </w:r>
    </w:p>
    <w:p w14:paraId="773BE80B" w14:textId="77777777" w:rsidR="00C348D8" w:rsidRDefault="00000000">
      <w:pPr>
        <w:pStyle w:val="paragraph"/>
        <w:spacing w:before="0" w:after="0"/>
        <w:textAlignment w:val="baseline"/>
      </w:pPr>
      <w:r>
        <w:rPr>
          <w:rStyle w:val="normaltextrun"/>
          <w:rFonts w:ascii="Arial" w:hAnsi="Arial" w:cs="Arial"/>
        </w:rPr>
        <w:t xml:space="preserve">In this document, these goods will be referred to as </w:t>
      </w:r>
      <w:r>
        <w:rPr>
          <w:rStyle w:val="contextualspellingandgrammarerror"/>
          <w:rFonts w:ascii="Arial" w:hAnsi="Arial" w:cs="Arial"/>
        </w:rPr>
        <w:t>‘</w:t>
      </w:r>
      <w:r>
        <w:rPr>
          <w:rStyle w:val="normaltextrun"/>
          <w:rFonts w:ascii="Arial" w:hAnsi="Arial" w:cs="Arial"/>
        </w:rPr>
        <w:t xml:space="preserve">the goods concerned’. Any reference to </w:t>
      </w:r>
      <w:r>
        <w:rPr>
          <w:rStyle w:val="contextualspellingandgrammarerror"/>
          <w:rFonts w:ascii="Arial" w:hAnsi="Arial" w:cs="Arial"/>
        </w:rPr>
        <w:t>‘</w:t>
      </w:r>
      <w:r>
        <w:rPr>
          <w:rStyle w:val="normaltextrun"/>
          <w:rFonts w:ascii="Arial" w:hAnsi="Arial" w:cs="Arial"/>
        </w:rPr>
        <w:t>goods concerned’ in this document refers to the goods description above, regardless of the commodity code under which they are exported.</w:t>
      </w:r>
    </w:p>
    <w:p w14:paraId="5041D8D8" w14:textId="77777777" w:rsidR="00C348D8" w:rsidRDefault="00000000">
      <w:pPr>
        <w:pStyle w:val="paragraph"/>
        <w:spacing w:before="0" w:after="0"/>
        <w:jc w:val="right"/>
        <w:textAlignment w:val="baseline"/>
      </w:pPr>
      <w:r>
        <w:rPr>
          <w:rStyle w:val="eop"/>
          <w:rFonts w:ascii="Arial" w:hAnsi="Arial" w:cs="Arial"/>
        </w:rPr>
        <w:t xml:space="preserve"> </w:t>
      </w:r>
    </w:p>
    <w:p w14:paraId="0928B136" w14:textId="77777777" w:rsidR="00C348D8" w:rsidRDefault="00C348D8">
      <w:pPr>
        <w:pStyle w:val="paragraph"/>
        <w:spacing w:before="0" w:after="0"/>
        <w:textAlignment w:val="baseline"/>
        <w:rPr>
          <w:rFonts w:ascii="Segoe UI" w:hAnsi="Segoe UI" w:cs="Segoe UI"/>
          <w:sz w:val="18"/>
          <w:szCs w:val="18"/>
        </w:rPr>
      </w:pPr>
    </w:p>
    <w:p w14:paraId="792316D1" w14:textId="77777777" w:rsidR="00C348D8" w:rsidRDefault="00000000">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522F4497" w14:textId="77777777" w:rsidR="00C348D8" w:rsidRDefault="00C348D8">
      <w:pPr>
        <w:pStyle w:val="paragraph"/>
        <w:spacing w:before="0" w:after="0"/>
        <w:textAlignment w:val="baseline"/>
      </w:pPr>
    </w:p>
    <w:p w14:paraId="7A6727A6" w14:textId="77777777" w:rsidR="00C348D8" w:rsidRDefault="00000000">
      <w:pPr>
        <w:pStyle w:val="paragraph"/>
        <w:spacing w:before="0" w:after="0"/>
        <w:textAlignment w:val="baseline"/>
      </w:pPr>
      <w:r>
        <w:rPr>
          <w:rStyle w:val="normaltextrun"/>
          <w:rFonts w:ascii="Arial" w:hAnsi="Arial" w:cs="Arial"/>
        </w:rPr>
        <w:t>Any reference to ‘like goods’ in this document refers to goods produced in the UK or imported to the UK from a country other than the People’s Republic of China which are like the goods concerned in all respects, or with characteristics closely resembling them.</w:t>
      </w:r>
    </w:p>
    <w:p w14:paraId="6269007E" w14:textId="77777777" w:rsidR="00C348D8" w:rsidRDefault="00000000">
      <w:pPr>
        <w:pStyle w:val="paragraph"/>
        <w:spacing w:before="0" w:after="0"/>
        <w:textAlignment w:val="baseline"/>
      </w:pPr>
      <w:r>
        <w:rPr>
          <w:rStyle w:val="eop"/>
          <w:rFonts w:ascii="Arial" w:hAnsi="Arial" w:cs="Arial"/>
          <w:b/>
        </w:rPr>
        <w:t xml:space="preserve"> </w:t>
      </w:r>
    </w:p>
    <w:p w14:paraId="7144BEE8" w14:textId="77777777" w:rsidR="00C348D8" w:rsidRDefault="00000000">
      <w:r>
        <w:rPr>
          <w:rStyle w:val="normaltextrun"/>
          <w:rFonts w:eastAsia="Times New Roman" w:cs="Arial"/>
          <w:b/>
          <w:szCs w:val="24"/>
          <w:lang w:eastAsia="en-GB"/>
        </w:rPr>
        <w:t>Please follow the instructions for each question to provide the appropriate information regarding the goods concerned or like goods.</w:t>
      </w:r>
    </w:p>
    <w:p w14:paraId="755CC204" w14:textId="77777777" w:rsidR="00C348D8" w:rsidRDefault="00C348D8"/>
    <w:p w14:paraId="028BF77D" w14:textId="77777777" w:rsidR="00C348D8" w:rsidRDefault="00000000">
      <w:r>
        <w:rPr>
          <w:rFonts w:cs="Arial"/>
          <w:szCs w:val="24"/>
        </w:rPr>
        <w:t xml:space="preserve">For more information about this case, you may refer to the Notice of Initiation published at: </w:t>
      </w:r>
      <w:hyperlink r:id="rId22" w:history="1">
        <w:r>
          <w:rPr>
            <w:rStyle w:val="Hyperlink"/>
            <w:rFonts w:cs="Arial"/>
            <w:bCs/>
          </w:rPr>
          <w:t>www.trade-remedies.service.gov.uk/public/cases/AD0058/</w:t>
        </w:r>
      </w:hyperlink>
      <w:r>
        <w:rPr>
          <w:rFonts w:cs="Arial"/>
          <w:szCs w:val="24"/>
        </w:rPr>
        <w:t xml:space="preserve">. </w:t>
      </w:r>
    </w:p>
    <w:p w14:paraId="4EA21667" w14:textId="77777777" w:rsidR="00C348D8" w:rsidRDefault="00C348D8">
      <w:pPr>
        <w:rPr>
          <w:rFonts w:cs="Arial"/>
          <w:szCs w:val="24"/>
        </w:rPr>
      </w:pPr>
    </w:p>
    <w:p w14:paraId="3B425CC4" w14:textId="77777777" w:rsidR="00C348D8" w:rsidRDefault="00C348D8">
      <w:pPr>
        <w:pageBreakBefore/>
        <w:rPr>
          <w:rFonts w:cs="Arial"/>
          <w:szCs w:val="24"/>
        </w:rPr>
      </w:pPr>
    </w:p>
    <w:p w14:paraId="7BED9288" w14:textId="77777777" w:rsidR="00C348D8" w:rsidRDefault="00000000">
      <w:pPr>
        <w:pStyle w:val="Heading1"/>
        <w:rPr>
          <w:rFonts w:ascii="Arial" w:hAnsi="Arial" w:cs="Arial"/>
          <w:b/>
          <w:bCs/>
          <w:color w:val="auto"/>
        </w:rPr>
      </w:pPr>
      <w:bookmarkStart w:id="5" w:name="_Toc167353332"/>
      <w:r>
        <w:rPr>
          <w:rFonts w:ascii="Arial" w:hAnsi="Arial" w:cs="Arial"/>
          <w:b/>
          <w:bCs/>
          <w:color w:val="auto"/>
        </w:rPr>
        <w:t>Instructions</w:t>
      </w:r>
      <w:bookmarkEnd w:id="3"/>
      <w:bookmarkEnd w:id="4"/>
      <w:bookmarkEnd w:id="5"/>
    </w:p>
    <w:p w14:paraId="641B689C" w14:textId="77777777" w:rsidR="00C348D8" w:rsidRDefault="00C348D8"/>
    <w:p w14:paraId="0A891698" w14:textId="77777777" w:rsidR="00C348D8" w:rsidRDefault="00000000">
      <w:pPr>
        <w:pStyle w:val="Heading3"/>
      </w:pPr>
      <w:bookmarkStart w:id="6" w:name="_Toc167353333"/>
      <w:r>
        <w:t>Who should complete this form?</w:t>
      </w:r>
      <w:bookmarkEnd w:id="6"/>
    </w:p>
    <w:p w14:paraId="48348A9A" w14:textId="77777777" w:rsidR="00C348D8" w:rsidRDefault="00C348D8">
      <w:pPr>
        <w:rPr>
          <w:lang w:eastAsia="en-GB"/>
        </w:rPr>
      </w:pPr>
    </w:p>
    <w:p w14:paraId="22B6176E" w14:textId="77777777" w:rsidR="00C348D8" w:rsidRDefault="00000000">
      <w:pPr>
        <w:rPr>
          <w:rFonts w:cs="Arial"/>
          <w:szCs w:val="24"/>
          <w:lang w:eastAsia="en-GB"/>
        </w:rPr>
      </w:pPr>
      <w:r>
        <w:rPr>
          <w:rFonts w:cs="Arial"/>
          <w:szCs w:val="24"/>
          <w:lang w:eastAsia="en-GB"/>
        </w:rPr>
        <w:t>You should complete this form if you are one of the party types listed at the beginning of this document.</w:t>
      </w:r>
    </w:p>
    <w:p w14:paraId="3EAD9680" w14:textId="77777777" w:rsidR="00C348D8" w:rsidRDefault="00C348D8">
      <w:pPr>
        <w:rPr>
          <w:rFonts w:cs="Arial"/>
          <w:szCs w:val="24"/>
          <w:lang w:eastAsia="en-GB"/>
        </w:rPr>
      </w:pPr>
    </w:p>
    <w:p w14:paraId="2473878A" w14:textId="77777777" w:rsidR="00C348D8" w:rsidRDefault="00000000">
      <w:r>
        <w:rPr>
          <w:rFonts w:cs="Arial"/>
          <w:szCs w:val="24"/>
          <w:lang w:eastAsia="en-GB"/>
        </w:rPr>
        <w:t xml:space="preserve">If you are a UK producer of the like goods, importer or overseas exporter of the </w:t>
      </w:r>
      <w:r>
        <w:rPr>
          <w:rFonts w:cs="Arial"/>
          <w:b/>
          <w:bCs/>
          <w:szCs w:val="24"/>
          <w:lang w:eastAsia="en-GB"/>
        </w:rPr>
        <w:t>goods concerned</w:t>
      </w:r>
      <w:r>
        <w:rPr>
          <w:rFonts w:cs="Arial"/>
          <w:szCs w:val="24"/>
          <w:lang w:eastAsia="en-GB"/>
        </w:rPr>
        <w:t>, please complete the relevant Pre-Sampling Questionnaire.</w:t>
      </w:r>
    </w:p>
    <w:p w14:paraId="7F238734" w14:textId="77777777" w:rsidR="00C348D8" w:rsidRDefault="00C348D8">
      <w:pPr>
        <w:rPr>
          <w:lang w:eastAsia="en-GB"/>
        </w:rPr>
      </w:pPr>
    </w:p>
    <w:p w14:paraId="1106E070" w14:textId="77777777" w:rsidR="00C348D8" w:rsidRDefault="00C348D8">
      <w:pPr>
        <w:rPr>
          <w:lang w:eastAsia="en-GB"/>
        </w:rPr>
      </w:pPr>
    </w:p>
    <w:p w14:paraId="4FDCD69E" w14:textId="77777777" w:rsidR="00C348D8" w:rsidRDefault="00000000">
      <w:pPr>
        <w:pStyle w:val="Heading3"/>
        <w:rPr>
          <w:rFonts w:cs="Arial"/>
          <w:lang w:eastAsia="zh-CN"/>
        </w:rPr>
      </w:pPr>
      <w:bookmarkStart w:id="7" w:name="_Toc32519549"/>
      <w:bookmarkStart w:id="8" w:name="_Toc53524892"/>
      <w:bookmarkStart w:id="9" w:name="_Toc53524939"/>
      <w:bookmarkStart w:id="10" w:name="_Toc53525039"/>
      <w:bookmarkStart w:id="11" w:name="_Toc167353334"/>
      <w:r>
        <w:rPr>
          <w:rFonts w:cs="Arial"/>
          <w:lang w:eastAsia="zh-CN"/>
        </w:rPr>
        <w:t>Note about confidentiality</w:t>
      </w:r>
      <w:bookmarkEnd w:id="7"/>
      <w:bookmarkEnd w:id="8"/>
      <w:bookmarkEnd w:id="9"/>
      <w:bookmarkEnd w:id="10"/>
      <w:bookmarkEnd w:id="11"/>
    </w:p>
    <w:p w14:paraId="6622527F" w14:textId="77777777" w:rsidR="00C348D8" w:rsidRDefault="00C348D8">
      <w:bookmarkStart w:id="12" w:name="_Hlk4494759"/>
      <w:bookmarkEnd w:id="12"/>
    </w:p>
    <w:p w14:paraId="4DC3CFF1" w14:textId="77777777" w:rsidR="00C348D8" w:rsidRDefault="00000000">
      <w:r>
        <w:t>You will need to submit one confidential version and one non-confidential version of this document.</w:t>
      </w:r>
    </w:p>
    <w:p w14:paraId="6C0D296A" w14:textId="77777777" w:rsidR="00C348D8" w:rsidRDefault="00C348D8"/>
    <w:p w14:paraId="4FFAB1AE" w14:textId="77777777" w:rsidR="00C348D8" w:rsidRDefault="00000000">
      <w:r>
        <w:t>Please ensure that each page of information you provide is clearly marked either “Confidential” or “Non-Confidential” in the header.</w:t>
      </w:r>
    </w:p>
    <w:p w14:paraId="5F7F48E2" w14:textId="77777777" w:rsidR="00C348D8" w:rsidRDefault="00C348D8"/>
    <w:p w14:paraId="311BFCCA" w14:textId="77777777" w:rsidR="00C348D8" w:rsidRDefault="00000000">
      <w:r>
        <w:t>It is your responsibility to ensure that the non-confidential version does not contain any confidential information, which includes personal contact information, names and signatures.</w:t>
      </w:r>
    </w:p>
    <w:p w14:paraId="19BDA06F" w14:textId="77777777" w:rsidR="00C348D8" w:rsidRDefault="00C348D8"/>
    <w:p w14:paraId="1AC08E01" w14:textId="77777777" w:rsidR="00C348D8" w:rsidRDefault="00000000">
      <w:r>
        <w:t xml:space="preserve">Please see the TRA’s </w:t>
      </w:r>
      <w:hyperlink r:id="rId23" w:history="1">
        <w:r>
          <w:rPr>
            <w:rStyle w:val="Hyperlink"/>
            <w:rFonts w:cs="Arial"/>
          </w:rPr>
          <w:t>public guidance</w:t>
        </w:r>
      </w:hyperlink>
      <w:r>
        <w:t xml:space="preserve"> for further information on what can be considered confidential and how to prepare a non-confidential version of this document.</w:t>
      </w:r>
    </w:p>
    <w:p w14:paraId="6814815F" w14:textId="77777777" w:rsidR="00C348D8" w:rsidRDefault="00C348D8"/>
    <w:p w14:paraId="75B3FE83" w14:textId="77777777" w:rsidR="00C348D8" w:rsidRDefault="00000000">
      <w:r>
        <w:t>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w:t>
      </w:r>
    </w:p>
    <w:p w14:paraId="1537E21A" w14:textId="77777777" w:rsidR="00C348D8" w:rsidRDefault="00C348D8"/>
    <w:p w14:paraId="1BE9B253" w14:textId="77777777" w:rsidR="00C348D8" w:rsidRDefault="00000000">
      <w:r>
        <w:t xml:space="preserve">The non-confidential version of your submission will be placed on the public file, which is available on </w:t>
      </w:r>
      <w:hyperlink r:id="rId24" w:history="1">
        <w:r>
          <w:rPr>
            <w:rStyle w:val="Hyperlink"/>
            <w:rFonts w:cs="Arial"/>
            <w:bCs/>
          </w:rPr>
          <w:t>www.trade-remedies.service.gov.uk/public/cases/AD0058/</w:t>
        </w:r>
      </w:hyperlink>
      <w:r>
        <w:rPr>
          <w:szCs w:val="24"/>
        </w:rPr>
        <w:t>.</w:t>
      </w:r>
      <w:r>
        <w:t xml:space="preserve"> </w:t>
      </w:r>
    </w:p>
    <w:p w14:paraId="6F6ADA70" w14:textId="77777777" w:rsidR="00C348D8" w:rsidRDefault="00C348D8"/>
    <w:p w14:paraId="714AF50B" w14:textId="77777777" w:rsidR="00C348D8" w:rsidRDefault="00C348D8">
      <w:pPr>
        <w:pageBreakBefore/>
        <w:rPr>
          <w:rFonts w:eastAsia="Times New Roman"/>
          <w:b/>
          <w:sz w:val="32"/>
          <w:szCs w:val="26"/>
        </w:rPr>
      </w:pPr>
    </w:p>
    <w:p w14:paraId="63A798A9" w14:textId="77777777" w:rsidR="00C348D8" w:rsidRDefault="00000000">
      <w:pPr>
        <w:pStyle w:val="Heading1"/>
        <w:rPr>
          <w:rFonts w:ascii="Arial" w:hAnsi="Arial" w:cs="Arial"/>
          <w:b/>
          <w:bCs/>
          <w:color w:val="auto"/>
        </w:rPr>
      </w:pPr>
      <w:bookmarkStart w:id="13" w:name="_Toc53524893"/>
      <w:bookmarkStart w:id="14" w:name="_Toc167353335"/>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p>
    <w:p w14:paraId="2F987A5D" w14:textId="77777777" w:rsidR="00C348D8" w:rsidRDefault="00C348D8">
      <w:pPr>
        <w:spacing w:line="22" w:lineRule="atLeast"/>
        <w:rPr>
          <w:rFonts w:eastAsia="Arial" w:cs="Arial"/>
          <w:szCs w:val="24"/>
        </w:rPr>
      </w:pPr>
    </w:p>
    <w:p w14:paraId="079B1C01" w14:textId="77777777" w:rsidR="00C348D8" w:rsidRDefault="00000000">
      <w:pPr>
        <w:spacing w:line="22" w:lineRule="atLeast"/>
        <w:rPr>
          <w:rFonts w:eastAsia="Arial" w:cs="Arial"/>
          <w:szCs w:val="24"/>
        </w:rPr>
      </w:pPr>
      <w:r>
        <w:rPr>
          <w:rFonts w:eastAsia="Arial" w:cs="Arial"/>
          <w:szCs w:val="24"/>
        </w:rPr>
        <w:t>To register your organisation’s interest in this investigation, please complete the text boxes below.</w:t>
      </w:r>
    </w:p>
    <w:p w14:paraId="648DFA26" w14:textId="77777777" w:rsidR="00C348D8" w:rsidRDefault="00C348D8">
      <w:pPr>
        <w:spacing w:line="22" w:lineRule="atLeast"/>
      </w:pPr>
    </w:p>
    <w:p w14:paraId="35C26EF4" w14:textId="77777777" w:rsidR="00C348D8" w:rsidRDefault="00000000">
      <w:pPr>
        <w:spacing w:line="22" w:lineRule="atLeast"/>
      </w:pPr>
      <w:r>
        <w:rPr>
          <w:rFonts w:cs="Arial"/>
          <w:szCs w:val="24"/>
        </w:rPr>
        <w:t xml:space="preserve">Please describe your role with regards to the like goods and/or </w:t>
      </w:r>
      <w:r>
        <w:rPr>
          <w:rFonts w:eastAsia="Times New Roman" w:cs="Arial"/>
          <w:szCs w:val="24"/>
        </w:rPr>
        <w:t>goods concerned</w:t>
      </w:r>
      <w:r>
        <w:rPr>
          <w:rFonts w:cs="Arial"/>
          <w:szCs w:val="24"/>
        </w:rPr>
        <w:t>:</w:t>
      </w:r>
    </w:p>
    <w:p w14:paraId="7F2756BC" w14:textId="77777777" w:rsidR="00C348D8" w:rsidRDefault="00000000">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282B3FA" wp14:editId="57143F87">
                <wp:simplePos x="0" y="0"/>
                <wp:positionH relativeFrom="margin">
                  <wp:align>left</wp:align>
                </wp:positionH>
                <wp:positionV relativeFrom="paragraph">
                  <wp:posOffset>296549</wp:posOffset>
                </wp:positionV>
                <wp:extent cx="5704841" cy="2047241"/>
                <wp:effectExtent l="0" t="0" r="10159" b="10159"/>
                <wp:wrapSquare wrapText="bothSides"/>
                <wp:docPr id="1632338095"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3322299" w14:textId="769FE859" w:rsidR="006370E7" w:rsidRDefault="001C3D16" w:rsidP="006370E7">
                            <w:pPr>
                              <w:rPr>
                                <w:rStyle w:val="PlaceholderText"/>
                              </w:rPr>
                            </w:pPr>
                            <w:r>
                              <w:rPr>
                                <w:rStyle w:val="PlaceholderText"/>
                              </w:rPr>
                              <w:t>Gasrec builds, owns and operates refuelling stations that supply bio-LNG as a fuel for heavy goods vehicles. Bio-LNG is a low-carbon alternative to diesel.</w:t>
                            </w:r>
                            <w:r w:rsidR="006370E7">
                              <w:rPr>
                                <w:rStyle w:val="PlaceholderText"/>
                              </w:rPr>
                              <w:t xml:space="preserve"> Consequently, Gasrec</w:t>
                            </w:r>
                            <w:r w:rsidR="006370E7">
                              <w:rPr>
                                <w:rStyle w:val="PlaceholderText"/>
                              </w:rPr>
                              <w:t xml:space="preserve"> competes </w:t>
                            </w:r>
                            <w:r w:rsidR="006370E7">
                              <w:rPr>
                                <w:rStyle w:val="PlaceholderText"/>
                              </w:rPr>
                              <w:t>against</w:t>
                            </w:r>
                            <w:r w:rsidR="006370E7">
                              <w:rPr>
                                <w:rStyle w:val="PlaceholderText"/>
                              </w:rPr>
                              <w:t xml:space="preserve"> biodiesel</w:t>
                            </w:r>
                            <w:r w:rsidR="006370E7" w:rsidRPr="006370E7">
                              <w:rPr>
                                <w:rStyle w:val="PlaceholderText"/>
                              </w:rPr>
                              <w:t xml:space="preserve"> </w:t>
                            </w:r>
                            <w:r w:rsidR="006370E7">
                              <w:rPr>
                                <w:rStyle w:val="PlaceholderText"/>
                              </w:rPr>
                              <w:t xml:space="preserve">for market share. </w:t>
                            </w:r>
                          </w:p>
                          <w:p w14:paraId="08B850B4" w14:textId="15662984" w:rsidR="00C348D8" w:rsidRDefault="00C348D8"/>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5282B3FA" id="_x0000_t202" coordsize="21600,21600" o:spt="202" path="m,l,21600r21600,l21600,xe">
                <v:stroke joinstyle="miter"/>
                <v:path gradientshapeok="t" o:connecttype="rect"/>
              </v:shapetype>
              <v:shape id="Text Box 2" o:spid="_x0000_s1026" type="#_x0000_t202" style="position:absolute;margin-left:0;margin-top:23.35pt;width:449.2pt;height:161.2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63322299" w14:textId="769FE859" w:rsidR="006370E7" w:rsidRDefault="001C3D16" w:rsidP="006370E7">
                      <w:pPr>
                        <w:rPr>
                          <w:rStyle w:val="PlaceholderText"/>
                        </w:rPr>
                      </w:pPr>
                      <w:r>
                        <w:rPr>
                          <w:rStyle w:val="PlaceholderText"/>
                        </w:rPr>
                        <w:t>Gasrec builds, owns and operates refuelling stations that supply bio-LNG as a fuel for heavy goods vehicles. Bio-LNG is a low-carbon alternative to diesel.</w:t>
                      </w:r>
                      <w:r w:rsidR="006370E7">
                        <w:rPr>
                          <w:rStyle w:val="PlaceholderText"/>
                        </w:rPr>
                        <w:t xml:space="preserve"> Consequently, Gasrec</w:t>
                      </w:r>
                      <w:r w:rsidR="006370E7">
                        <w:rPr>
                          <w:rStyle w:val="PlaceholderText"/>
                        </w:rPr>
                        <w:t xml:space="preserve"> competes </w:t>
                      </w:r>
                      <w:r w:rsidR="006370E7">
                        <w:rPr>
                          <w:rStyle w:val="PlaceholderText"/>
                        </w:rPr>
                        <w:t>against</w:t>
                      </w:r>
                      <w:r w:rsidR="006370E7">
                        <w:rPr>
                          <w:rStyle w:val="PlaceholderText"/>
                        </w:rPr>
                        <w:t xml:space="preserve"> biodiesel</w:t>
                      </w:r>
                      <w:r w:rsidR="006370E7" w:rsidRPr="006370E7">
                        <w:rPr>
                          <w:rStyle w:val="PlaceholderText"/>
                        </w:rPr>
                        <w:t xml:space="preserve"> </w:t>
                      </w:r>
                      <w:r w:rsidR="006370E7">
                        <w:rPr>
                          <w:rStyle w:val="PlaceholderText"/>
                        </w:rPr>
                        <w:t xml:space="preserve">for market share. </w:t>
                      </w:r>
                    </w:p>
                    <w:p w14:paraId="08B850B4" w14:textId="15662984" w:rsidR="00C348D8" w:rsidRDefault="00C348D8"/>
                  </w:txbxContent>
                </v:textbox>
                <w10:wrap type="square" anchorx="margin"/>
              </v:shape>
            </w:pict>
          </mc:Fallback>
        </mc:AlternateContent>
      </w:r>
    </w:p>
    <w:p w14:paraId="2337712B" w14:textId="77777777" w:rsidR="00C348D8" w:rsidRDefault="00C348D8">
      <w:pPr>
        <w:spacing w:line="22" w:lineRule="atLeast"/>
        <w:rPr>
          <w:rFonts w:cs="Arial"/>
          <w:szCs w:val="24"/>
        </w:rPr>
      </w:pPr>
    </w:p>
    <w:p w14:paraId="20FD56AA" w14:textId="77777777" w:rsidR="00C348D8" w:rsidRDefault="00C348D8">
      <w:pPr>
        <w:spacing w:line="22" w:lineRule="atLeast"/>
        <w:rPr>
          <w:rFonts w:cs="Arial"/>
          <w:szCs w:val="24"/>
        </w:rPr>
      </w:pPr>
    </w:p>
    <w:p w14:paraId="31F27BA5" w14:textId="77777777" w:rsidR="00C348D8" w:rsidRDefault="00000000">
      <w:pPr>
        <w:spacing w:line="22" w:lineRule="atLeast"/>
      </w:pPr>
      <w:r>
        <w:rPr>
          <w:rFonts w:cs="Arial"/>
          <w:szCs w:val="24"/>
        </w:rPr>
        <w:t>Please describe your interest in this investigation:</w:t>
      </w:r>
    </w:p>
    <w:p w14:paraId="3E7E3226" w14:textId="77777777" w:rsidR="00C348D8" w:rsidRDefault="00000000">
      <w:pPr>
        <w:spacing w:line="22" w:lineRule="atLeast"/>
      </w:pPr>
      <w:r>
        <w:rPr>
          <w:noProof/>
        </w:rPr>
        <mc:AlternateContent>
          <mc:Choice Requires="wps">
            <w:drawing>
              <wp:anchor distT="0" distB="0" distL="114300" distR="114300" simplePos="0" relativeHeight="251658241" behindDoc="0" locked="0" layoutInCell="1" allowOverlap="1" wp14:anchorId="4B2EFC3E" wp14:editId="5885DB66">
                <wp:simplePos x="0" y="0"/>
                <wp:positionH relativeFrom="margin">
                  <wp:align>left</wp:align>
                </wp:positionH>
                <wp:positionV relativeFrom="paragraph">
                  <wp:posOffset>196211</wp:posOffset>
                </wp:positionV>
                <wp:extent cx="5704841" cy="2047241"/>
                <wp:effectExtent l="0" t="0" r="10159" b="10159"/>
                <wp:wrapSquare wrapText="bothSides"/>
                <wp:docPr id="87620788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EF436C5" w14:textId="3946C6B0" w:rsidR="00C348D8" w:rsidRDefault="001C3D16">
                            <w:pPr>
                              <w:rPr>
                                <w:rFonts w:cs="Arial"/>
                              </w:rPr>
                            </w:pPr>
                            <w:r>
                              <w:rPr>
                                <w:rStyle w:val="PlaceholderText"/>
                              </w:rPr>
                              <w:t xml:space="preserve">Increases in the supply of biodiesel reduces the cost of diesel and the value of Renewable Transport Fuel </w:t>
                            </w:r>
                            <w:bookmarkStart w:id="15" w:name="_Hlk170131022"/>
                            <w:r>
                              <w:rPr>
                                <w:rStyle w:val="PlaceholderText"/>
                              </w:rPr>
                              <w:t xml:space="preserve">Certificates. </w:t>
                            </w:r>
                            <w:r w:rsidR="006370E7">
                              <w:rPr>
                                <w:rStyle w:val="PlaceholderText"/>
                              </w:rPr>
                              <w:t xml:space="preserve">This </w:t>
                            </w:r>
                            <w:r w:rsidR="00053EE5">
                              <w:rPr>
                                <w:rStyle w:val="PlaceholderText"/>
                              </w:rPr>
                              <w:t xml:space="preserve">reduces the profitability of bio-LNG stations and </w:t>
                            </w:r>
                            <w:r w:rsidR="006370E7">
                              <w:rPr>
                                <w:rStyle w:val="PlaceholderText"/>
                              </w:rPr>
                              <w:t>makes it much harder for bio-LNG</w:t>
                            </w:r>
                            <w:bookmarkEnd w:id="15"/>
                            <w:r w:rsidR="006370E7">
                              <w:rPr>
                                <w:rStyle w:val="PlaceholderText"/>
                              </w:rPr>
                              <w:t xml:space="preserve"> to compete for market share </w:t>
                            </w:r>
                            <w:r w:rsidR="00053EE5">
                              <w:rPr>
                                <w:rStyle w:val="PlaceholderText"/>
                              </w:rPr>
                              <w:t>and for Gasrec to invest in a network of refuelling stations.</w:t>
                            </w:r>
                            <w:r w:rsidR="003A2BB0">
                              <w:rPr>
                                <w:rStyle w:val="PlaceholderText"/>
                              </w:rPr>
                              <w:t xml:space="preserve"> In turn this has a direct impact on the of value Gasrec </w:t>
                            </w:r>
                            <w:proofErr w:type="gramStart"/>
                            <w:r w:rsidR="003A2BB0">
                              <w:rPr>
                                <w:rStyle w:val="PlaceholderText"/>
                              </w:rPr>
                              <w:t>is able to</w:t>
                            </w:r>
                            <w:proofErr w:type="gramEnd"/>
                            <w:r w:rsidR="003A2BB0">
                              <w:rPr>
                                <w:rStyle w:val="PlaceholderText"/>
                              </w:rPr>
                              <w:t xml:space="preserve"> pay for biomethane and challenges the viability of biomethane production.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4B2EFC3E" id="Text Box 3" o:spid="_x0000_s1027" type="#_x0000_t202" style="position:absolute;margin-left:0;margin-top:15.45pt;width:449.2pt;height:161.2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2EF436C5" w14:textId="3946C6B0" w:rsidR="00C348D8" w:rsidRDefault="001C3D16">
                      <w:pPr>
                        <w:rPr>
                          <w:rFonts w:cs="Arial"/>
                        </w:rPr>
                      </w:pPr>
                      <w:r>
                        <w:rPr>
                          <w:rStyle w:val="PlaceholderText"/>
                        </w:rPr>
                        <w:t xml:space="preserve">Increases in the supply of biodiesel reduces the cost of diesel and the value of Renewable Transport Fuel </w:t>
                      </w:r>
                      <w:bookmarkStart w:id="16" w:name="_Hlk170131022"/>
                      <w:r>
                        <w:rPr>
                          <w:rStyle w:val="PlaceholderText"/>
                        </w:rPr>
                        <w:t xml:space="preserve">Certificates. </w:t>
                      </w:r>
                      <w:r w:rsidR="006370E7">
                        <w:rPr>
                          <w:rStyle w:val="PlaceholderText"/>
                        </w:rPr>
                        <w:t xml:space="preserve">This </w:t>
                      </w:r>
                      <w:r w:rsidR="00053EE5">
                        <w:rPr>
                          <w:rStyle w:val="PlaceholderText"/>
                        </w:rPr>
                        <w:t xml:space="preserve">reduces the profitability of bio-LNG stations and </w:t>
                      </w:r>
                      <w:r w:rsidR="006370E7">
                        <w:rPr>
                          <w:rStyle w:val="PlaceholderText"/>
                        </w:rPr>
                        <w:t>makes it much harder for bio-LNG</w:t>
                      </w:r>
                      <w:bookmarkEnd w:id="16"/>
                      <w:r w:rsidR="006370E7">
                        <w:rPr>
                          <w:rStyle w:val="PlaceholderText"/>
                        </w:rPr>
                        <w:t xml:space="preserve"> to compete for market share </w:t>
                      </w:r>
                      <w:r w:rsidR="00053EE5">
                        <w:rPr>
                          <w:rStyle w:val="PlaceholderText"/>
                        </w:rPr>
                        <w:t>and for Gasrec to invest in a network of refuelling stations.</w:t>
                      </w:r>
                      <w:r w:rsidR="003A2BB0">
                        <w:rPr>
                          <w:rStyle w:val="PlaceholderText"/>
                        </w:rPr>
                        <w:t xml:space="preserve"> In turn this has a direct impact on the of value Gasrec </w:t>
                      </w:r>
                      <w:proofErr w:type="gramStart"/>
                      <w:r w:rsidR="003A2BB0">
                        <w:rPr>
                          <w:rStyle w:val="PlaceholderText"/>
                        </w:rPr>
                        <w:t>is able to</w:t>
                      </w:r>
                      <w:proofErr w:type="gramEnd"/>
                      <w:r w:rsidR="003A2BB0">
                        <w:rPr>
                          <w:rStyle w:val="PlaceholderText"/>
                        </w:rPr>
                        <w:t xml:space="preserve"> pay for biomethane and challenges the viability of biomethane production. </w:t>
                      </w:r>
                    </w:p>
                  </w:txbxContent>
                </v:textbox>
                <w10:wrap type="square" anchorx="margin"/>
              </v:shape>
            </w:pict>
          </mc:Fallback>
        </mc:AlternateContent>
      </w:r>
    </w:p>
    <w:p w14:paraId="0A56A10B" w14:textId="77777777" w:rsidR="00C348D8" w:rsidRDefault="00C348D8"/>
    <w:p w14:paraId="386CD02E" w14:textId="77777777" w:rsidR="00C348D8" w:rsidRDefault="00C348D8">
      <w:pPr>
        <w:rPr>
          <w:rFonts w:eastAsia="Times New Roman"/>
          <w:b/>
          <w:sz w:val="32"/>
          <w:szCs w:val="26"/>
        </w:rPr>
      </w:pPr>
      <w:bookmarkStart w:id="17" w:name="_Toc32519559"/>
    </w:p>
    <w:p w14:paraId="417B3C7E" w14:textId="77777777" w:rsidR="00C348D8" w:rsidRDefault="00000000">
      <w:pPr>
        <w:pStyle w:val="Heading1"/>
        <w:pageBreakBefore/>
        <w:rPr>
          <w:rFonts w:ascii="Arial" w:hAnsi="Arial" w:cs="Arial"/>
          <w:b/>
          <w:bCs/>
          <w:color w:val="auto"/>
        </w:rPr>
      </w:pPr>
      <w:bookmarkStart w:id="18" w:name="_Toc53524894"/>
      <w:bookmarkStart w:id="19" w:name="_Toc167353336"/>
      <w:r>
        <w:rPr>
          <w:rFonts w:ascii="Arial" w:hAnsi="Arial" w:cs="Arial"/>
          <w:b/>
          <w:bCs/>
          <w:color w:val="auto"/>
        </w:rPr>
        <w:lastRenderedPageBreak/>
        <w:t>Section B – Additional information</w:t>
      </w:r>
      <w:bookmarkEnd w:id="17"/>
      <w:bookmarkEnd w:id="18"/>
      <w:bookmarkEnd w:id="19"/>
      <w:r>
        <w:rPr>
          <w:rFonts w:ascii="Arial" w:hAnsi="Arial" w:cs="Arial"/>
          <w:b/>
          <w:bCs/>
          <w:color w:val="auto"/>
        </w:rPr>
        <w:t xml:space="preserve"> </w:t>
      </w:r>
    </w:p>
    <w:p w14:paraId="2FCC8810" w14:textId="1040FD54" w:rsidR="00C348D8" w:rsidRDefault="00C348D8">
      <w:pPr>
        <w:spacing w:line="22" w:lineRule="atLeast"/>
        <w:rPr>
          <w:rFonts w:cs="Arial"/>
        </w:rPr>
      </w:pPr>
    </w:p>
    <w:p w14:paraId="548CA2EE" w14:textId="74528E5E" w:rsidR="00C348D8" w:rsidRDefault="00000000">
      <w:pPr>
        <w:pStyle w:val="Heading3"/>
      </w:pPr>
      <w:bookmarkStart w:id="20" w:name="_Toc167353337"/>
      <w:r>
        <w:t>B1 – Other interested parties</w:t>
      </w:r>
      <w:bookmarkEnd w:id="20"/>
    </w:p>
    <w:p w14:paraId="32536B7D" w14:textId="31CFE866" w:rsidR="00C348D8" w:rsidRDefault="00C348D8"/>
    <w:p w14:paraId="454F6AE2" w14:textId="1DE7DBBB" w:rsidR="00C348D8" w:rsidRDefault="00000000">
      <w:pPr>
        <w:rPr>
          <w:rFonts w:cs="Arial"/>
          <w:szCs w:val="24"/>
        </w:rPr>
      </w:pPr>
      <w:r>
        <w:rPr>
          <w:rFonts w:cs="Arial"/>
          <w:szCs w:val="24"/>
        </w:rPr>
        <w:t>If you believe there are producers, overseas exporters, importers and other interested parties that should receive this document, please provide their organisation name and website details below.</w:t>
      </w:r>
    </w:p>
    <w:p w14:paraId="12C43D17" w14:textId="1C10FF38" w:rsidR="00C348D8" w:rsidRDefault="00C348D8">
      <w:pPr>
        <w:rPr>
          <w:rFonts w:cs="Arial"/>
          <w:szCs w:val="24"/>
        </w:rPr>
      </w:pPr>
    </w:p>
    <w:tbl>
      <w:tblPr>
        <w:tblW w:w="5000" w:type="pct"/>
        <w:tblCellMar>
          <w:left w:w="10" w:type="dxa"/>
          <w:right w:w="10" w:type="dxa"/>
        </w:tblCellMar>
        <w:tblLook w:val="0000" w:firstRow="0" w:lastRow="0" w:firstColumn="0" w:lastColumn="0" w:noHBand="0" w:noVBand="0"/>
      </w:tblPr>
      <w:tblGrid>
        <w:gridCol w:w="3336"/>
        <w:gridCol w:w="5680"/>
      </w:tblGrid>
      <w:tr w:rsidR="00C348D8" w14:paraId="196ECDD3" w14:textId="77777777" w:rsidTr="00F55198">
        <w:tblPrEx>
          <w:tblCellMar>
            <w:top w:w="0" w:type="dxa"/>
            <w:bottom w:w="0" w:type="dxa"/>
          </w:tblCellMar>
        </w:tblPrEx>
        <w:tc>
          <w:tcPr>
            <w:tcW w:w="185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685ECB" w14:textId="77777777" w:rsidR="00C348D8" w:rsidRDefault="00000000">
            <w:pPr>
              <w:jc w:val="center"/>
              <w:rPr>
                <w:rFonts w:cs="Arial"/>
                <w:b/>
                <w:bCs/>
                <w:szCs w:val="24"/>
              </w:rPr>
            </w:pPr>
            <w:r>
              <w:rPr>
                <w:rFonts w:cs="Arial"/>
                <w:b/>
                <w:bCs/>
                <w:szCs w:val="24"/>
              </w:rPr>
              <w:t>Organisation name</w:t>
            </w:r>
          </w:p>
        </w:tc>
        <w:tc>
          <w:tcPr>
            <w:tcW w:w="315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095780" w14:textId="77777777" w:rsidR="00C348D8" w:rsidRDefault="00000000">
            <w:pPr>
              <w:jc w:val="center"/>
              <w:rPr>
                <w:rFonts w:cs="Arial"/>
                <w:b/>
                <w:bCs/>
                <w:szCs w:val="24"/>
              </w:rPr>
            </w:pPr>
            <w:r>
              <w:rPr>
                <w:rFonts w:cs="Arial"/>
                <w:b/>
                <w:bCs/>
                <w:szCs w:val="24"/>
              </w:rPr>
              <w:t>Website</w:t>
            </w:r>
          </w:p>
        </w:tc>
      </w:tr>
      <w:tr w:rsidR="00C348D8" w14:paraId="5A954C5A" w14:textId="77777777" w:rsidTr="00F55198">
        <w:tblPrEx>
          <w:tblCellMar>
            <w:top w:w="0" w:type="dxa"/>
            <w:bottom w:w="0" w:type="dxa"/>
          </w:tblCellMar>
        </w:tblPrEx>
        <w:tc>
          <w:tcPr>
            <w:tcW w:w="18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AE919" w14:textId="77777777" w:rsidR="00C348D8" w:rsidRDefault="00C348D8">
            <w:pPr>
              <w:rPr>
                <w:rFonts w:cs="Arial"/>
                <w:szCs w:val="24"/>
              </w:rPr>
            </w:pPr>
          </w:p>
          <w:p w14:paraId="4B2D4EEE" w14:textId="68A9655E" w:rsidR="00C348D8" w:rsidRDefault="00F55198">
            <w:pPr>
              <w:rPr>
                <w:rFonts w:cs="Arial"/>
                <w:szCs w:val="24"/>
              </w:rPr>
            </w:pPr>
            <w:r>
              <w:rPr>
                <w:rFonts w:cs="Arial"/>
                <w:szCs w:val="24"/>
              </w:rPr>
              <w:t>BP plc</w:t>
            </w:r>
          </w:p>
        </w:tc>
        <w:tc>
          <w:tcPr>
            <w:tcW w:w="31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311B" w14:textId="5BC3A124" w:rsidR="00C348D8" w:rsidRDefault="00F55198">
            <w:pPr>
              <w:rPr>
                <w:rFonts w:cs="Arial"/>
                <w:szCs w:val="24"/>
              </w:rPr>
            </w:pPr>
            <w:hyperlink r:id="rId25" w:history="1">
              <w:r w:rsidRPr="00AB0613">
                <w:rPr>
                  <w:rStyle w:val="Hyperlink"/>
                  <w:rFonts w:cs="Arial"/>
                  <w:szCs w:val="24"/>
                </w:rPr>
                <w:t>www.bp.com</w:t>
              </w:r>
            </w:hyperlink>
          </w:p>
          <w:p w14:paraId="2439DB0D" w14:textId="23C5773E" w:rsidR="00F55198" w:rsidRDefault="00F55198">
            <w:pPr>
              <w:rPr>
                <w:rFonts w:cs="Arial"/>
                <w:szCs w:val="24"/>
              </w:rPr>
            </w:pPr>
          </w:p>
        </w:tc>
      </w:tr>
      <w:tr w:rsidR="00C348D8" w14:paraId="2490375B" w14:textId="77777777" w:rsidTr="00F55198">
        <w:tblPrEx>
          <w:tblCellMar>
            <w:top w:w="0" w:type="dxa"/>
            <w:bottom w:w="0" w:type="dxa"/>
          </w:tblCellMar>
        </w:tblPrEx>
        <w:tc>
          <w:tcPr>
            <w:tcW w:w="18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EF3D" w14:textId="77777777" w:rsidR="00C348D8" w:rsidRDefault="00C348D8">
            <w:pPr>
              <w:rPr>
                <w:rFonts w:cs="Arial"/>
                <w:szCs w:val="24"/>
              </w:rPr>
            </w:pPr>
          </w:p>
          <w:p w14:paraId="684CC921" w14:textId="10E76FF2" w:rsidR="00C348D8" w:rsidRDefault="00F55198">
            <w:pPr>
              <w:rPr>
                <w:rFonts w:cs="Arial"/>
                <w:szCs w:val="24"/>
              </w:rPr>
            </w:pPr>
            <w:r>
              <w:rPr>
                <w:rFonts w:cs="Arial"/>
                <w:szCs w:val="24"/>
              </w:rPr>
              <w:t>Shell plc</w:t>
            </w:r>
          </w:p>
        </w:tc>
        <w:tc>
          <w:tcPr>
            <w:tcW w:w="31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A7CFE" w14:textId="3CA6A2D3" w:rsidR="00C348D8" w:rsidRDefault="00F55198">
            <w:pPr>
              <w:rPr>
                <w:rFonts w:cs="Arial"/>
                <w:szCs w:val="24"/>
              </w:rPr>
            </w:pPr>
            <w:hyperlink r:id="rId26" w:history="1">
              <w:r w:rsidRPr="00AB0613">
                <w:rPr>
                  <w:rStyle w:val="Hyperlink"/>
                  <w:rFonts w:cs="Arial"/>
                  <w:szCs w:val="24"/>
                </w:rPr>
                <w:t>www.shell.com</w:t>
              </w:r>
            </w:hyperlink>
          </w:p>
          <w:p w14:paraId="64CCEC40" w14:textId="61D52FD2" w:rsidR="00F55198" w:rsidRDefault="00F55198">
            <w:pPr>
              <w:rPr>
                <w:rFonts w:cs="Arial"/>
                <w:szCs w:val="24"/>
              </w:rPr>
            </w:pPr>
          </w:p>
        </w:tc>
      </w:tr>
      <w:tr w:rsidR="00C348D8" w14:paraId="5EA0A107" w14:textId="77777777" w:rsidTr="00F55198">
        <w:tblPrEx>
          <w:tblCellMar>
            <w:top w:w="0" w:type="dxa"/>
            <w:bottom w:w="0" w:type="dxa"/>
          </w:tblCellMar>
        </w:tblPrEx>
        <w:tc>
          <w:tcPr>
            <w:tcW w:w="18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6B4F" w14:textId="77777777" w:rsidR="00C348D8" w:rsidRDefault="00C348D8">
            <w:pPr>
              <w:rPr>
                <w:rFonts w:cs="Arial"/>
                <w:szCs w:val="24"/>
              </w:rPr>
            </w:pPr>
          </w:p>
          <w:p w14:paraId="172999F5" w14:textId="344ACD9C" w:rsidR="00C348D8" w:rsidRDefault="00F55198">
            <w:pPr>
              <w:rPr>
                <w:rFonts w:cs="Arial"/>
                <w:szCs w:val="24"/>
              </w:rPr>
            </w:pPr>
            <w:r>
              <w:rPr>
                <w:rFonts w:cs="Arial"/>
                <w:szCs w:val="24"/>
              </w:rPr>
              <w:t>Essar plc</w:t>
            </w:r>
          </w:p>
        </w:tc>
        <w:tc>
          <w:tcPr>
            <w:tcW w:w="31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2CBC9" w14:textId="77BABA15" w:rsidR="00C348D8" w:rsidRDefault="00F55198">
            <w:pPr>
              <w:rPr>
                <w:rFonts w:cs="Arial"/>
                <w:szCs w:val="24"/>
              </w:rPr>
            </w:pPr>
            <w:hyperlink r:id="rId27" w:history="1">
              <w:r w:rsidRPr="00AB0613">
                <w:rPr>
                  <w:rStyle w:val="Hyperlink"/>
                  <w:rFonts w:cs="Arial"/>
                  <w:szCs w:val="24"/>
                </w:rPr>
                <w:t>www.essar.com</w:t>
              </w:r>
            </w:hyperlink>
          </w:p>
          <w:p w14:paraId="320400D4" w14:textId="16647A72" w:rsidR="00F55198" w:rsidRDefault="00F55198">
            <w:pPr>
              <w:rPr>
                <w:rFonts w:cs="Arial"/>
                <w:szCs w:val="24"/>
              </w:rPr>
            </w:pPr>
          </w:p>
        </w:tc>
      </w:tr>
      <w:tr w:rsidR="00C348D8" w14:paraId="12788232" w14:textId="77777777" w:rsidTr="00F55198">
        <w:tblPrEx>
          <w:tblCellMar>
            <w:top w:w="0" w:type="dxa"/>
            <w:bottom w:w="0" w:type="dxa"/>
          </w:tblCellMar>
        </w:tblPrEx>
        <w:tc>
          <w:tcPr>
            <w:tcW w:w="18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E657B" w14:textId="77777777" w:rsidR="00C348D8" w:rsidRDefault="00C348D8">
            <w:pPr>
              <w:rPr>
                <w:szCs w:val="24"/>
              </w:rPr>
            </w:pPr>
          </w:p>
          <w:p w14:paraId="0197F4A8" w14:textId="49285EA0" w:rsidR="00C348D8" w:rsidRDefault="003F7084">
            <w:pPr>
              <w:rPr>
                <w:szCs w:val="24"/>
              </w:rPr>
            </w:pPr>
            <w:r>
              <w:rPr>
                <w:szCs w:val="24"/>
              </w:rPr>
              <w:t>Esso plc</w:t>
            </w:r>
          </w:p>
        </w:tc>
        <w:tc>
          <w:tcPr>
            <w:tcW w:w="31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109B" w14:textId="75658207" w:rsidR="00C348D8" w:rsidRDefault="003F7084">
            <w:pPr>
              <w:rPr>
                <w:szCs w:val="24"/>
              </w:rPr>
            </w:pPr>
            <w:hyperlink r:id="rId28" w:history="1">
              <w:r w:rsidRPr="00AB0613">
                <w:rPr>
                  <w:rStyle w:val="Hyperlink"/>
                  <w:szCs w:val="24"/>
                </w:rPr>
                <w:t>www.esso.co.uk</w:t>
              </w:r>
            </w:hyperlink>
          </w:p>
          <w:p w14:paraId="3D9183C2" w14:textId="76EB7ABB" w:rsidR="003F7084" w:rsidRDefault="003F7084">
            <w:pPr>
              <w:rPr>
                <w:szCs w:val="24"/>
              </w:rPr>
            </w:pPr>
          </w:p>
        </w:tc>
      </w:tr>
    </w:tbl>
    <w:p w14:paraId="34277981" w14:textId="49CD9FE1" w:rsidR="00C348D8" w:rsidRDefault="00C348D8">
      <w:pPr>
        <w:spacing w:line="22" w:lineRule="atLeast"/>
        <w:rPr>
          <w:rFonts w:cs="Arial"/>
          <w:szCs w:val="24"/>
        </w:rPr>
      </w:pPr>
    </w:p>
    <w:p w14:paraId="696D0C53" w14:textId="195515BC" w:rsidR="00C348D8" w:rsidRDefault="00C348D8">
      <w:pPr>
        <w:spacing w:line="22" w:lineRule="atLeast"/>
      </w:pPr>
    </w:p>
    <w:p w14:paraId="177EAA6A" w14:textId="77777777" w:rsidR="00C348D8" w:rsidRDefault="00000000">
      <w:pPr>
        <w:pStyle w:val="Heading3"/>
      </w:pPr>
      <w:bookmarkStart w:id="21" w:name="_Toc167353338"/>
      <w:r>
        <w:t>B2 – Particular Market Situation</w:t>
      </w:r>
      <w:bookmarkEnd w:id="21"/>
    </w:p>
    <w:p w14:paraId="715C6B50" w14:textId="18D7578B" w:rsidR="00C348D8" w:rsidRDefault="00C348D8">
      <w:pPr>
        <w:textAlignment w:val="auto"/>
        <w:rPr>
          <w:rFonts w:eastAsia="Yu Mincho" w:cs="Arial"/>
          <w:szCs w:val="24"/>
        </w:rPr>
      </w:pPr>
    </w:p>
    <w:p w14:paraId="018DCEDB" w14:textId="7A20163D" w:rsidR="00C348D8" w:rsidRDefault="00000000">
      <w:pPr>
        <w:textAlignment w:val="auto"/>
        <w:rPr>
          <w:rFonts w:eastAsia="Yu Mincho" w:cs="Arial"/>
          <w:szCs w:val="24"/>
        </w:rPr>
      </w:pPr>
      <w:r>
        <w:rPr>
          <w:rFonts w:eastAsia="Yu Mincho" w:cs="Arial"/>
          <w:szCs w:val="24"/>
        </w:rPr>
        <w:t>If you have any concerns or information about the possible existence of a particular market situation in the People’s Republic of China, please provide details in the box below. This can include examples such as:</w:t>
      </w:r>
    </w:p>
    <w:p w14:paraId="38456586" w14:textId="55B6DD8B" w:rsidR="00C348D8" w:rsidRDefault="00000000">
      <w:pPr>
        <w:pStyle w:val="ListParagraph"/>
        <w:numPr>
          <w:ilvl w:val="0"/>
          <w:numId w:val="2"/>
        </w:numPr>
        <w:textAlignment w:val="auto"/>
        <w:rPr>
          <w:rFonts w:eastAsia="Yu Mincho" w:cs="Arial"/>
          <w:szCs w:val="24"/>
        </w:rPr>
      </w:pPr>
      <w:r>
        <w:rPr>
          <w:rFonts w:eastAsia="Yu Mincho" w:cs="Arial"/>
          <w:szCs w:val="24"/>
        </w:rPr>
        <w:t>Prices are artificially low</w:t>
      </w:r>
    </w:p>
    <w:p w14:paraId="5954A7D6" w14:textId="21A0CB80" w:rsidR="00C348D8" w:rsidRDefault="00000000">
      <w:pPr>
        <w:pStyle w:val="ListParagraph"/>
        <w:numPr>
          <w:ilvl w:val="0"/>
          <w:numId w:val="2"/>
        </w:numPr>
        <w:textAlignment w:val="auto"/>
        <w:rPr>
          <w:rFonts w:eastAsia="Yu Mincho" w:cs="Arial"/>
          <w:szCs w:val="24"/>
        </w:rPr>
      </w:pPr>
      <w:r>
        <w:rPr>
          <w:rFonts w:eastAsia="Yu Mincho" w:cs="Arial"/>
          <w:szCs w:val="24"/>
        </w:rPr>
        <w:t>There is significant barter trade (e.g. goods exchanged for other goods)</w:t>
      </w:r>
    </w:p>
    <w:p w14:paraId="1FB7A019" w14:textId="30DE2ABC" w:rsidR="00C348D8" w:rsidRDefault="00000000">
      <w:pPr>
        <w:pStyle w:val="ListParagraph"/>
        <w:numPr>
          <w:ilvl w:val="0"/>
          <w:numId w:val="2"/>
        </w:numPr>
        <w:textAlignment w:val="auto"/>
        <w:rPr>
          <w:rFonts w:eastAsia="Yu Mincho" w:cs="Arial"/>
          <w:szCs w:val="24"/>
        </w:rPr>
      </w:pPr>
      <w:r>
        <w:rPr>
          <w:rFonts w:eastAsia="Yu Mincho" w:cs="Arial"/>
          <w:szCs w:val="24"/>
        </w:rPr>
        <w:t xml:space="preserve">Prices reflect non-commercial factors; or </w:t>
      </w:r>
    </w:p>
    <w:p w14:paraId="6285B360" w14:textId="545F9755" w:rsidR="00C348D8" w:rsidRDefault="00000000">
      <w:pPr>
        <w:pStyle w:val="ListParagraph"/>
        <w:numPr>
          <w:ilvl w:val="0"/>
          <w:numId w:val="2"/>
        </w:numPr>
        <w:textAlignment w:val="auto"/>
        <w:rPr>
          <w:rFonts w:eastAsia="Yu Mincho" w:cs="Arial"/>
          <w:szCs w:val="24"/>
        </w:rPr>
      </w:pPr>
      <w:r>
        <w:rPr>
          <w:rFonts w:eastAsia="Yu Mincho" w:cs="Arial"/>
          <w:szCs w:val="24"/>
        </w:rPr>
        <w:t>Anything else.</w:t>
      </w:r>
    </w:p>
    <w:p w14:paraId="3E3F50FA" w14:textId="1BA36C60" w:rsidR="00C348D8" w:rsidRDefault="00C348D8"/>
    <w:p w14:paraId="1E125E44" w14:textId="77777777" w:rsidR="00C348D8" w:rsidRDefault="00C348D8">
      <w:pPr>
        <w:spacing w:line="22" w:lineRule="atLeast"/>
        <w:ind w:left="720"/>
        <w:rPr>
          <w:rFonts w:eastAsia="Times New Roman" w:cs="Arial"/>
          <w:szCs w:val="24"/>
        </w:rPr>
      </w:pPr>
    </w:p>
    <w:p w14:paraId="1B2E2C0E" w14:textId="56E1927B" w:rsidR="00F55198" w:rsidRDefault="00F55198">
      <w:pPr>
        <w:keepNext/>
        <w:keepLines/>
        <w:spacing w:before="40"/>
        <w:outlineLvl w:val="2"/>
        <w:rPr>
          <w:rFonts w:eastAsia="Yu Gothic Light"/>
          <w:b/>
          <w:sz w:val="28"/>
        </w:rPr>
      </w:pPr>
      <w:bookmarkStart w:id="22" w:name="_Toc167353339"/>
      <w:r>
        <w:rPr>
          <w:noProof/>
        </w:rPr>
        <w:lastRenderedPageBreak/>
        <mc:AlternateContent>
          <mc:Choice Requires="wps">
            <w:drawing>
              <wp:inline distT="0" distB="0" distL="0" distR="0" wp14:anchorId="78C6A1EF" wp14:editId="5337EFF5">
                <wp:extent cx="5704840" cy="7596505"/>
                <wp:effectExtent l="0" t="0" r="10160" b="23495"/>
                <wp:docPr id="238879742" name="Text Box 7"/>
                <wp:cNvGraphicFramePr/>
                <a:graphic xmlns:a="http://schemas.openxmlformats.org/drawingml/2006/main">
                  <a:graphicData uri="http://schemas.microsoft.com/office/word/2010/wordprocessingShape">
                    <wps:wsp>
                      <wps:cNvSpPr txBox="1"/>
                      <wps:spPr>
                        <a:xfrm>
                          <a:off x="0" y="0"/>
                          <a:ext cx="5704840" cy="7596505"/>
                        </a:xfrm>
                        <a:prstGeom prst="rect">
                          <a:avLst/>
                        </a:prstGeom>
                        <a:solidFill>
                          <a:srgbClr val="FFFFFF"/>
                        </a:solidFill>
                        <a:ln w="9528">
                          <a:solidFill>
                            <a:srgbClr val="000000"/>
                          </a:solidFill>
                          <a:prstDash val="solid"/>
                        </a:ln>
                      </wps:spPr>
                      <wps:txbx>
                        <w:txbxContent>
                          <w:p w14:paraId="7BD6145A" w14:textId="77777777" w:rsidR="006370E7" w:rsidRPr="006370E7" w:rsidRDefault="006370E7"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370E7">
                              <w:rPr>
                                <w:rFonts w:eastAsia="Times New Roman" w:cs="Arial"/>
                                <w:color w:val="808080" w:themeColor="background1" w:themeShade="80"/>
                                <w:szCs w:val="24"/>
                                <w:lang w:eastAsia="en-GB"/>
                              </w:rPr>
                              <w:t>The prices of biodiesel in China are influenced by non-commercial factors within the meaning of Regulation 7(4)(c) of the Trade Remedies (Dumping and Subsidisation) (EU Exit) Regulations 2019 (“Regulations”). Market conditions, including costs and prices of biodiesel, are currently not governed by the market forces of supply and demand, but rather are distorted by systemic government intervention from the Government of China (“GoC”).</w:t>
                            </w:r>
                          </w:p>
                          <w:p w14:paraId="5ED7C611" w14:textId="77777777" w:rsidR="006370E7" w:rsidRPr="006370E7" w:rsidRDefault="006370E7"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370E7">
                              <w:rPr>
                                <w:rFonts w:eastAsia="Times New Roman" w:cs="Arial"/>
                                <w:color w:val="808080" w:themeColor="background1" w:themeShade="80"/>
                                <w:szCs w:val="24"/>
                                <w:lang w:eastAsia="en-GB"/>
                              </w:rPr>
                              <w:t>These systemic distortions have been documented in detail by the European Commission in its report released on April 10, 2024, titled "Commission staff working document on significant distortions in the economy of the People’s Republic of China for the purposes of trade defence investigations" (SWD (2024) 91). [Name of the interested party] urges the TRA to utilize this objective and reliable report throughout the current investigation.</w:t>
                            </w:r>
                          </w:p>
                          <w:p w14:paraId="16D6604E" w14:textId="77777777" w:rsidR="006370E7" w:rsidRPr="00671752" w:rsidRDefault="006370E7" w:rsidP="00053EE5">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 xml:space="preserve">Additionally, the Applicant (i.e., RTFA) has accurately identified several distortions impacting, inter alia, the Chinese biodiesel industry in its </w:t>
                            </w:r>
                            <w:proofErr w:type="gramStart"/>
                            <w:r w:rsidRPr="00671752">
                              <w:rPr>
                                <w:rFonts w:eastAsia="Times New Roman" w:cs="Arial"/>
                                <w:color w:val="808080" w:themeColor="background1" w:themeShade="80"/>
                                <w:szCs w:val="24"/>
                                <w:lang w:eastAsia="en-GB"/>
                              </w:rPr>
                              <w:t>Application</w:t>
                            </w:r>
                            <w:proofErr w:type="gramEnd"/>
                            <w:r w:rsidRPr="00671752">
                              <w:rPr>
                                <w:rFonts w:eastAsia="Times New Roman" w:cs="Arial"/>
                                <w:color w:val="808080" w:themeColor="background1" w:themeShade="80"/>
                                <w:szCs w:val="24"/>
                                <w:lang w:eastAsia="en-GB"/>
                              </w:rPr>
                              <w:t>, including:</w:t>
                            </w:r>
                          </w:p>
                          <w:p w14:paraId="393959EB" w14:textId="3EDEE09C" w:rsidR="006370E7" w:rsidRPr="00671752" w:rsidRDefault="006370E7" w:rsidP="00053EE5">
                            <w:pPr>
                              <w:pStyle w:val="ListParagraph"/>
                              <w:numPr>
                                <w:ilvl w:val="0"/>
                                <w:numId w:val="4"/>
                              </w:numPr>
                              <w:suppressAutoHyphens w:val="0"/>
                              <w:autoSpaceDN/>
                              <w:spacing w:before="100" w:beforeAutospacing="1" w:after="120"/>
                              <w:contextualSpacing w:val="0"/>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 xml:space="preserve">Connections between the GoC and several biodiesel producers in China (i.e., Beijing Sanju Environmental Protection and New Materials Co Ltd and Beijing </w:t>
                            </w:r>
                            <w:proofErr w:type="spellStart"/>
                            <w:r w:rsidRPr="00671752">
                              <w:rPr>
                                <w:rFonts w:eastAsia="Times New Roman" w:cs="Arial"/>
                                <w:color w:val="808080" w:themeColor="background1" w:themeShade="80"/>
                                <w:szCs w:val="24"/>
                                <w:lang w:eastAsia="en-GB"/>
                              </w:rPr>
                              <w:t>Haixin</w:t>
                            </w:r>
                            <w:proofErr w:type="spellEnd"/>
                            <w:r w:rsidRPr="00671752">
                              <w:rPr>
                                <w:rFonts w:eastAsia="Times New Roman" w:cs="Arial"/>
                                <w:color w:val="808080" w:themeColor="background1" w:themeShade="80"/>
                                <w:szCs w:val="24"/>
                                <w:lang w:eastAsia="en-GB"/>
                              </w:rPr>
                              <w:t xml:space="preserve"> Energy Technology </w:t>
                            </w:r>
                            <w:proofErr w:type="spellStart"/>
                            <w:proofErr w:type="gramStart"/>
                            <w:r w:rsidRPr="00671752">
                              <w:rPr>
                                <w:rFonts w:eastAsia="Times New Roman" w:cs="Arial"/>
                                <w:color w:val="808080" w:themeColor="background1" w:themeShade="80"/>
                                <w:szCs w:val="24"/>
                                <w:lang w:eastAsia="en-GB"/>
                              </w:rPr>
                              <w:t>Co.Ltd</w:t>
                            </w:r>
                            <w:proofErr w:type="spellEnd"/>
                            <w:proofErr w:type="gramEnd"/>
                            <w:r w:rsidRPr="00671752">
                              <w:rPr>
                                <w:rFonts w:eastAsia="Times New Roman" w:cs="Arial"/>
                                <w:color w:val="808080" w:themeColor="background1" w:themeShade="80"/>
                                <w:szCs w:val="24"/>
                                <w:lang w:eastAsia="en-GB"/>
                              </w:rPr>
                              <w:t>);</w:t>
                            </w:r>
                          </w:p>
                          <w:p w14:paraId="683B4E15" w14:textId="50E396E9" w:rsidR="006370E7" w:rsidRPr="00671752" w:rsidRDefault="006370E7" w:rsidP="00053EE5">
                            <w:pPr>
                              <w:pStyle w:val="ListParagraph"/>
                              <w:numPr>
                                <w:ilvl w:val="0"/>
                                <w:numId w:val="4"/>
                              </w:numPr>
                              <w:suppressAutoHyphens w:val="0"/>
                              <w:autoSpaceDN/>
                              <w:spacing w:before="100" w:beforeAutospacing="1" w:after="120"/>
                              <w:contextualSpacing w:val="0"/>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 xml:space="preserve">GoC interference in prices and costs through both state-owned and private companies producing biodiesel in </w:t>
                            </w:r>
                            <w:proofErr w:type="gramStart"/>
                            <w:r w:rsidRPr="00671752">
                              <w:rPr>
                                <w:rFonts w:eastAsia="Times New Roman" w:cs="Arial"/>
                                <w:color w:val="808080" w:themeColor="background1" w:themeShade="80"/>
                                <w:szCs w:val="24"/>
                                <w:lang w:eastAsia="en-GB"/>
                              </w:rPr>
                              <w:t>China;</w:t>
                            </w:r>
                            <w:proofErr w:type="gramEnd"/>
                          </w:p>
                          <w:p w14:paraId="462F60EF" w14:textId="429C8E16" w:rsidR="006370E7" w:rsidRPr="00671752" w:rsidRDefault="006370E7" w:rsidP="00053EE5">
                            <w:pPr>
                              <w:pStyle w:val="ListParagraph"/>
                              <w:numPr>
                                <w:ilvl w:val="0"/>
                                <w:numId w:val="4"/>
                              </w:numPr>
                              <w:suppressAutoHyphens w:val="0"/>
                              <w:autoSpaceDN/>
                              <w:spacing w:before="100" w:beforeAutospacing="1" w:after="120"/>
                              <w:contextualSpacing w:val="0"/>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 xml:space="preserve">Development plans released by the GoC (such as the Strategic Action Plan for Energy Development 2014-2020, the 14th Five-Year-Plan 2021-2025 for Renewable Energy Development) indicating active governmental support for the development of the biodiesel industry. This support can take various forms, including direct subsidies (e.g., provision of land, grants, loans and reduced enterprise income tax rates), indirect subsidies (e.g., low-interest loans, tax reductions), and price controls on energy costs or other factors of </w:t>
                            </w:r>
                            <w:proofErr w:type="gramStart"/>
                            <w:r w:rsidRPr="00671752">
                              <w:rPr>
                                <w:rFonts w:eastAsia="Times New Roman" w:cs="Arial"/>
                                <w:color w:val="808080" w:themeColor="background1" w:themeShade="80"/>
                                <w:szCs w:val="24"/>
                                <w:lang w:eastAsia="en-GB"/>
                              </w:rPr>
                              <w:t>production;</w:t>
                            </w:r>
                            <w:proofErr w:type="gramEnd"/>
                          </w:p>
                          <w:p w14:paraId="22A67A7B" w14:textId="03755860" w:rsidR="006370E7" w:rsidRPr="00671752" w:rsidRDefault="006370E7" w:rsidP="00053EE5">
                            <w:pPr>
                              <w:pStyle w:val="ListParagraph"/>
                              <w:numPr>
                                <w:ilvl w:val="0"/>
                                <w:numId w:val="4"/>
                              </w:num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 xml:space="preserve">Inadequate enforcement of bankruptcy, corporate, or property laws in China, which generally applies to all </w:t>
                            </w:r>
                            <w:proofErr w:type="gramStart"/>
                            <w:r w:rsidRPr="00671752">
                              <w:rPr>
                                <w:rFonts w:eastAsia="Times New Roman" w:cs="Arial"/>
                                <w:color w:val="808080" w:themeColor="background1" w:themeShade="80"/>
                                <w:szCs w:val="24"/>
                                <w:lang w:eastAsia="en-GB"/>
                              </w:rPr>
                              <w:t>sectors;</w:t>
                            </w:r>
                            <w:proofErr w:type="gramEnd"/>
                          </w:p>
                          <w:p w14:paraId="67B5895D" w14:textId="2B768D7C" w:rsidR="006370E7" w:rsidRPr="00671752" w:rsidRDefault="006370E7" w:rsidP="00053EE5">
                            <w:pPr>
                              <w:pStyle w:val="ListParagraph"/>
                              <w:numPr>
                                <w:ilvl w:val="0"/>
                                <w:numId w:val="4"/>
                              </w:num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Distorted wage costs in the Chinese biodiesel industry due to the hukou system and the difficulty of employees to collectively organise.</w:t>
                            </w:r>
                          </w:p>
                          <w:p w14:paraId="3A6395F8" w14:textId="74992930" w:rsidR="006370E7" w:rsidRPr="006370E7" w:rsidRDefault="00053EE5"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Considering</w:t>
                            </w:r>
                            <w:r w:rsidR="006370E7" w:rsidRPr="006370E7">
                              <w:rPr>
                                <w:rFonts w:eastAsia="Times New Roman" w:cs="Arial"/>
                                <w:color w:val="808080" w:themeColor="background1" w:themeShade="80"/>
                                <w:szCs w:val="24"/>
                                <w:lang w:eastAsia="en-GB"/>
                              </w:rPr>
                              <w:t xml:space="preserve"> the above, </w:t>
                            </w:r>
                            <w:r w:rsidRPr="00671752">
                              <w:rPr>
                                <w:rFonts w:eastAsia="Times New Roman" w:cs="Arial"/>
                                <w:color w:val="808080" w:themeColor="background1" w:themeShade="80"/>
                                <w:szCs w:val="24"/>
                                <w:lang w:eastAsia="en-GB"/>
                              </w:rPr>
                              <w:t>Gasrec</w:t>
                            </w:r>
                            <w:r w:rsidR="006370E7" w:rsidRPr="006370E7">
                              <w:rPr>
                                <w:rFonts w:eastAsia="Times New Roman" w:cs="Arial"/>
                                <w:color w:val="808080" w:themeColor="background1" w:themeShade="80"/>
                                <w:szCs w:val="24"/>
                                <w:lang w:eastAsia="en-GB"/>
                              </w:rPr>
                              <w:t xml:space="preserve"> </w:t>
                            </w:r>
                            <w:r w:rsidRPr="00671752">
                              <w:rPr>
                                <w:rFonts w:eastAsia="Times New Roman" w:cs="Arial"/>
                                <w:color w:val="808080" w:themeColor="background1" w:themeShade="80"/>
                                <w:szCs w:val="24"/>
                                <w:lang w:eastAsia="en-GB"/>
                              </w:rPr>
                              <w:t>believes</w:t>
                            </w:r>
                            <w:r w:rsidR="006370E7" w:rsidRPr="006370E7">
                              <w:rPr>
                                <w:rFonts w:eastAsia="Times New Roman" w:cs="Arial"/>
                                <w:color w:val="808080" w:themeColor="background1" w:themeShade="80"/>
                                <w:szCs w:val="24"/>
                                <w:lang w:eastAsia="en-GB"/>
                              </w:rPr>
                              <w:t xml:space="preserve"> that the above-mentioned distortions collectively constitute a Particular Market Situation (“PMS”) in the Chinese biodiesel industry.</w:t>
                            </w:r>
                          </w:p>
                          <w:p w14:paraId="511D653B" w14:textId="77777777" w:rsidR="00C348D8" w:rsidRPr="00053EE5" w:rsidRDefault="00C348D8">
                            <w:pPr>
                              <w:rPr>
                                <w:rFonts w:cs="Arial"/>
                                <w:color w:val="808080" w:themeColor="background1" w:themeShade="80"/>
                                <w:sz w:val="20"/>
                                <w:szCs w:val="20"/>
                              </w:rPr>
                            </w:pPr>
                          </w:p>
                        </w:txbxContent>
                      </wps:txbx>
                      <wps:bodyPr vert="horz" wrap="square" lIns="91440" tIns="45720" rIns="91440" bIns="45720" anchor="t" anchorCtr="0" compatLnSpc="0">
                        <a:noAutofit/>
                      </wps:bodyPr>
                    </wps:wsp>
                  </a:graphicData>
                </a:graphic>
              </wp:inline>
            </w:drawing>
          </mc:Choice>
          <mc:Fallback>
            <w:pict>
              <v:shape w14:anchorId="78C6A1EF" id="Text Box 7" o:spid="_x0000_s1028" type="#_x0000_t202" style="width:449.2pt;height:59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" strokeweight=".26467mm">
                <v:textbox>
                  <w:txbxContent>
                    <w:p w14:paraId="7BD6145A" w14:textId="77777777" w:rsidR="006370E7" w:rsidRPr="006370E7" w:rsidRDefault="006370E7"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370E7">
                        <w:rPr>
                          <w:rFonts w:eastAsia="Times New Roman" w:cs="Arial"/>
                          <w:color w:val="808080" w:themeColor="background1" w:themeShade="80"/>
                          <w:szCs w:val="24"/>
                          <w:lang w:eastAsia="en-GB"/>
                        </w:rPr>
                        <w:t>The prices of biodiesel in China are influenced by non-commercial factors within the meaning of Regulation 7(4)(c) of the Trade Remedies (Dumping and Subsidisation) (EU Exit) Regulations 2019 (“Regulations”). Market conditions, including costs and prices of biodiesel, are currently not governed by the market forces of supply and demand, but rather are distorted by systemic government intervention from the Government of China (“GoC”).</w:t>
                      </w:r>
                    </w:p>
                    <w:p w14:paraId="5ED7C611" w14:textId="77777777" w:rsidR="006370E7" w:rsidRPr="006370E7" w:rsidRDefault="006370E7"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370E7">
                        <w:rPr>
                          <w:rFonts w:eastAsia="Times New Roman" w:cs="Arial"/>
                          <w:color w:val="808080" w:themeColor="background1" w:themeShade="80"/>
                          <w:szCs w:val="24"/>
                          <w:lang w:eastAsia="en-GB"/>
                        </w:rPr>
                        <w:t>These systemic distortions have been documented in detail by the European Commission in its report released on April 10, 2024, titled "Commission staff working document on significant distortions in the economy of the People’s Republic of China for the purposes of trade defence investigations" (SWD (2024) 91). [Name of the interested party] urges the TRA to utilize this objective and reliable report throughout the current investigation.</w:t>
                      </w:r>
                    </w:p>
                    <w:p w14:paraId="16D6604E" w14:textId="77777777" w:rsidR="006370E7" w:rsidRPr="00671752" w:rsidRDefault="006370E7" w:rsidP="00053EE5">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 xml:space="preserve">Additionally, the Applicant (i.e., RTFA) has accurately identified several distortions impacting, inter alia, the Chinese biodiesel industry in its </w:t>
                      </w:r>
                      <w:proofErr w:type="gramStart"/>
                      <w:r w:rsidRPr="00671752">
                        <w:rPr>
                          <w:rFonts w:eastAsia="Times New Roman" w:cs="Arial"/>
                          <w:color w:val="808080" w:themeColor="background1" w:themeShade="80"/>
                          <w:szCs w:val="24"/>
                          <w:lang w:eastAsia="en-GB"/>
                        </w:rPr>
                        <w:t>Application</w:t>
                      </w:r>
                      <w:proofErr w:type="gramEnd"/>
                      <w:r w:rsidRPr="00671752">
                        <w:rPr>
                          <w:rFonts w:eastAsia="Times New Roman" w:cs="Arial"/>
                          <w:color w:val="808080" w:themeColor="background1" w:themeShade="80"/>
                          <w:szCs w:val="24"/>
                          <w:lang w:eastAsia="en-GB"/>
                        </w:rPr>
                        <w:t>, including:</w:t>
                      </w:r>
                    </w:p>
                    <w:p w14:paraId="393959EB" w14:textId="3EDEE09C" w:rsidR="006370E7" w:rsidRPr="00671752" w:rsidRDefault="006370E7" w:rsidP="00053EE5">
                      <w:pPr>
                        <w:pStyle w:val="ListParagraph"/>
                        <w:numPr>
                          <w:ilvl w:val="0"/>
                          <w:numId w:val="4"/>
                        </w:numPr>
                        <w:suppressAutoHyphens w:val="0"/>
                        <w:autoSpaceDN/>
                        <w:spacing w:before="100" w:beforeAutospacing="1" w:after="120"/>
                        <w:contextualSpacing w:val="0"/>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 xml:space="preserve">Connections between the GoC and several biodiesel producers in China (i.e., Beijing Sanju Environmental Protection and New Materials Co Ltd and Beijing </w:t>
                      </w:r>
                      <w:proofErr w:type="spellStart"/>
                      <w:r w:rsidRPr="00671752">
                        <w:rPr>
                          <w:rFonts w:eastAsia="Times New Roman" w:cs="Arial"/>
                          <w:color w:val="808080" w:themeColor="background1" w:themeShade="80"/>
                          <w:szCs w:val="24"/>
                          <w:lang w:eastAsia="en-GB"/>
                        </w:rPr>
                        <w:t>Haixin</w:t>
                      </w:r>
                      <w:proofErr w:type="spellEnd"/>
                      <w:r w:rsidRPr="00671752">
                        <w:rPr>
                          <w:rFonts w:eastAsia="Times New Roman" w:cs="Arial"/>
                          <w:color w:val="808080" w:themeColor="background1" w:themeShade="80"/>
                          <w:szCs w:val="24"/>
                          <w:lang w:eastAsia="en-GB"/>
                        </w:rPr>
                        <w:t xml:space="preserve"> Energy Technology </w:t>
                      </w:r>
                      <w:proofErr w:type="spellStart"/>
                      <w:proofErr w:type="gramStart"/>
                      <w:r w:rsidRPr="00671752">
                        <w:rPr>
                          <w:rFonts w:eastAsia="Times New Roman" w:cs="Arial"/>
                          <w:color w:val="808080" w:themeColor="background1" w:themeShade="80"/>
                          <w:szCs w:val="24"/>
                          <w:lang w:eastAsia="en-GB"/>
                        </w:rPr>
                        <w:t>Co.Ltd</w:t>
                      </w:r>
                      <w:proofErr w:type="spellEnd"/>
                      <w:proofErr w:type="gramEnd"/>
                      <w:r w:rsidRPr="00671752">
                        <w:rPr>
                          <w:rFonts w:eastAsia="Times New Roman" w:cs="Arial"/>
                          <w:color w:val="808080" w:themeColor="background1" w:themeShade="80"/>
                          <w:szCs w:val="24"/>
                          <w:lang w:eastAsia="en-GB"/>
                        </w:rPr>
                        <w:t>);</w:t>
                      </w:r>
                    </w:p>
                    <w:p w14:paraId="683B4E15" w14:textId="50E396E9" w:rsidR="006370E7" w:rsidRPr="00671752" w:rsidRDefault="006370E7" w:rsidP="00053EE5">
                      <w:pPr>
                        <w:pStyle w:val="ListParagraph"/>
                        <w:numPr>
                          <w:ilvl w:val="0"/>
                          <w:numId w:val="4"/>
                        </w:numPr>
                        <w:suppressAutoHyphens w:val="0"/>
                        <w:autoSpaceDN/>
                        <w:spacing w:before="100" w:beforeAutospacing="1" w:after="120"/>
                        <w:contextualSpacing w:val="0"/>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 xml:space="preserve">GoC interference in prices and costs through both state-owned and private companies producing biodiesel in </w:t>
                      </w:r>
                      <w:proofErr w:type="gramStart"/>
                      <w:r w:rsidRPr="00671752">
                        <w:rPr>
                          <w:rFonts w:eastAsia="Times New Roman" w:cs="Arial"/>
                          <w:color w:val="808080" w:themeColor="background1" w:themeShade="80"/>
                          <w:szCs w:val="24"/>
                          <w:lang w:eastAsia="en-GB"/>
                        </w:rPr>
                        <w:t>China;</w:t>
                      </w:r>
                      <w:proofErr w:type="gramEnd"/>
                    </w:p>
                    <w:p w14:paraId="462F60EF" w14:textId="429C8E16" w:rsidR="006370E7" w:rsidRPr="00671752" w:rsidRDefault="006370E7" w:rsidP="00053EE5">
                      <w:pPr>
                        <w:pStyle w:val="ListParagraph"/>
                        <w:numPr>
                          <w:ilvl w:val="0"/>
                          <w:numId w:val="4"/>
                        </w:numPr>
                        <w:suppressAutoHyphens w:val="0"/>
                        <w:autoSpaceDN/>
                        <w:spacing w:before="100" w:beforeAutospacing="1" w:after="120"/>
                        <w:contextualSpacing w:val="0"/>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 xml:space="preserve">Development plans released by the GoC (such as the Strategic Action Plan for Energy Development 2014-2020, the 14th Five-Year-Plan 2021-2025 for Renewable Energy Development) indicating active governmental support for the development of the biodiesel industry. This support can take various forms, including direct subsidies (e.g., provision of land, grants, loans and reduced enterprise income tax rates), indirect subsidies (e.g., low-interest loans, tax reductions), and price controls on energy costs or other factors of </w:t>
                      </w:r>
                      <w:proofErr w:type="gramStart"/>
                      <w:r w:rsidRPr="00671752">
                        <w:rPr>
                          <w:rFonts w:eastAsia="Times New Roman" w:cs="Arial"/>
                          <w:color w:val="808080" w:themeColor="background1" w:themeShade="80"/>
                          <w:szCs w:val="24"/>
                          <w:lang w:eastAsia="en-GB"/>
                        </w:rPr>
                        <w:t>production;</w:t>
                      </w:r>
                      <w:proofErr w:type="gramEnd"/>
                    </w:p>
                    <w:p w14:paraId="22A67A7B" w14:textId="03755860" w:rsidR="006370E7" w:rsidRPr="00671752" w:rsidRDefault="006370E7" w:rsidP="00053EE5">
                      <w:pPr>
                        <w:pStyle w:val="ListParagraph"/>
                        <w:numPr>
                          <w:ilvl w:val="0"/>
                          <w:numId w:val="4"/>
                        </w:num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 xml:space="preserve">Inadequate enforcement of bankruptcy, corporate, or property laws in China, which generally applies to all </w:t>
                      </w:r>
                      <w:proofErr w:type="gramStart"/>
                      <w:r w:rsidRPr="00671752">
                        <w:rPr>
                          <w:rFonts w:eastAsia="Times New Roman" w:cs="Arial"/>
                          <w:color w:val="808080" w:themeColor="background1" w:themeShade="80"/>
                          <w:szCs w:val="24"/>
                          <w:lang w:eastAsia="en-GB"/>
                        </w:rPr>
                        <w:t>sectors;</w:t>
                      </w:r>
                      <w:proofErr w:type="gramEnd"/>
                    </w:p>
                    <w:p w14:paraId="67B5895D" w14:textId="2B768D7C" w:rsidR="006370E7" w:rsidRPr="00671752" w:rsidRDefault="006370E7" w:rsidP="00053EE5">
                      <w:pPr>
                        <w:pStyle w:val="ListParagraph"/>
                        <w:numPr>
                          <w:ilvl w:val="0"/>
                          <w:numId w:val="4"/>
                        </w:num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Distorted wage costs in the Chinese biodiesel industry due to the hukou system and the difficulty of employees to collectively organise.</w:t>
                      </w:r>
                    </w:p>
                    <w:p w14:paraId="3A6395F8" w14:textId="74992930" w:rsidR="006370E7" w:rsidRPr="006370E7" w:rsidRDefault="00053EE5"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Considering</w:t>
                      </w:r>
                      <w:r w:rsidR="006370E7" w:rsidRPr="006370E7">
                        <w:rPr>
                          <w:rFonts w:eastAsia="Times New Roman" w:cs="Arial"/>
                          <w:color w:val="808080" w:themeColor="background1" w:themeShade="80"/>
                          <w:szCs w:val="24"/>
                          <w:lang w:eastAsia="en-GB"/>
                        </w:rPr>
                        <w:t xml:space="preserve"> the above, </w:t>
                      </w:r>
                      <w:r w:rsidRPr="00671752">
                        <w:rPr>
                          <w:rFonts w:eastAsia="Times New Roman" w:cs="Arial"/>
                          <w:color w:val="808080" w:themeColor="background1" w:themeShade="80"/>
                          <w:szCs w:val="24"/>
                          <w:lang w:eastAsia="en-GB"/>
                        </w:rPr>
                        <w:t>Gasrec</w:t>
                      </w:r>
                      <w:r w:rsidR="006370E7" w:rsidRPr="006370E7">
                        <w:rPr>
                          <w:rFonts w:eastAsia="Times New Roman" w:cs="Arial"/>
                          <w:color w:val="808080" w:themeColor="background1" w:themeShade="80"/>
                          <w:szCs w:val="24"/>
                          <w:lang w:eastAsia="en-GB"/>
                        </w:rPr>
                        <w:t xml:space="preserve"> </w:t>
                      </w:r>
                      <w:r w:rsidRPr="00671752">
                        <w:rPr>
                          <w:rFonts w:eastAsia="Times New Roman" w:cs="Arial"/>
                          <w:color w:val="808080" w:themeColor="background1" w:themeShade="80"/>
                          <w:szCs w:val="24"/>
                          <w:lang w:eastAsia="en-GB"/>
                        </w:rPr>
                        <w:t>believes</w:t>
                      </w:r>
                      <w:r w:rsidR="006370E7" w:rsidRPr="006370E7">
                        <w:rPr>
                          <w:rFonts w:eastAsia="Times New Roman" w:cs="Arial"/>
                          <w:color w:val="808080" w:themeColor="background1" w:themeShade="80"/>
                          <w:szCs w:val="24"/>
                          <w:lang w:eastAsia="en-GB"/>
                        </w:rPr>
                        <w:t xml:space="preserve"> that the above-mentioned distortions collectively constitute a Particular Market Situation (“PMS”) in the Chinese biodiesel industry.</w:t>
                      </w:r>
                    </w:p>
                    <w:p w14:paraId="511D653B" w14:textId="77777777" w:rsidR="00C348D8" w:rsidRPr="00053EE5" w:rsidRDefault="00C348D8">
                      <w:pPr>
                        <w:rPr>
                          <w:rFonts w:cs="Arial"/>
                          <w:color w:val="808080" w:themeColor="background1" w:themeShade="80"/>
                          <w:sz w:val="20"/>
                          <w:szCs w:val="20"/>
                        </w:rPr>
                      </w:pPr>
                    </w:p>
                  </w:txbxContent>
                </v:textbox>
                <w10:anchorlock/>
              </v:shape>
            </w:pict>
          </mc:Fallback>
        </mc:AlternateContent>
      </w:r>
    </w:p>
    <w:p w14:paraId="6804DA40" w14:textId="7D300BC9" w:rsidR="00F55198" w:rsidRDefault="00F55198">
      <w:pPr>
        <w:keepNext/>
        <w:keepLines/>
        <w:spacing w:before="40"/>
        <w:outlineLvl w:val="2"/>
        <w:rPr>
          <w:rFonts w:eastAsia="Yu Gothic Light"/>
          <w:b/>
          <w:sz w:val="28"/>
        </w:rPr>
      </w:pPr>
    </w:p>
    <w:p w14:paraId="339AF785" w14:textId="233F0FF6" w:rsidR="00F55198" w:rsidRDefault="00F55198">
      <w:pPr>
        <w:keepNext/>
        <w:keepLines/>
        <w:spacing w:before="40"/>
        <w:outlineLvl w:val="2"/>
        <w:rPr>
          <w:rFonts w:eastAsia="Yu Gothic Light"/>
          <w:b/>
          <w:sz w:val="28"/>
        </w:rPr>
      </w:pPr>
    </w:p>
    <w:p w14:paraId="41B70934" w14:textId="0AEC47D1" w:rsidR="00C348D8" w:rsidRDefault="00000000">
      <w:pPr>
        <w:keepNext/>
        <w:keepLines/>
        <w:spacing w:before="40"/>
        <w:outlineLvl w:val="2"/>
      </w:pPr>
      <w:r>
        <w:rPr>
          <w:rFonts w:eastAsia="Yu Gothic Light"/>
          <w:b/>
          <w:sz w:val="28"/>
        </w:rPr>
        <w:lastRenderedPageBreak/>
        <w:t>B</w:t>
      </w:r>
      <w:r>
        <w:rPr>
          <w:rFonts w:eastAsia="Yu Gothic Light"/>
          <w:b/>
          <w:sz w:val="28"/>
          <w:szCs w:val="24"/>
        </w:rPr>
        <w:t>3 – Appropriate Third Country</w:t>
      </w:r>
      <w:bookmarkEnd w:id="22"/>
    </w:p>
    <w:p w14:paraId="25E8FA11" w14:textId="2B120D84" w:rsidR="00C348D8" w:rsidRDefault="00C348D8">
      <w:pPr>
        <w:rPr>
          <w:rFonts w:eastAsia="Yu Mincho"/>
        </w:rPr>
      </w:pPr>
    </w:p>
    <w:p w14:paraId="75CE2069" w14:textId="6D46904A" w:rsidR="00C348D8" w:rsidRDefault="00000000">
      <w:r>
        <w:rPr>
          <w:rFonts w:cs="Arial"/>
          <w:color w:val="1E1E1E"/>
          <w:shd w:val="clear" w:color="auto" w:fill="FFFFFF"/>
        </w:rPr>
        <w:t xml:space="preserve">In respect of imports from </w:t>
      </w:r>
      <w:proofErr w:type="gramStart"/>
      <w:r>
        <w:rPr>
          <w:rFonts w:cs="Arial"/>
          <w:color w:val="1E1E1E"/>
          <w:shd w:val="clear" w:color="auto" w:fill="FFFFFF"/>
        </w:rPr>
        <w:t>particular foreign</w:t>
      </w:r>
      <w:proofErr w:type="gramEnd"/>
      <w:r>
        <w:rPr>
          <w:rFonts w:cs="Arial"/>
          <w:color w:val="1E1E1E"/>
          <w:shd w:val="clear" w:color="auto" w:fill="FFFFFF"/>
        </w:rPr>
        <w:t xml:space="preserve"> countries and territories</w:t>
      </w:r>
      <w:r>
        <w:t xml:space="preserve">, the </w:t>
      </w:r>
      <w:r>
        <w:rPr>
          <w:rFonts w:cs="Arial"/>
          <w:color w:val="1E1E1E"/>
          <w:shd w:val="clear" w:color="auto" w:fill="FFFFFF"/>
        </w:rPr>
        <w:t xml:space="preserve">TRA may calculate the normal value of the goods concerned using an appropriate third country </w:t>
      </w:r>
      <w:r>
        <w:t xml:space="preserve">in accordance with Regulation 14 of the D&amp;S Regulations. The Applicant has proposed Brazil as an appropriate third country. </w:t>
      </w:r>
    </w:p>
    <w:p w14:paraId="7FBE4BDC" w14:textId="0D986AD5" w:rsidR="00C348D8" w:rsidRDefault="00C348D8"/>
    <w:p w14:paraId="42713088" w14:textId="78C273CE" w:rsidR="00C348D8" w:rsidRDefault="00053EE5">
      <w:r>
        <w:rPr>
          <w:noProof/>
        </w:rPr>
        <mc:AlternateContent>
          <mc:Choice Requires="wps">
            <w:drawing>
              <wp:anchor distT="0" distB="0" distL="114300" distR="114300" simplePos="0" relativeHeight="251658245" behindDoc="0" locked="0" layoutInCell="1" allowOverlap="1" wp14:anchorId="5330EDD3" wp14:editId="7993F519">
                <wp:simplePos x="0" y="0"/>
                <wp:positionH relativeFrom="margin">
                  <wp:posOffset>0</wp:posOffset>
                </wp:positionH>
                <wp:positionV relativeFrom="paragraph">
                  <wp:posOffset>474980</wp:posOffset>
                </wp:positionV>
                <wp:extent cx="5704840" cy="2662555"/>
                <wp:effectExtent l="0" t="0" r="10160" b="23495"/>
                <wp:wrapSquare wrapText="bothSides"/>
                <wp:docPr id="808689436" name="Text Box 1"/>
                <wp:cNvGraphicFramePr/>
                <a:graphic xmlns:a="http://schemas.openxmlformats.org/drawingml/2006/main">
                  <a:graphicData uri="http://schemas.microsoft.com/office/word/2010/wordprocessingShape">
                    <wps:wsp>
                      <wps:cNvSpPr txBox="1"/>
                      <wps:spPr>
                        <a:xfrm>
                          <a:off x="0" y="0"/>
                          <a:ext cx="5704840" cy="2662555"/>
                        </a:xfrm>
                        <a:prstGeom prst="rect">
                          <a:avLst/>
                        </a:prstGeom>
                        <a:solidFill>
                          <a:srgbClr val="FFFFFF"/>
                        </a:solidFill>
                        <a:ln w="9528">
                          <a:solidFill>
                            <a:srgbClr val="000000"/>
                          </a:solidFill>
                          <a:prstDash val="solid"/>
                        </a:ln>
                      </wps:spPr>
                      <wps:txbx>
                        <w:txbxContent>
                          <w:p w14:paraId="6BA4233D" w14:textId="3F074373" w:rsidR="006370E7" w:rsidRPr="006370E7" w:rsidRDefault="00053EE5"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Gasrec</w:t>
                            </w:r>
                            <w:r w:rsidR="006370E7" w:rsidRPr="006370E7">
                              <w:rPr>
                                <w:rFonts w:eastAsia="Times New Roman" w:cs="Arial"/>
                                <w:color w:val="808080" w:themeColor="background1" w:themeShade="80"/>
                                <w:szCs w:val="24"/>
                                <w:lang w:eastAsia="en-GB"/>
                              </w:rPr>
                              <w:t xml:space="preserve"> supports the use of data from an appropriate third country instead of China to calculate the normal value. Among the countries having a similar level of economic development, </w:t>
                            </w:r>
                            <w:r w:rsidRPr="00671752">
                              <w:rPr>
                                <w:rFonts w:eastAsia="Times New Roman" w:cs="Arial"/>
                                <w:color w:val="808080" w:themeColor="background1" w:themeShade="80"/>
                                <w:szCs w:val="24"/>
                                <w:lang w:eastAsia="en-GB"/>
                              </w:rPr>
                              <w:t>Gasrec</w:t>
                            </w:r>
                            <w:r w:rsidR="006370E7" w:rsidRPr="006370E7">
                              <w:rPr>
                                <w:rFonts w:eastAsia="Times New Roman" w:cs="Arial"/>
                                <w:color w:val="808080" w:themeColor="background1" w:themeShade="80"/>
                                <w:szCs w:val="24"/>
                                <w:lang w:eastAsia="en-GB"/>
                              </w:rPr>
                              <w:t xml:space="preserve"> </w:t>
                            </w:r>
                            <w:r w:rsidR="00671752" w:rsidRPr="00671752">
                              <w:rPr>
                                <w:rFonts w:eastAsia="Times New Roman" w:cs="Arial"/>
                                <w:color w:val="808080" w:themeColor="background1" w:themeShade="80"/>
                                <w:szCs w:val="24"/>
                                <w:lang w:eastAsia="en-GB"/>
                              </w:rPr>
                              <w:t>agrees with</w:t>
                            </w:r>
                            <w:r w:rsidR="006370E7" w:rsidRPr="006370E7">
                              <w:rPr>
                                <w:rFonts w:eastAsia="Times New Roman" w:cs="Arial"/>
                                <w:color w:val="808080" w:themeColor="background1" w:themeShade="80"/>
                                <w:szCs w:val="24"/>
                                <w:lang w:eastAsia="en-GB"/>
                              </w:rPr>
                              <w:t xml:space="preserve"> Brazil as the most appropriate third country.</w:t>
                            </w:r>
                          </w:p>
                          <w:p w14:paraId="12E8C796" w14:textId="77777777" w:rsidR="006370E7" w:rsidRPr="006370E7" w:rsidRDefault="006370E7"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370E7">
                              <w:rPr>
                                <w:rFonts w:eastAsia="Times New Roman" w:cs="Arial"/>
                                <w:color w:val="808080" w:themeColor="background1" w:themeShade="80"/>
                                <w:szCs w:val="24"/>
                                <w:lang w:eastAsia="en-GB"/>
                              </w:rPr>
                              <w:t>Firstly, Brazil’s domestic biodiesel production volumes significantly exceed those of other countries. Secondly, the relevant financial data for constructing the normal value is readily available from Brazilian producers.</w:t>
                            </w:r>
                          </w:p>
                          <w:p w14:paraId="073D72AE" w14:textId="77777777" w:rsidR="006370E7" w:rsidRPr="006370E7" w:rsidRDefault="006370E7"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370E7">
                              <w:rPr>
                                <w:rFonts w:eastAsia="Times New Roman" w:cs="Arial"/>
                                <w:color w:val="808080" w:themeColor="background1" w:themeShade="80"/>
                                <w:szCs w:val="24"/>
                                <w:lang w:eastAsia="en-GB"/>
                              </w:rPr>
                              <w:t>Furthermore, other biodiesel-producing countries do not match Brazil’s representativeness. Argentina and Malaysia, for instance, subsidize their biodiesel industries through various means, rendering their data unreliable. As regards the other two major producer countries, i.e., Thailand and Colombia, these countries produce significantly less biodiesel than Brazil.</w:t>
                            </w:r>
                          </w:p>
                          <w:p w14:paraId="3B16AF78" w14:textId="77777777" w:rsidR="00C348D8" w:rsidRDefault="00C348D8">
                            <w:pPr>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5330EDD3" id="Text Box 1" o:spid="_x0000_s1029" type="#_x0000_t202" style="position:absolute;margin-left:0;margin-top:37.4pt;width:449.2pt;height:209.65pt;z-index:25165824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" strokeweight=".26467mm">
                <v:textbox>
                  <w:txbxContent>
                    <w:p w14:paraId="6BA4233D" w14:textId="3F074373" w:rsidR="006370E7" w:rsidRPr="006370E7" w:rsidRDefault="00053EE5"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71752">
                        <w:rPr>
                          <w:rFonts w:eastAsia="Times New Roman" w:cs="Arial"/>
                          <w:color w:val="808080" w:themeColor="background1" w:themeShade="80"/>
                          <w:szCs w:val="24"/>
                          <w:lang w:eastAsia="en-GB"/>
                        </w:rPr>
                        <w:t>Gasrec</w:t>
                      </w:r>
                      <w:r w:rsidR="006370E7" w:rsidRPr="006370E7">
                        <w:rPr>
                          <w:rFonts w:eastAsia="Times New Roman" w:cs="Arial"/>
                          <w:color w:val="808080" w:themeColor="background1" w:themeShade="80"/>
                          <w:szCs w:val="24"/>
                          <w:lang w:eastAsia="en-GB"/>
                        </w:rPr>
                        <w:t xml:space="preserve"> supports the use of data from an appropriate third country instead of China to calculate the normal value. Among the countries having a similar level of economic development, </w:t>
                      </w:r>
                      <w:r w:rsidRPr="00671752">
                        <w:rPr>
                          <w:rFonts w:eastAsia="Times New Roman" w:cs="Arial"/>
                          <w:color w:val="808080" w:themeColor="background1" w:themeShade="80"/>
                          <w:szCs w:val="24"/>
                          <w:lang w:eastAsia="en-GB"/>
                        </w:rPr>
                        <w:t>Gasrec</w:t>
                      </w:r>
                      <w:r w:rsidR="006370E7" w:rsidRPr="006370E7">
                        <w:rPr>
                          <w:rFonts w:eastAsia="Times New Roman" w:cs="Arial"/>
                          <w:color w:val="808080" w:themeColor="background1" w:themeShade="80"/>
                          <w:szCs w:val="24"/>
                          <w:lang w:eastAsia="en-GB"/>
                        </w:rPr>
                        <w:t xml:space="preserve"> </w:t>
                      </w:r>
                      <w:r w:rsidR="00671752" w:rsidRPr="00671752">
                        <w:rPr>
                          <w:rFonts w:eastAsia="Times New Roman" w:cs="Arial"/>
                          <w:color w:val="808080" w:themeColor="background1" w:themeShade="80"/>
                          <w:szCs w:val="24"/>
                          <w:lang w:eastAsia="en-GB"/>
                        </w:rPr>
                        <w:t>agrees with</w:t>
                      </w:r>
                      <w:r w:rsidR="006370E7" w:rsidRPr="006370E7">
                        <w:rPr>
                          <w:rFonts w:eastAsia="Times New Roman" w:cs="Arial"/>
                          <w:color w:val="808080" w:themeColor="background1" w:themeShade="80"/>
                          <w:szCs w:val="24"/>
                          <w:lang w:eastAsia="en-GB"/>
                        </w:rPr>
                        <w:t xml:space="preserve"> Brazil as the most appropriate third country.</w:t>
                      </w:r>
                    </w:p>
                    <w:p w14:paraId="12E8C796" w14:textId="77777777" w:rsidR="006370E7" w:rsidRPr="006370E7" w:rsidRDefault="006370E7"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370E7">
                        <w:rPr>
                          <w:rFonts w:eastAsia="Times New Roman" w:cs="Arial"/>
                          <w:color w:val="808080" w:themeColor="background1" w:themeShade="80"/>
                          <w:szCs w:val="24"/>
                          <w:lang w:eastAsia="en-GB"/>
                        </w:rPr>
                        <w:t>Firstly, Brazil’s domestic biodiesel production volumes significantly exceed those of other countries. Secondly, the relevant financial data for constructing the normal value is readily available from Brazilian producers.</w:t>
                      </w:r>
                    </w:p>
                    <w:p w14:paraId="073D72AE" w14:textId="77777777" w:rsidR="006370E7" w:rsidRPr="006370E7" w:rsidRDefault="006370E7"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370E7">
                        <w:rPr>
                          <w:rFonts w:eastAsia="Times New Roman" w:cs="Arial"/>
                          <w:color w:val="808080" w:themeColor="background1" w:themeShade="80"/>
                          <w:szCs w:val="24"/>
                          <w:lang w:eastAsia="en-GB"/>
                        </w:rPr>
                        <w:t>Furthermore, other biodiesel-producing countries do not match Brazil’s representativeness. Argentina and Malaysia, for instance, subsidize their biodiesel industries through various means, rendering their data unreliable. As regards the other two major producer countries, i.e., Thailand and Colombia, these countries produce significantly less biodiesel than Brazil.</w:t>
                      </w:r>
                    </w:p>
                    <w:p w14:paraId="3B16AF78" w14:textId="77777777" w:rsidR="00C348D8" w:rsidRDefault="00C348D8">
                      <w:pPr>
                        <w:rPr>
                          <w:rFonts w:cs="Arial"/>
                        </w:rPr>
                      </w:pPr>
                    </w:p>
                  </w:txbxContent>
                </v:textbox>
                <w10:wrap type="square" anchorx="margin"/>
              </v:shape>
            </w:pict>
          </mc:Fallback>
        </mc:AlternateContent>
      </w:r>
      <w:r w:rsidR="00000000">
        <w:t xml:space="preserve">Do you agree with Brazil as an appropriate third country? Please explain your reasons. </w:t>
      </w:r>
    </w:p>
    <w:p w14:paraId="0B5FA3C2" w14:textId="4D62CEAD" w:rsidR="00C348D8" w:rsidRDefault="00C348D8">
      <w:pPr>
        <w:spacing w:line="22" w:lineRule="atLeast"/>
        <w:rPr>
          <w:rFonts w:eastAsia="Times New Roman" w:cs="Arial"/>
          <w:szCs w:val="24"/>
        </w:rPr>
      </w:pPr>
    </w:p>
    <w:p w14:paraId="6F19EE7D" w14:textId="497BB377" w:rsidR="00C348D8" w:rsidRDefault="00C348D8">
      <w:pPr>
        <w:spacing w:line="22" w:lineRule="atLeast"/>
      </w:pPr>
    </w:p>
    <w:p w14:paraId="50DF2746" w14:textId="77777777" w:rsidR="00C348D8" w:rsidRDefault="00C348D8">
      <w:pPr>
        <w:spacing w:line="22" w:lineRule="atLeast"/>
        <w:rPr>
          <w:rFonts w:eastAsia="Times New Roman" w:cs="Arial"/>
          <w:szCs w:val="24"/>
        </w:rPr>
      </w:pPr>
    </w:p>
    <w:p w14:paraId="1BF277A2" w14:textId="77777777" w:rsidR="00C348D8" w:rsidRDefault="00000000">
      <w:pPr>
        <w:pStyle w:val="Heading3"/>
      </w:pPr>
      <w:bookmarkStart w:id="23" w:name="_Toc167353340"/>
      <w:r>
        <w:t>B4 - Scope</w:t>
      </w:r>
      <w:bookmarkEnd w:id="23"/>
    </w:p>
    <w:p w14:paraId="3FE4351A" w14:textId="315D5029" w:rsidR="00C348D8" w:rsidRDefault="00C348D8"/>
    <w:p w14:paraId="30D60994" w14:textId="055DDA28" w:rsidR="00C348D8" w:rsidRDefault="00000000">
      <w:pPr>
        <w:textAlignment w:val="auto"/>
        <w:rPr>
          <w:rFonts w:eastAsia="Yu Mincho" w:cs="Arial"/>
          <w:szCs w:val="24"/>
        </w:rPr>
      </w:pPr>
      <w:r>
        <w:rPr>
          <w:rFonts w:eastAsia="Yu Mincho" w:cs="Arial"/>
          <w:szCs w:val="24"/>
        </w:rPr>
        <w:t xml:space="preserve">Do you agree with the scope of the investigation as outlined on page 4? </w:t>
      </w:r>
    </w:p>
    <w:p w14:paraId="1E3A3228" w14:textId="02594B4C" w:rsidR="00C348D8" w:rsidRDefault="00C348D8">
      <w:pPr>
        <w:textAlignment w:val="auto"/>
        <w:rPr>
          <w:rFonts w:eastAsia="Yu Mincho" w:cs="Arial"/>
          <w:szCs w:val="24"/>
        </w:rPr>
      </w:pPr>
    </w:p>
    <w:p w14:paraId="39A2F5A2" w14:textId="3D374019" w:rsidR="00C348D8" w:rsidRDefault="00000000">
      <w:pPr>
        <w:ind w:left="720"/>
        <w:textAlignment w:val="auto"/>
      </w:pPr>
      <w:r>
        <w:rPr>
          <w:rFonts w:ascii="Segoe UI Symbol" w:eastAsia="Yu Mincho" w:hAnsi="Segoe UI Symbol" w:cs="Segoe UI Symbol"/>
          <w:szCs w:val="24"/>
        </w:rPr>
        <w:t>☐</w:t>
      </w:r>
      <w:r>
        <w:rPr>
          <w:rFonts w:eastAsia="Yu Mincho" w:cs="Arial"/>
          <w:szCs w:val="24"/>
        </w:rPr>
        <w:t xml:space="preserve"> Yes</w:t>
      </w:r>
    </w:p>
    <w:p w14:paraId="3BB61E2B" w14:textId="73C73961" w:rsidR="00C348D8" w:rsidRDefault="003A2BB0">
      <w:pPr>
        <w:ind w:left="720"/>
        <w:textAlignment w:val="auto"/>
      </w:pPr>
      <w:r>
        <w:rPr>
          <w:rFonts w:ascii="Segoe UI Symbol" w:eastAsia="Yu Mincho" w:hAnsi="Segoe UI Symbol" w:cs="Segoe UI Symbol"/>
          <w:szCs w:val="24"/>
        </w:rPr>
        <w:t>X</w:t>
      </w:r>
      <w:r w:rsidR="00000000">
        <w:rPr>
          <w:rFonts w:eastAsia="Yu Mincho" w:cs="Arial"/>
          <w:szCs w:val="24"/>
        </w:rPr>
        <w:t xml:space="preserve"> No</w:t>
      </w:r>
    </w:p>
    <w:p w14:paraId="54B03B0D" w14:textId="32EC2C61" w:rsidR="00C348D8" w:rsidRDefault="00C348D8">
      <w:pPr>
        <w:textAlignment w:val="auto"/>
        <w:rPr>
          <w:rFonts w:eastAsia="Yu Mincho" w:cs="Arial"/>
          <w:szCs w:val="24"/>
        </w:rPr>
      </w:pPr>
    </w:p>
    <w:p w14:paraId="16AC7CDD" w14:textId="3ABCBBFD" w:rsidR="00C348D8" w:rsidRPr="003A2BB0" w:rsidRDefault="003A2BB0" w:rsidP="003A2BB0">
      <w:pPr>
        <w:textAlignment w:val="auto"/>
        <w:rPr>
          <w:rFonts w:eastAsia="Yu Mincho" w:cs="Arial"/>
          <w:szCs w:val="24"/>
        </w:rPr>
      </w:pPr>
      <w:r>
        <w:rPr>
          <w:noProof/>
        </w:rPr>
        <w:lastRenderedPageBreak/>
        <mc:AlternateContent>
          <mc:Choice Requires="wps">
            <w:drawing>
              <wp:anchor distT="0" distB="0" distL="114300" distR="114300" simplePos="0" relativeHeight="251658243" behindDoc="0" locked="0" layoutInCell="1" allowOverlap="1" wp14:anchorId="56552DA3" wp14:editId="1E594F2F">
                <wp:simplePos x="0" y="0"/>
                <wp:positionH relativeFrom="margin">
                  <wp:posOffset>0</wp:posOffset>
                </wp:positionH>
                <wp:positionV relativeFrom="paragraph">
                  <wp:posOffset>214233</wp:posOffset>
                </wp:positionV>
                <wp:extent cx="5704840" cy="3024505"/>
                <wp:effectExtent l="0" t="0" r="10160" b="23495"/>
                <wp:wrapSquare wrapText="bothSides"/>
                <wp:docPr id="1104580795" name="Text Box 8"/>
                <wp:cNvGraphicFramePr/>
                <a:graphic xmlns:a="http://schemas.openxmlformats.org/drawingml/2006/main">
                  <a:graphicData uri="http://schemas.microsoft.com/office/word/2010/wordprocessingShape">
                    <wps:wsp>
                      <wps:cNvSpPr txBox="1"/>
                      <wps:spPr>
                        <a:xfrm>
                          <a:off x="0" y="0"/>
                          <a:ext cx="5704840" cy="3024505"/>
                        </a:xfrm>
                        <a:prstGeom prst="rect">
                          <a:avLst/>
                        </a:prstGeom>
                        <a:solidFill>
                          <a:srgbClr val="FFFFFF"/>
                        </a:solidFill>
                        <a:ln w="9528">
                          <a:solidFill>
                            <a:srgbClr val="000000"/>
                          </a:solidFill>
                          <a:prstDash val="solid"/>
                        </a:ln>
                      </wps:spPr>
                      <wps:txbx>
                        <w:txbxContent>
                          <w:p w14:paraId="4D9AF062" w14:textId="5BFDA86D" w:rsidR="006370E7" w:rsidRPr="006370E7" w:rsidRDefault="00671752"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Pr>
                                <w:rFonts w:eastAsia="Times New Roman" w:cs="Arial"/>
                                <w:color w:val="808080" w:themeColor="background1" w:themeShade="80"/>
                                <w:szCs w:val="24"/>
                                <w:lang w:eastAsia="en-GB"/>
                              </w:rPr>
                              <w:t>Gasrec believes the</w:t>
                            </w:r>
                            <w:r w:rsidR="006370E7" w:rsidRPr="006370E7">
                              <w:rPr>
                                <w:rFonts w:eastAsia="Times New Roman" w:cs="Arial"/>
                                <w:color w:val="808080" w:themeColor="background1" w:themeShade="80"/>
                                <w:szCs w:val="24"/>
                                <w:lang w:eastAsia="en-GB"/>
                              </w:rPr>
                              <w:t xml:space="preserve"> investigation should encompass all types and alternatives of biodiesel. While biodiesel made through transesterification (“FAME”) is the primary product in the UK domestic market, China has developed other production pathways, such as hydro-treated vegetable oils (“HVO”) and sustainable aviation fuels (“SAF”).</w:t>
                            </w:r>
                          </w:p>
                          <w:p w14:paraId="4C04C3EE" w14:textId="77777777" w:rsidR="006370E7" w:rsidRPr="006370E7" w:rsidRDefault="006370E7"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370E7">
                              <w:rPr>
                                <w:rFonts w:eastAsia="Times New Roman" w:cs="Arial"/>
                                <w:color w:val="808080" w:themeColor="background1" w:themeShade="80"/>
                                <w:szCs w:val="24"/>
                                <w:lang w:eastAsia="en-GB"/>
                              </w:rPr>
                              <w:t xml:space="preserve">HVO and SAF biodiesel produced in China are </w:t>
                            </w:r>
                            <w:proofErr w:type="gramStart"/>
                            <w:r w:rsidRPr="006370E7">
                              <w:rPr>
                                <w:rFonts w:eastAsia="Times New Roman" w:cs="Arial"/>
                                <w:color w:val="808080" w:themeColor="background1" w:themeShade="80"/>
                                <w:szCs w:val="24"/>
                                <w:lang w:eastAsia="en-GB"/>
                              </w:rPr>
                              <w:t>similar to</w:t>
                            </w:r>
                            <w:proofErr w:type="gramEnd"/>
                            <w:r w:rsidRPr="006370E7">
                              <w:rPr>
                                <w:rFonts w:eastAsia="Times New Roman" w:cs="Arial"/>
                                <w:color w:val="808080" w:themeColor="background1" w:themeShade="80"/>
                                <w:szCs w:val="24"/>
                                <w:lang w:eastAsia="en-GB"/>
                              </w:rPr>
                              <w:t xml:space="preserve"> biodiesel produced in the UK. Different terms (FAME, HVO, SAF) do not imply these products belong to different biodiesel categories. Instead, they all fall under the same general category of biodiesel: they are similar or interchangeable products, competing in the UK market.</w:t>
                            </w:r>
                          </w:p>
                          <w:p w14:paraId="708A656E" w14:textId="12D9779A" w:rsidR="00C348D8" w:rsidRPr="00671752" w:rsidRDefault="006370E7" w:rsidP="00671752">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370E7">
                              <w:rPr>
                                <w:rFonts w:eastAsia="Times New Roman" w:cs="Arial"/>
                                <w:color w:val="808080" w:themeColor="background1" w:themeShade="80"/>
                                <w:szCs w:val="24"/>
                                <w:lang w:eastAsia="en-GB"/>
                              </w:rPr>
                              <w:t xml:space="preserve">For a detailed analysis of the interchangeability and competition between different biodiesel types, </w:t>
                            </w:r>
                            <w:r w:rsidR="00671752">
                              <w:rPr>
                                <w:rFonts w:eastAsia="Times New Roman" w:cs="Arial"/>
                                <w:color w:val="808080" w:themeColor="background1" w:themeShade="80"/>
                                <w:szCs w:val="24"/>
                                <w:lang w:eastAsia="en-GB"/>
                              </w:rPr>
                              <w:t xml:space="preserve">Gasrec </w:t>
                            </w:r>
                            <w:r w:rsidRPr="006370E7">
                              <w:rPr>
                                <w:rFonts w:eastAsia="Times New Roman" w:cs="Arial"/>
                                <w:color w:val="808080" w:themeColor="background1" w:themeShade="80"/>
                                <w:szCs w:val="24"/>
                                <w:lang w:eastAsia="en-GB"/>
                              </w:rPr>
                              <w:t>refers the TRA to the Applicant’s Application (see Section A.2 – The Like Goods) and the Applicant’s Submission of 28 June 2024 regarding the inclusion of SAF in the product scope.</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56552DA3" id="Text Box 8" o:spid="_x0000_s1030" type="#_x0000_t202" style="position:absolute;margin-left:0;margin-top:16.85pt;width:449.2pt;height:238.15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" strokeweight=".26467mm">
                <v:textbox>
                  <w:txbxContent>
                    <w:p w14:paraId="4D9AF062" w14:textId="5BFDA86D" w:rsidR="006370E7" w:rsidRPr="006370E7" w:rsidRDefault="00671752"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Pr>
                          <w:rFonts w:eastAsia="Times New Roman" w:cs="Arial"/>
                          <w:color w:val="808080" w:themeColor="background1" w:themeShade="80"/>
                          <w:szCs w:val="24"/>
                          <w:lang w:eastAsia="en-GB"/>
                        </w:rPr>
                        <w:t>Gasrec believes the</w:t>
                      </w:r>
                      <w:r w:rsidR="006370E7" w:rsidRPr="006370E7">
                        <w:rPr>
                          <w:rFonts w:eastAsia="Times New Roman" w:cs="Arial"/>
                          <w:color w:val="808080" w:themeColor="background1" w:themeShade="80"/>
                          <w:szCs w:val="24"/>
                          <w:lang w:eastAsia="en-GB"/>
                        </w:rPr>
                        <w:t xml:space="preserve"> investigation should encompass all types and alternatives of biodiesel. While biodiesel made through transesterification (“FAME”) is the primary product in the UK domestic market, China has developed other production pathways, such as hydro-treated vegetable oils (“HVO”) and sustainable aviation fuels (“SAF”).</w:t>
                      </w:r>
                    </w:p>
                    <w:p w14:paraId="4C04C3EE" w14:textId="77777777" w:rsidR="006370E7" w:rsidRPr="006370E7" w:rsidRDefault="006370E7"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370E7">
                        <w:rPr>
                          <w:rFonts w:eastAsia="Times New Roman" w:cs="Arial"/>
                          <w:color w:val="808080" w:themeColor="background1" w:themeShade="80"/>
                          <w:szCs w:val="24"/>
                          <w:lang w:eastAsia="en-GB"/>
                        </w:rPr>
                        <w:t xml:space="preserve">HVO and SAF biodiesel produced in China are </w:t>
                      </w:r>
                      <w:proofErr w:type="gramStart"/>
                      <w:r w:rsidRPr="006370E7">
                        <w:rPr>
                          <w:rFonts w:eastAsia="Times New Roman" w:cs="Arial"/>
                          <w:color w:val="808080" w:themeColor="background1" w:themeShade="80"/>
                          <w:szCs w:val="24"/>
                          <w:lang w:eastAsia="en-GB"/>
                        </w:rPr>
                        <w:t>similar to</w:t>
                      </w:r>
                      <w:proofErr w:type="gramEnd"/>
                      <w:r w:rsidRPr="006370E7">
                        <w:rPr>
                          <w:rFonts w:eastAsia="Times New Roman" w:cs="Arial"/>
                          <w:color w:val="808080" w:themeColor="background1" w:themeShade="80"/>
                          <w:szCs w:val="24"/>
                          <w:lang w:eastAsia="en-GB"/>
                        </w:rPr>
                        <w:t xml:space="preserve"> biodiesel produced in the UK. Different terms (FAME, HVO, SAF) do not imply these products belong to different biodiesel categories. Instead, they all fall under the same general category of biodiesel: they are similar or interchangeable products, competing in the UK market.</w:t>
                      </w:r>
                    </w:p>
                    <w:p w14:paraId="708A656E" w14:textId="12D9779A" w:rsidR="00C348D8" w:rsidRPr="00671752" w:rsidRDefault="006370E7" w:rsidP="00671752">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370E7">
                        <w:rPr>
                          <w:rFonts w:eastAsia="Times New Roman" w:cs="Arial"/>
                          <w:color w:val="808080" w:themeColor="background1" w:themeShade="80"/>
                          <w:szCs w:val="24"/>
                          <w:lang w:eastAsia="en-GB"/>
                        </w:rPr>
                        <w:t xml:space="preserve">For a detailed analysis of the interchangeability and competition between different biodiesel types, </w:t>
                      </w:r>
                      <w:r w:rsidR="00671752">
                        <w:rPr>
                          <w:rFonts w:eastAsia="Times New Roman" w:cs="Arial"/>
                          <w:color w:val="808080" w:themeColor="background1" w:themeShade="80"/>
                          <w:szCs w:val="24"/>
                          <w:lang w:eastAsia="en-GB"/>
                        </w:rPr>
                        <w:t xml:space="preserve">Gasrec </w:t>
                      </w:r>
                      <w:r w:rsidRPr="006370E7">
                        <w:rPr>
                          <w:rFonts w:eastAsia="Times New Roman" w:cs="Arial"/>
                          <w:color w:val="808080" w:themeColor="background1" w:themeShade="80"/>
                          <w:szCs w:val="24"/>
                          <w:lang w:eastAsia="en-GB"/>
                        </w:rPr>
                        <w:t>refers the TRA to the Applicant’s Application (see Section A.2 – The Like Goods) and the Applicant’s Submission of 28 June 2024 regarding the inclusion of SAF in the product scope.</w:t>
                      </w:r>
                    </w:p>
                  </w:txbxContent>
                </v:textbox>
                <w10:wrap type="square" anchorx="margin"/>
              </v:shape>
            </w:pict>
          </mc:Fallback>
        </mc:AlternateContent>
      </w:r>
      <w:r w:rsidR="00000000">
        <w:rPr>
          <w:rFonts w:eastAsia="Yu Mincho" w:cs="Arial"/>
          <w:szCs w:val="24"/>
        </w:rPr>
        <w:t>If you have answered “no” to the above question, please can you explain why?</w:t>
      </w:r>
    </w:p>
    <w:p w14:paraId="723ED943" w14:textId="77777777" w:rsidR="00C348D8" w:rsidRDefault="00C348D8">
      <w:pPr>
        <w:spacing w:line="22" w:lineRule="atLeast"/>
        <w:rPr>
          <w:rFonts w:eastAsia="Times New Roman" w:cs="Arial"/>
        </w:rPr>
      </w:pPr>
    </w:p>
    <w:p w14:paraId="7021DB45" w14:textId="77777777" w:rsidR="00C348D8" w:rsidRDefault="00000000">
      <w:pPr>
        <w:pStyle w:val="Heading3"/>
      </w:pPr>
      <w:bookmarkStart w:id="24" w:name="_Toc167353341"/>
      <w:r>
        <w:t>B5 – Economic Interest Test</w:t>
      </w:r>
      <w:bookmarkEnd w:id="24"/>
    </w:p>
    <w:p w14:paraId="5DE5D0B0" w14:textId="77777777" w:rsidR="00C348D8" w:rsidRDefault="00C348D8"/>
    <w:p w14:paraId="5483DC0F" w14:textId="77777777" w:rsidR="00C348D8" w:rsidRDefault="00000000">
      <w:pPr>
        <w:rPr>
          <w:rFonts w:cs="Arial"/>
          <w:szCs w:val="24"/>
        </w:rPr>
      </w:pPr>
      <w:r>
        <w:rPr>
          <w:rFonts w:cs="Arial"/>
          <w:szCs w:val="24"/>
        </w:rPr>
        <w:t xml:space="preserve">It is a requirement of the investigation to conduct an Economic Interest Test (EIT). The aim of the EIT is to determine whether the implementation of the proposed trade remedy measure is in the wider economic interest of the UK. </w:t>
      </w:r>
      <w:proofErr w:type="gramStart"/>
      <w:r>
        <w:rPr>
          <w:rFonts w:cs="Arial"/>
          <w:szCs w:val="24"/>
        </w:rPr>
        <w:t>In order to</w:t>
      </w:r>
      <w:proofErr w:type="gramEnd"/>
      <w:r>
        <w:rPr>
          <w:rFonts w:cs="Arial"/>
          <w:szCs w:val="24"/>
        </w:rPr>
        <w:t xml:space="preserve"> obtain a complete picture of the UK market, could you please help by providing us with details of any known UK suppliers (upstream companies providing inputs) and UK customers (downstream companies buying the like goods). Please confirm in the final column if we </w:t>
      </w:r>
      <w:proofErr w:type="gramStart"/>
      <w:r>
        <w:rPr>
          <w:rFonts w:cs="Arial"/>
          <w:szCs w:val="24"/>
        </w:rPr>
        <w:t>are able to</w:t>
      </w:r>
      <w:proofErr w:type="gramEnd"/>
      <w:r>
        <w:rPr>
          <w:rFonts w:cs="Arial"/>
          <w:szCs w:val="24"/>
        </w:rPr>
        <w:t xml:space="preserve"> contact these companies.</w:t>
      </w:r>
    </w:p>
    <w:p w14:paraId="619E0968" w14:textId="46D8A211" w:rsidR="00C348D8" w:rsidRDefault="00C348D8"/>
    <w:tbl>
      <w:tblPr>
        <w:tblW w:w="5047" w:type="pct"/>
        <w:tblCellMar>
          <w:left w:w="10" w:type="dxa"/>
          <w:right w:w="10" w:type="dxa"/>
        </w:tblCellMar>
        <w:tblLook w:val="0000" w:firstRow="0" w:lastRow="0" w:firstColumn="0" w:lastColumn="0" w:noHBand="0" w:noVBand="0"/>
      </w:tblPr>
      <w:tblGrid>
        <w:gridCol w:w="510"/>
        <w:gridCol w:w="1792"/>
        <w:gridCol w:w="1530"/>
        <w:gridCol w:w="2222"/>
        <w:gridCol w:w="1666"/>
        <w:gridCol w:w="1386"/>
      </w:tblGrid>
      <w:tr w:rsidR="00C348D8" w14:paraId="46C3195C" w14:textId="77777777">
        <w:tblPrEx>
          <w:tblCellMar>
            <w:top w:w="0" w:type="dxa"/>
            <w:bottom w:w="0" w:type="dxa"/>
          </w:tblCellMar>
        </w:tblPrEx>
        <w:trPr>
          <w:trHeight w:val="1020"/>
        </w:trPr>
        <w:tc>
          <w:tcPr>
            <w:tcW w:w="5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6DBD272" w14:textId="77777777" w:rsidR="00C348D8" w:rsidRDefault="00C348D8">
            <w:pPr>
              <w:spacing w:line="22" w:lineRule="atLeast"/>
              <w:jc w:val="right"/>
              <w:rPr>
                <w:rFonts w:cs="Arial"/>
              </w:rPr>
            </w:pPr>
          </w:p>
        </w:tc>
        <w:tc>
          <w:tcPr>
            <w:tcW w:w="17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2515F6" w14:textId="77777777" w:rsidR="00C348D8" w:rsidRDefault="00000000">
            <w:pPr>
              <w:spacing w:line="22" w:lineRule="atLeast"/>
              <w:jc w:val="center"/>
            </w:pPr>
            <w:r>
              <w:rPr>
                <w:rFonts w:eastAsia="Yu Mincho" w:cs="Arial"/>
                <w:b/>
              </w:rPr>
              <w:t>Company name</w:t>
            </w:r>
          </w:p>
          <w:p w14:paraId="3BC86133" w14:textId="77777777" w:rsidR="00C348D8" w:rsidRDefault="00C348D8">
            <w:pPr>
              <w:spacing w:line="22" w:lineRule="atLeast"/>
              <w:jc w:val="center"/>
              <w:rPr>
                <w:rFonts w:eastAsia="Yu Mincho" w:cs="Arial"/>
                <w:b/>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45AB69" w14:textId="77777777" w:rsidR="00C348D8" w:rsidRDefault="00000000">
            <w:pPr>
              <w:spacing w:line="22" w:lineRule="atLeast"/>
              <w:jc w:val="center"/>
            </w:pPr>
            <w:r>
              <w:rPr>
                <w:rFonts w:eastAsia="Yu Mincho" w:cs="Arial"/>
                <w:b/>
              </w:rPr>
              <w:t>Company</w:t>
            </w:r>
          </w:p>
          <w:p w14:paraId="38CD925E" w14:textId="77777777" w:rsidR="00C348D8" w:rsidRDefault="00000000">
            <w:pPr>
              <w:spacing w:line="22" w:lineRule="atLeast"/>
              <w:jc w:val="center"/>
              <w:rPr>
                <w:rFonts w:eastAsia="Yu Mincho" w:cs="Arial"/>
                <w:b/>
              </w:rPr>
            </w:pPr>
            <w:r>
              <w:rPr>
                <w:rFonts w:eastAsia="Yu Mincho" w:cs="Arial"/>
                <w:b/>
              </w:rPr>
              <w:t>location</w:t>
            </w:r>
          </w:p>
          <w:p w14:paraId="4174F4F8" w14:textId="77777777" w:rsidR="00C348D8" w:rsidRDefault="00000000">
            <w:pPr>
              <w:spacing w:line="22" w:lineRule="atLeast"/>
              <w:jc w:val="center"/>
              <w:rPr>
                <w:rFonts w:eastAsia="Yu Mincho" w:cs="Arial"/>
                <w:b/>
              </w:rPr>
            </w:pPr>
            <w:r>
              <w:rPr>
                <w:rFonts w:eastAsia="Yu Mincho" w:cs="Arial"/>
                <w:b/>
              </w:rPr>
              <w:t>(</w:t>
            </w:r>
            <w:proofErr w:type="gramStart"/>
            <w:r>
              <w:rPr>
                <w:rFonts w:eastAsia="Yu Mincho" w:cs="Arial"/>
                <w:b/>
              </w:rPr>
              <w:t>city,  country</w:t>
            </w:r>
            <w:proofErr w:type="gramEnd"/>
            <w:r>
              <w:rPr>
                <w:rFonts w:eastAsia="Yu Mincho" w:cs="Arial"/>
                <w:b/>
              </w:rPr>
              <w:t>)</w:t>
            </w:r>
          </w:p>
        </w:tc>
        <w:tc>
          <w:tcPr>
            <w:tcW w:w="22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E6993F" w14:textId="77777777" w:rsidR="00C348D8" w:rsidRDefault="00000000">
            <w:pPr>
              <w:spacing w:line="22" w:lineRule="atLeast"/>
              <w:jc w:val="center"/>
            </w:pPr>
            <w:r>
              <w:rPr>
                <w:rFonts w:eastAsia="Yu Mincho" w:cs="Arial"/>
                <w:b/>
              </w:rPr>
              <w:t>Company</w:t>
            </w:r>
          </w:p>
          <w:p w14:paraId="2F91E6D8" w14:textId="77777777" w:rsidR="00C348D8" w:rsidRDefault="00000000">
            <w:pPr>
              <w:spacing w:line="22" w:lineRule="atLeast"/>
              <w:jc w:val="center"/>
            </w:pPr>
            <w:r>
              <w:rPr>
                <w:rFonts w:eastAsia="Yu Mincho" w:cs="Arial"/>
                <w:b/>
              </w:rPr>
              <w:t>contact</w:t>
            </w:r>
          </w:p>
          <w:p w14:paraId="0B51C7F6" w14:textId="77777777" w:rsidR="00C348D8" w:rsidRDefault="00000000">
            <w:pPr>
              <w:spacing w:line="22" w:lineRule="atLeast"/>
              <w:jc w:val="center"/>
              <w:rPr>
                <w:rFonts w:eastAsia="Yu Mincho" w:cs="Arial"/>
                <w:b/>
              </w:rPr>
            </w:pPr>
            <w:r>
              <w:rPr>
                <w:rFonts w:eastAsia="Yu Mincho" w:cs="Arial"/>
                <w:b/>
              </w:rPr>
              <w:t>information</w:t>
            </w:r>
          </w:p>
          <w:p w14:paraId="5B70D386" w14:textId="77777777" w:rsidR="00C348D8" w:rsidRDefault="00000000">
            <w:pPr>
              <w:spacing w:line="22" w:lineRule="atLeast"/>
              <w:jc w:val="center"/>
              <w:rPr>
                <w:rFonts w:eastAsia="Yu Mincho" w:cs="Arial"/>
                <w:b/>
              </w:rPr>
            </w:pPr>
            <w:r>
              <w:rPr>
                <w:rFonts w:eastAsia="Yu Mincho" w:cs="Arial"/>
                <w:b/>
              </w:rPr>
              <w:t>(email/telephone)</w:t>
            </w:r>
          </w:p>
        </w:tc>
        <w:tc>
          <w:tcPr>
            <w:tcW w:w="16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6FAD80" w14:textId="77777777" w:rsidR="00C348D8" w:rsidRDefault="00000000">
            <w:pPr>
              <w:spacing w:line="22" w:lineRule="atLeast"/>
              <w:jc w:val="center"/>
            </w:pPr>
            <w:r>
              <w:rPr>
                <w:rFonts w:eastAsia="Yu Mincho" w:cs="Arial"/>
                <w:b/>
              </w:rPr>
              <w:t>Upstream or</w:t>
            </w:r>
          </w:p>
          <w:p w14:paraId="615FB79A" w14:textId="77777777" w:rsidR="00C348D8" w:rsidRDefault="00000000">
            <w:pPr>
              <w:spacing w:line="22" w:lineRule="atLeast"/>
              <w:jc w:val="center"/>
              <w:rPr>
                <w:rFonts w:eastAsia="Yu Mincho" w:cs="Arial"/>
                <w:b/>
              </w:rPr>
            </w:pPr>
            <w:r>
              <w:rPr>
                <w:rFonts w:eastAsia="Yu Mincho" w:cs="Arial"/>
                <w:b/>
              </w:rPr>
              <w:t>downstream</w:t>
            </w:r>
          </w:p>
        </w:tc>
        <w:tc>
          <w:tcPr>
            <w:tcW w:w="13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138050" w14:textId="77777777" w:rsidR="00C348D8" w:rsidRDefault="00000000">
            <w:pPr>
              <w:spacing w:line="22" w:lineRule="atLeast"/>
              <w:jc w:val="center"/>
              <w:rPr>
                <w:rFonts w:eastAsia="Yu Mincho" w:cs="Arial"/>
                <w:b/>
              </w:rPr>
            </w:pPr>
            <w:r>
              <w:rPr>
                <w:rFonts w:eastAsia="Yu Mincho" w:cs="Arial"/>
                <w:b/>
              </w:rPr>
              <w:t>Can we contact?</w:t>
            </w:r>
          </w:p>
          <w:p w14:paraId="772E5014" w14:textId="77777777" w:rsidR="00C348D8" w:rsidRDefault="00000000">
            <w:pPr>
              <w:spacing w:line="22" w:lineRule="atLeast"/>
              <w:jc w:val="center"/>
              <w:rPr>
                <w:rFonts w:eastAsia="Yu Mincho" w:cs="Arial"/>
                <w:b/>
              </w:rPr>
            </w:pPr>
            <w:r>
              <w:rPr>
                <w:rFonts w:eastAsia="Yu Mincho" w:cs="Arial"/>
                <w:b/>
              </w:rPr>
              <w:t>Yes/No</w:t>
            </w:r>
          </w:p>
        </w:tc>
      </w:tr>
      <w:tr w:rsidR="00C348D8" w14:paraId="7CE06466" w14:textId="77777777">
        <w:tblPrEx>
          <w:tblCellMar>
            <w:top w:w="0" w:type="dxa"/>
            <w:bottom w:w="0" w:type="dxa"/>
          </w:tblCellMar>
        </w:tblPrEx>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B0AF45" w14:textId="77777777" w:rsidR="00C348D8" w:rsidRDefault="00000000">
            <w:pPr>
              <w:spacing w:line="22" w:lineRule="atLeast"/>
              <w:jc w:val="right"/>
              <w:rPr>
                <w:rFonts w:eastAsia="Yu Mincho" w:cs="Arial"/>
              </w:rPr>
            </w:pPr>
            <w:r>
              <w:rPr>
                <w:rFonts w:eastAsia="Yu Mincho" w:cs="Arial"/>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0C388" w14:textId="77777777" w:rsidR="00C348D8" w:rsidRDefault="00C348D8"/>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A0D9A" w14:textId="77777777" w:rsidR="00C348D8" w:rsidRDefault="00C348D8"/>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89494" w14:textId="77777777" w:rsidR="00C348D8" w:rsidRDefault="00C348D8"/>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38BE1D" w14:textId="77777777" w:rsidR="00C348D8" w:rsidRDefault="00C348D8"/>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26242" w14:textId="77777777" w:rsidR="00C348D8" w:rsidRDefault="00C348D8"/>
        </w:tc>
      </w:tr>
      <w:tr w:rsidR="00C348D8" w14:paraId="414DFF19" w14:textId="77777777">
        <w:tblPrEx>
          <w:tblCellMar>
            <w:top w:w="0" w:type="dxa"/>
            <w:bottom w:w="0" w:type="dxa"/>
          </w:tblCellMar>
        </w:tblPrEx>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778A8F2" w14:textId="77777777" w:rsidR="00C348D8" w:rsidRDefault="00000000">
            <w:pPr>
              <w:spacing w:line="22" w:lineRule="atLeast"/>
              <w:jc w:val="right"/>
              <w:rPr>
                <w:rFonts w:eastAsia="Yu Mincho" w:cs="Arial"/>
              </w:rPr>
            </w:pPr>
            <w:r>
              <w:rPr>
                <w:rFonts w:eastAsia="Yu Mincho" w:cs="Arial"/>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62A8C" w14:textId="77777777" w:rsidR="00C348D8" w:rsidRDefault="00C348D8"/>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B2682" w14:textId="77777777" w:rsidR="00C348D8" w:rsidRDefault="00C348D8"/>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12790" w14:textId="77777777" w:rsidR="00C348D8" w:rsidRDefault="00C348D8"/>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78D18" w14:textId="77777777" w:rsidR="00C348D8" w:rsidRDefault="00C348D8"/>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C73A9" w14:textId="77777777" w:rsidR="00C348D8" w:rsidRDefault="00C348D8"/>
        </w:tc>
      </w:tr>
      <w:tr w:rsidR="00C348D8" w14:paraId="0194AC2F" w14:textId="77777777">
        <w:tblPrEx>
          <w:tblCellMar>
            <w:top w:w="0" w:type="dxa"/>
            <w:bottom w:w="0" w:type="dxa"/>
          </w:tblCellMar>
        </w:tblPrEx>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4040B7" w14:textId="77777777" w:rsidR="00C348D8" w:rsidRDefault="00000000">
            <w:pPr>
              <w:spacing w:line="22" w:lineRule="atLeast"/>
              <w:jc w:val="right"/>
              <w:rPr>
                <w:rFonts w:eastAsia="Yu Mincho" w:cs="Arial"/>
              </w:rPr>
            </w:pPr>
            <w:r>
              <w:rPr>
                <w:rFonts w:eastAsia="Yu Mincho" w:cs="Arial"/>
              </w:rPr>
              <w:t>3</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9622" w14:textId="77777777" w:rsidR="00C348D8" w:rsidRDefault="00C348D8"/>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F4E2B" w14:textId="77777777" w:rsidR="00C348D8" w:rsidRDefault="00C348D8"/>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6D430" w14:textId="77777777" w:rsidR="00C348D8" w:rsidRDefault="00C348D8"/>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705FC" w14:textId="77777777" w:rsidR="00C348D8" w:rsidRDefault="00C348D8"/>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D7880" w14:textId="77777777" w:rsidR="00C348D8" w:rsidRDefault="00C348D8"/>
        </w:tc>
      </w:tr>
      <w:tr w:rsidR="00C348D8" w14:paraId="3CE99EDA" w14:textId="77777777">
        <w:tblPrEx>
          <w:tblCellMar>
            <w:top w:w="0" w:type="dxa"/>
            <w:bottom w:w="0" w:type="dxa"/>
          </w:tblCellMar>
        </w:tblPrEx>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9E26D8" w14:textId="77777777" w:rsidR="00C348D8" w:rsidRDefault="00000000">
            <w:pPr>
              <w:spacing w:line="22" w:lineRule="atLeast"/>
              <w:jc w:val="right"/>
              <w:rPr>
                <w:rFonts w:eastAsia="Yu Mincho" w:cs="Arial"/>
              </w:rPr>
            </w:pPr>
            <w:r>
              <w:rPr>
                <w:rFonts w:eastAsia="Yu Mincho" w:cs="Arial"/>
              </w:rPr>
              <w:t>4</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506E9" w14:textId="77777777" w:rsidR="00C348D8" w:rsidRDefault="00C348D8"/>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6E0CD" w14:textId="77777777" w:rsidR="00C348D8" w:rsidRDefault="00C348D8"/>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AEF3E" w14:textId="77777777" w:rsidR="00C348D8" w:rsidRDefault="00C348D8"/>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8DE0A" w14:textId="77777777" w:rsidR="00C348D8" w:rsidRDefault="00C348D8"/>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AE82C" w14:textId="77777777" w:rsidR="00C348D8" w:rsidRDefault="00C348D8"/>
        </w:tc>
      </w:tr>
    </w:tbl>
    <w:p w14:paraId="697FD3E1" w14:textId="0740F5FA" w:rsidR="00C348D8" w:rsidRDefault="00C348D8"/>
    <w:p w14:paraId="67F051E7" w14:textId="1753179B" w:rsidR="00C348D8" w:rsidRDefault="00C348D8">
      <w:pPr>
        <w:spacing w:line="22" w:lineRule="atLeast"/>
        <w:rPr>
          <w:rFonts w:eastAsia="Times New Roman" w:cs="Arial"/>
        </w:rPr>
      </w:pPr>
    </w:p>
    <w:p w14:paraId="0982EBBB" w14:textId="0C89E298" w:rsidR="00C348D8" w:rsidRDefault="00000000">
      <w:pPr>
        <w:pStyle w:val="Heading3"/>
      </w:pPr>
      <w:bookmarkStart w:id="25" w:name="_Toc167353342"/>
      <w:r>
        <w:t>B6 – Anything else</w:t>
      </w:r>
      <w:bookmarkEnd w:id="25"/>
      <w:r>
        <w:t xml:space="preserve"> </w:t>
      </w:r>
    </w:p>
    <w:p w14:paraId="7E9A0C1E" w14:textId="0ED3BC9D" w:rsidR="00C348D8" w:rsidRDefault="00C348D8"/>
    <w:p w14:paraId="76CFDB06" w14:textId="72B14AD7" w:rsidR="00C348D8" w:rsidRDefault="00000000">
      <w:pPr>
        <w:textAlignment w:val="auto"/>
        <w:rPr>
          <w:rFonts w:eastAsia="Yu Mincho" w:cs="Arial"/>
          <w:szCs w:val="24"/>
        </w:rPr>
      </w:pPr>
      <w:r>
        <w:rPr>
          <w:rFonts w:eastAsia="Yu Mincho" w:cs="Arial"/>
          <w:szCs w:val="24"/>
        </w:rPr>
        <w:lastRenderedPageBreak/>
        <w:t>Please use the box below to provide information about anything else you consider relevant to this investigation.</w:t>
      </w:r>
    </w:p>
    <w:p w14:paraId="1F126666" w14:textId="62293C87" w:rsidR="00C348D8" w:rsidRDefault="00671752">
      <w:r>
        <w:rPr>
          <w:noProof/>
        </w:rPr>
        <mc:AlternateContent>
          <mc:Choice Requires="wps">
            <w:drawing>
              <wp:anchor distT="0" distB="0" distL="114300" distR="114300" simplePos="0" relativeHeight="251658244" behindDoc="0" locked="0" layoutInCell="1" allowOverlap="1" wp14:anchorId="3DEC8E61" wp14:editId="6C7B935C">
                <wp:simplePos x="0" y="0"/>
                <wp:positionH relativeFrom="margin">
                  <wp:posOffset>-20320</wp:posOffset>
                </wp:positionH>
                <wp:positionV relativeFrom="paragraph">
                  <wp:posOffset>208915</wp:posOffset>
                </wp:positionV>
                <wp:extent cx="5704840" cy="4521200"/>
                <wp:effectExtent l="0" t="0" r="10160" b="12700"/>
                <wp:wrapSquare wrapText="bothSides"/>
                <wp:docPr id="1763591442" name="Text Box 10"/>
                <wp:cNvGraphicFramePr/>
                <a:graphic xmlns:a="http://schemas.openxmlformats.org/drawingml/2006/main">
                  <a:graphicData uri="http://schemas.microsoft.com/office/word/2010/wordprocessingShape">
                    <wps:wsp>
                      <wps:cNvSpPr txBox="1"/>
                      <wps:spPr>
                        <a:xfrm>
                          <a:off x="0" y="0"/>
                          <a:ext cx="5704840" cy="4521200"/>
                        </a:xfrm>
                        <a:prstGeom prst="rect">
                          <a:avLst/>
                        </a:prstGeom>
                        <a:solidFill>
                          <a:srgbClr val="FFFFFF"/>
                        </a:solidFill>
                        <a:ln w="9528">
                          <a:solidFill>
                            <a:srgbClr val="000000"/>
                          </a:solidFill>
                          <a:prstDash val="solid"/>
                        </a:ln>
                      </wps:spPr>
                      <wps:txbx>
                        <w:txbxContent>
                          <w:p w14:paraId="231A0E5A" w14:textId="65912972" w:rsidR="006370E7" w:rsidRPr="006370E7" w:rsidRDefault="00671752"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3F7084">
                              <w:rPr>
                                <w:rFonts w:eastAsia="Times New Roman" w:cs="Arial"/>
                                <w:color w:val="808080" w:themeColor="background1" w:themeShade="80"/>
                                <w:szCs w:val="24"/>
                                <w:lang w:eastAsia="en-GB"/>
                              </w:rPr>
                              <w:t>Gasrec believes it is important that the</w:t>
                            </w:r>
                            <w:r w:rsidR="006370E7" w:rsidRPr="006370E7">
                              <w:rPr>
                                <w:rFonts w:eastAsia="Times New Roman" w:cs="Arial"/>
                                <w:color w:val="808080" w:themeColor="background1" w:themeShade="80"/>
                                <w:szCs w:val="24"/>
                                <w:lang w:eastAsia="en-GB"/>
                              </w:rPr>
                              <w:t xml:space="preserve"> TRA </w:t>
                            </w:r>
                            <w:r w:rsidR="003A2BB0" w:rsidRPr="003F7084">
                              <w:rPr>
                                <w:rFonts w:eastAsia="Times New Roman" w:cs="Arial"/>
                                <w:color w:val="808080" w:themeColor="background1" w:themeShade="80"/>
                                <w:szCs w:val="24"/>
                                <w:lang w:eastAsia="en-GB"/>
                              </w:rPr>
                              <w:t>considers</w:t>
                            </w:r>
                            <w:r w:rsidR="006370E7" w:rsidRPr="006370E7">
                              <w:rPr>
                                <w:rFonts w:eastAsia="Times New Roman" w:cs="Arial"/>
                                <w:color w:val="808080" w:themeColor="background1" w:themeShade="80"/>
                                <w:szCs w:val="24"/>
                                <w:lang w:eastAsia="en-GB"/>
                              </w:rPr>
                              <w:t xml:space="preserve"> the high degree of integration between the UK and EU markets</w:t>
                            </w:r>
                            <w:r w:rsidR="003A2BB0" w:rsidRPr="003F7084">
                              <w:rPr>
                                <w:rFonts w:eastAsia="Times New Roman" w:cs="Arial"/>
                                <w:color w:val="808080" w:themeColor="background1" w:themeShade="80"/>
                                <w:szCs w:val="24"/>
                                <w:lang w:eastAsia="en-GB"/>
                              </w:rPr>
                              <w:t xml:space="preserve"> d</w:t>
                            </w:r>
                            <w:r w:rsidR="006370E7" w:rsidRPr="006370E7">
                              <w:rPr>
                                <w:rFonts w:eastAsia="Times New Roman" w:cs="Arial"/>
                                <w:color w:val="808080" w:themeColor="background1" w:themeShade="80"/>
                                <w:szCs w:val="24"/>
                                <w:lang w:eastAsia="en-GB"/>
                              </w:rPr>
                              <w:t>ue to their geographical proximity and similar market conditions</w:t>
                            </w:r>
                            <w:r w:rsidR="003A2BB0" w:rsidRPr="003F7084">
                              <w:rPr>
                                <w:rFonts w:eastAsia="Times New Roman" w:cs="Arial"/>
                                <w:color w:val="808080" w:themeColor="background1" w:themeShade="80"/>
                                <w:szCs w:val="24"/>
                                <w:lang w:eastAsia="en-GB"/>
                              </w:rPr>
                              <w:t>. F</w:t>
                            </w:r>
                            <w:r w:rsidR="006370E7" w:rsidRPr="006370E7">
                              <w:rPr>
                                <w:rFonts w:eastAsia="Times New Roman" w:cs="Arial"/>
                                <w:color w:val="808080" w:themeColor="background1" w:themeShade="80"/>
                                <w:szCs w:val="24"/>
                                <w:lang w:eastAsia="en-GB"/>
                              </w:rPr>
                              <w:t>urther injury may occur from trade diversion from the EU to the UK once the former imposes definitive anti-dumping duties at the end of the ongoing anti-dumping investigation, initiated on 20 December 2023 (“AD700 Investigation"). Additionally, a halt in some Chinese exports to the EU is likely to further reduce UK market prices, as the UK will absorb a substantial part of these diverted Chinese imports.</w:t>
                            </w:r>
                          </w:p>
                          <w:p w14:paraId="147C17EB" w14:textId="1E76E923" w:rsidR="006370E7" w:rsidRPr="006370E7" w:rsidRDefault="00671752"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3F7084">
                              <w:rPr>
                                <w:rFonts w:eastAsia="Times New Roman" w:cs="Arial"/>
                                <w:color w:val="808080" w:themeColor="background1" w:themeShade="80"/>
                                <w:szCs w:val="24"/>
                                <w:lang w:eastAsia="en-GB"/>
                              </w:rPr>
                              <w:t>We therefore urge the</w:t>
                            </w:r>
                            <w:r w:rsidR="006370E7" w:rsidRPr="006370E7">
                              <w:rPr>
                                <w:rFonts w:eastAsia="Times New Roman" w:cs="Arial"/>
                                <w:color w:val="808080" w:themeColor="background1" w:themeShade="80"/>
                                <w:szCs w:val="24"/>
                                <w:lang w:eastAsia="en-GB"/>
                              </w:rPr>
                              <w:t xml:space="preserve"> TRA </w:t>
                            </w:r>
                            <w:r w:rsidRPr="003F7084">
                              <w:rPr>
                                <w:rFonts w:eastAsia="Times New Roman" w:cs="Arial"/>
                                <w:color w:val="808080" w:themeColor="background1" w:themeShade="80"/>
                                <w:szCs w:val="24"/>
                                <w:lang w:eastAsia="en-GB"/>
                              </w:rPr>
                              <w:t>to</w:t>
                            </w:r>
                            <w:r w:rsidR="006370E7" w:rsidRPr="006370E7">
                              <w:rPr>
                                <w:rFonts w:eastAsia="Times New Roman" w:cs="Arial"/>
                                <w:color w:val="808080" w:themeColor="background1" w:themeShade="80"/>
                                <w:szCs w:val="24"/>
                                <w:lang w:eastAsia="en-GB"/>
                              </w:rPr>
                              <w:t xml:space="preserve"> </w:t>
                            </w:r>
                            <w:r w:rsidR="003A2BB0" w:rsidRPr="003F7084">
                              <w:rPr>
                                <w:rFonts w:eastAsia="Times New Roman" w:cs="Arial"/>
                                <w:color w:val="808080" w:themeColor="background1" w:themeShade="80"/>
                                <w:szCs w:val="24"/>
                                <w:lang w:eastAsia="en-GB"/>
                              </w:rPr>
                              <w:t xml:space="preserve">consider </w:t>
                            </w:r>
                            <w:r w:rsidR="006370E7" w:rsidRPr="006370E7">
                              <w:rPr>
                                <w:rFonts w:eastAsia="Times New Roman" w:cs="Arial"/>
                                <w:color w:val="808080" w:themeColor="background1" w:themeShade="80"/>
                                <w:szCs w:val="24"/>
                                <w:lang w:eastAsia="en-GB"/>
                              </w:rPr>
                              <w:t xml:space="preserve">developments in the EU market throughout the present investigation. If the UK adopts different (lower) import duties than the EU, </w:t>
                            </w:r>
                            <w:r w:rsidRPr="003F7084">
                              <w:rPr>
                                <w:rFonts w:eastAsia="Times New Roman" w:cs="Arial"/>
                                <w:color w:val="808080" w:themeColor="background1" w:themeShade="80"/>
                                <w:szCs w:val="24"/>
                                <w:lang w:eastAsia="en-GB"/>
                              </w:rPr>
                              <w:t xml:space="preserve">Gasrec </w:t>
                            </w:r>
                            <w:r w:rsidR="006370E7" w:rsidRPr="006370E7">
                              <w:rPr>
                                <w:rFonts w:eastAsia="Times New Roman" w:cs="Arial"/>
                                <w:color w:val="808080" w:themeColor="background1" w:themeShade="80"/>
                                <w:szCs w:val="24"/>
                                <w:lang w:eastAsia="en-GB"/>
                              </w:rPr>
                              <w:t>expects that the UK will be more attractive to Chinese exporters, as it will become the area of access to the EU/UK market where biodiesel from China is offered to UK importers and customers at a discount to European prices. In a hypothetical scenario where the UK imposes import duties 10%</w:t>
                            </w:r>
                            <w:r w:rsidRPr="003F7084">
                              <w:rPr>
                                <w:rFonts w:eastAsia="Times New Roman" w:cs="Arial"/>
                                <w:color w:val="808080" w:themeColor="background1" w:themeShade="80"/>
                                <w:szCs w:val="24"/>
                                <w:lang w:eastAsia="en-GB"/>
                              </w:rPr>
                              <w:t xml:space="preserve"> </w:t>
                            </w:r>
                            <w:r w:rsidR="006370E7" w:rsidRPr="006370E7">
                              <w:rPr>
                                <w:rFonts w:eastAsia="Times New Roman" w:cs="Arial"/>
                                <w:color w:val="808080" w:themeColor="background1" w:themeShade="80"/>
                                <w:szCs w:val="24"/>
                                <w:lang w:eastAsia="en-GB"/>
                              </w:rPr>
                              <w:t>lower than the EU, we expect that producers from China will offer the UK market biodiesel at a discount to European prices between 1-9% (depending on the market conditions).</w:t>
                            </w:r>
                          </w:p>
                          <w:p w14:paraId="43BA2791" w14:textId="276E1561" w:rsidR="00C348D8" w:rsidRPr="003F7084" w:rsidRDefault="006370E7" w:rsidP="003F7084">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370E7">
                              <w:rPr>
                                <w:rFonts w:eastAsia="Times New Roman" w:cs="Arial"/>
                                <w:color w:val="808080" w:themeColor="background1" w:themeShade="80"/>
                                <w:szCs w:val="24"/>
                                <w:lang w:eastAsia="en-GB"/>
                              </w:rPr>
                              <w:t xml:space="preserve">Moreover, if the TRA does not impose provisional measures, it will open the UK market to a massive flood of Chinese imports as soon as the EU imposes duties. </w:t>
                            </w:r>
                            <w:r w:rsidRPr="006370E7">
                              <w:rPr>
                                <w:rFonts w:eastAsia="Times New Roman" w:cs="Arial"/>
                                <w:color w:val="808080" w:themeColor="background1" w:themeShade="80"/>
                                <w:szCs w:val="24"/>
                                <w:lang w:eastAsia="en-GB"/>
                              </w:rPr>
                              <w:t xml:space="preserve">Accordingly, </w:t>
                            </w:r>
                            <w:r w:rsidR="00671752" w:rsidRPr="003F7084">
                              <w:rPr>
                                <w:rFonts w:eastAsia="Times New Roman" w:cs="Arial"/>
                                <w:color w:val="808080" w:themeColor="background1" w:themeShade="80"/>
                                <w:szCs w:val="24"/>
                                <w:lang w:eastAsia="en-GB"/>
                              </w:rPr>
                              <w:t xml:space="preserve">Gasrec </w:t>
                            </w:r>
                            <w:r w:rsidRPr="006370E7">
                              <w:rPr>
                                <w:rFonts w:eastAsia="Times New Roman" w:cs="Arial"/>
                                <w:color w:val="808080" w:themeColor="background1" w:themeShade="80"/>
                                <w:szCs w:val="24"/>
                                <w:lang w:eastAsia="en-GB"/>
                              </w:rPr>
                              <w:t xml:space="preserve">requests that the TRA imposes a registration of imports of biodiesel from China as soon as </w:t>
                            </w:r>
                            <w:r w:rsidRPr="006370E7">
                              <w:rPr>
                                <w:rFonts w:eastAsia="Times New Roman" w:cs="Arial"/>
                                <w:color w:val="808080" w:themeColor="background1" w:themeShade="80"/>
                                <w:szCs w:val="24"/>
                                <w:lang w:eastAsia="en-GB"/>
                              </w:rPr>
                              <w:t>possible</w:t>
                            </w:r>
                            <w:r w:rsidR="003F7084">
                              <w:rPr>
                                <w:rFonts w:eastAsia="Times New Roman" w:cs="Arial"/>
                                <w:color w:val="808080" w:themeColor="background1" w:themeShade="80"/>
                                <w:szCs w:val="24"/>
                                <w:lang w:eastAsia="en-GB"/>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3DEC8E61" id="Text Box 10" o:spid="_x0000_s1031" type="#_x0000_t202" style="position:absolute;margin-left:-1.6pt;margin-top:16.45pt;width:449.2pt;height:356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" strokeweight=".26467mm">
                <v:textbox>
                  <w:txbxContent>
                    <w:p w14:paraId="231A0E5A" w14:textId="65912972" w:rsidR="006370E7" w:rsidRPr="006370E7" w:rsidRDefault="00671752"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3F7084">
                        <w:rPr>
                          <w:rFonts w:eastAsia="Times New Roman" w:cs="Arial"/>
                          <w:color w:val="808080" w:themeColor="background1" w:themeShade="80"/>
                          <w:szCs w:val="24"/>
                          <w:lang w:eastAsia="en-GB"/>
                        </w:rPr>
                        <w:t>Gasrec believes it is important that the</w:t>
                      </w:r>
                      <w:r w:rsidR="006370E7" w:rsidRPr="006370E7">
                        <w:rPr>
                          <w:rFonts w:eastAsia="Times New Roman" w:cs="Arial"/>
                          <w:color w:val="808080" w:themeColor="background1" w:themeShade="80"/>
                          <w:szCs w:val="24"/>
                          <w:lang w:eastAsia="en-GB"/>
                        </w:rPr>
                        <w:t xml:space="preserve"> TRA </w:t>
                      </w:r>
                      <w:r w:rsidR="003A2BB0" w:rsidRPr="003F7084">
                        <w:rPr>
                          <w:rFonts w:eastAsia="Times New Roman" w:cs="Arial"/>
                          <w:color w:val="808080" w:themeColor="background1" w:themeShade="80"/>
                          <w:szCs w:val="24"/>
                          <w:lang w:eastAsia="en-GB"/>
                        </w:rPr>
                        <w:t>considers</w:t>
                      </w:r>
                      <w:r w:rsidR="006370E7" w:rsidRPr="006370E7">
                        <w:rPr>
                          <w:rFonts w:eastAsia="Times New Roman" w:cs="Arial"/>
                          <w:color w:val="808080" w:themeColor="background1" w:themeShade="80"/>
                          <w:szCs w:val="24"/>
                          <w:lang w:eastAsia="en-GB"/>
                        </w:rPr>
                        <w:t xml:space="preserve"> the high degree of integration between the UK and EU markets</w:t>
                      </w:r>
                      <w:r w:rsidR="003A2BB0" w:rsidRPr="003F7084">
                        <w:rPr>
                          <w:rFonts w:eastAsia="Times New Roman" w:cs="Arial"/>
                          <w:color w:val="808080" w:themeColor="background1" w:themeShade="80"/>
                          <w:szCs w:val="24"/>
                          <w:lang w:eastAsia="en-GB"/>
                        </w:rPr>
                        <w:t xml:space="preserve"> d</w:t>
                      </w:r>
                      <w:r w:rsidR="006370E7" w:rsidRPr="006370E7">
                        <w:rPr>
                          <w:rFonts w:eastAsia="Times New Roman" w:cs="Arial"/>
                          <w:color w:val="808080" w:themeColor="background1" w:themeShade="80"/>
                          <w:szCs w:val="24"/>
                          <w:lang w:eastAsia="en-GB"/>
                        </w:rPr>
                        <w:t>ue to their geographical proximity and similar market conditions</w:t>
                      </w:r>
                      <w:r w:rsidR="003A2BB0" w:rsidRPr="003F7084">
                        <w:rPr>
                          <w:rFonts w:eastAsia="Times New Roman" w:cs="Arial"/>
                          <w:color w:val="808080" w:themeColor="background1" w:themeShade="80"/>
                          <w:szCs w:val="24"/>
                          <w:lang w:eastAsia="en-GB"/>
                        </w:rPr>
                        <w:t>. F</w:t>
                      </w:r>
                      <w:r w:rsidR="006370E7" w:rsidRPr="006370E7">
                        <w:rPr>
                          <w:rFonts w:eastAsia="Times New Roman" w:cs="Arial"/>
                          <w:color w:val="808080" w:themeColor="background1" w:themeShade="80"/>
                          <w:szCs w:val="24"/>
                          <w:lang w:eastAsia="en-GB"/>
                        </w:rPr>
                        <w:t>urther injury may occur from trade diversion from the EU to the UK once the former imposes definitive anti-dumping duties at the end of the ongoing anti-dumping investigation, initiated on 20 December 2023 (“AD700 Investigation"). Additionally, a halt in some Chinese exports to the EU is likely to further reduce UK market prices, as the UK will absorb a substantial part of these diverted Chinese imports.</w:t>
                      </w:r>
                    </w:p>
                    <w:p w14:paraId="147C17EB" w14:textId="1E76E923" w:rsidR="006370E7" w:rsidRPr="006370E7" w:rsidRDefault="00671752" w:rsidP="006370E7">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3F7084">
                        <w:rPr>
                          <w:rFonts w:eastAsia="Times New Roman" w:cs="Arial"/>
                          <w:color w:val="808080" w:themeColor="background1" w:themeShade="80"/>
                          <w:szCs w:val="24"/>
                          <w:lang w:eastAsia="en-GB"/>
                        </w:rPr>
                        <w:t>We therefore urge the</w:t>
                      </w:r>
                      <w:r w:rsidR="006370E7" w:rsidRPr="006370E7">
                        <w:rPr>
                          <w:rFonts w:eastAsia="Times New Roman" w:cs="Arial"/>
                          <w:color w:val="808080" w:themeColor="background1" w:themeShade="80"/>
                          <w:szCs w:val="24"/>
                          <w:lang w:eastAsia="en-GB"/>
                        </w:rPr>
                        <w:t xml:space="preserve"> TRA </w:t>
                      </w:r>
                      <w:r w:rsidRPr="003F7084">
                        <w:rPr>
                          <w:rFonts w:eastAsia="Times New Roman" w:cs="Arial"/>
                          <w:color w:val="808080" w:themeColor="background1" w:themeShade="80"/>
                          <w:szCs w:val="24"/>
                          <w:lang w:eastAsia="en-GB"/>
                        </w:rPr>
                        <w:t>to</w:t>
                      </w:r>
                      <w:r w:rsidR="006370E7" w:rsidRPr="006370E7">
                        <w:rPr>
                          <w:rFonts w:eastAsia="Times New Roman" w:cs="Arial"/>
                          <w:color w:val="808080" w:themeColor="background1" w:themeShade="80"/>
                          <w:szCs w:val="24"/>
                          <w:lang w:eastAsia="en-GB"/>
                        </w:rPr>
                        <w:t xml:space="preserve"> </w:t>
                      </w:r>
                      <w:r w:rsidR="003A2BB0" w:rsidRPr="003F7084">
                        <w:rPr>
                          <w:rFonts w:eastAsia="Times New Roman" w:cs="Arial"/>
                          <w:color w:val="808080" w:themeColor="background1" w:themeShade="80"/>
                          <w:szCs w:val="24"/>
                          <w:lang w:eastAsia="en-GB"/>
                        </w:rPr>
                        <w:t xml:space="preserve">consider </w:t>
                      </w:r>
                      <w:r w:rsidR="006370E7" w:rsidRPr="006370E7">
                        <w:rPr>
                          <w:rFonts w:eastAsia="Times New Roman" w:cs="Arial"/>
                          <w:color w:val="808080" w:themeColor="background1" w:themeShade="80"/>
                          <w:szCs w:val="24"/>
                          <w:lang w:eastAsia="en-GB"/>
                        </w:rPr>
                        <w:t xml:space="preserve">developments in the EU market throughout the present investigation. If the UK adopts different (lower) import duties than the EU, </w:t>
                      </w:r>
                      <w:r w:rsidRPr="003F7084">
                        <w:rPr>
                          <w:rFonts w:eastAsia="Times New Roman" w:cs="Arial"/>
                          <w:color w:val="808080" w:themeColor="background1" w:themeShade="80"/>
                          <w:szCs w:val="24"/>
                          <w:lang w:eastAsia="en-GB"/>
                        </w:rPr>
                        <w:t xml:space="preserve">Gasrec </w:t>
                      </w:r>
                      <w:r w:rsidR="006370E7" w:rsidRPr="006370E7">
                        <w:rPr>
                          <w:rFonts w:eastAsia="Times New Roman" w:cs="Arial"/>
                          <w:color w:val="808080" w:themeColor="background1" w:themeShade="80"/>
                          <w:szCs w:val="24"/>
                          <w:lang w:eastAsia="en-GB"/>
                        </w:rPr>
                        <w:t>expects that the UK will be more attractive to Chinese exporters, as it will become the area of access to the EU/UK market where biodiesel from China is offered to UK importers and customers at a discount to European prices. In a hypothetical scenario where the UK imposes import duties 10%</w:t>
                      </w:r>
                      <w:r w:rsidRPr="003F7084">
                        <w:rPr>
                          <w:rFonts w:eastAsia="Times New Roman" w:cs="Arial"/>
                          <w:color w:val="808080" w:themeColor="background1" w:themeShade="80"/>
                          <w:szCs w:val="24"/>
                          <w:lang w:eastAsia="en-GB"/>
                        </w:rPr>
                        <w:t xml:space="preserve"> </w:t>
                      </w:r>
                      <w:r w:rsidR="006370E7" w:rsidRPr="006370E7">
                        <w:rPr>
                          <w:rFonts w:eastAsia="Times New Roman" w:cs="Arial"/>
                          <w:color w:val="808080" w:themeColor="background1" w:themeShade="80"/>
                          <w:szCs w:val="24"/>
                          <w:lang w:eastAsia="en-GB"/>
                        </w:rPr>
                        <w:t>lower than the EU, we expect that producers from China will offer the UK market biodiesel at a discount to European prices between 1-9% (depending on the market conditions).</w:t>
                      </w:r>
                    </w:p>
                    <w:p w14:paraId="43BA2791" w14:textId="276E1561" w:rsidR="00C348D8" w:rsidRPr="003F7084" w:rsidRDefault="006370E7" w:rsidP="003F7084">
                      <w:pPr>
                        <w:suppressAutoHyphens w:val="0"/>
                        <w:autoSpaceDN/>
                        <w:spacing w:before="100" w:beforeAutospacing="1" w:after="100" w:afterAutospacing="1"/>
                        <w:textAlignment w:val="auto"/>
                        <w:rPr>
                          <w:rFonts w:eastAsia="Times New Roman" w:cs="Arial"/>
                          <w:color w:val="808080" w:themeColor="background1" w:themeShade="80"/>
                          <w:szCs w:val="24"/>
                          <w:lang w:eastAsia="en-GB"/>
                        </w:rPr>
                      </w:pPr>
                      <w:r w:rsidRPr="006370E7">
                        <w:rPr>
                          <w:rFonts w:eastAsia="Times New Roman" w:cs="Arial"/>
                          <w:color w:val="808080" w:themeColor="background1" w:themeShade="80"/>
                          <w:szCs w:val="24"/>
                          <w:lang w:eastAsia="en-GB"/>
                        </w:rPr>
                        <w:t xml:space="preserve">Moreover, if the TRA does not impose provisional measures, it will open the UK market to a massive flood of Chinese imports as soon as the EU imposes duties. </w:t>
                      </w:r>
                      <w:r w:rsidRPr="006370E7">
                        <w:rPr>
                          <w:rFonts w:eastAsia="Times New Roman" w:cs="Arial"/>
                          <w:color w:val="808080" w:themeColor="background1" w:themeShade="80"/>
                          <w:szCs w:val="24"/>
                          <w:lang w:eastAsia="en-GB"/>
                        </w:rPr>
                        <w:t xml:space="preserve">Accordingly, </w:t>
                      </w:r>
                      <w:r w:rsidR="00671752" w:rsidRPr="003F7084">
                        <w:rPr>
                          <w:rFonts w:eastAsia="Times New Roman" w:cs="Arial"/>
                          <w:color w:val="808080" w:themeColor="background1" w:themeShade="80"/>
                          <w:szCs w:val="24"/>
                          <w:lang w:eastAsia="en-GB"/>
                        </w:rPr>
                        <w:t xml:space="preserve">Gasrec </w:t>
                      </w:r>
                      <w:r w:rsidRPr="006370E7">
                        <w:rPr>
                          <w:rFonts w:eastAsia="Times New Roman" w:cs="Arial"/>
                          <w:color w:val="808080" w:themeColor="background1" w:themeShade="80"/>
                          <w:szCs w:val="24"/>
                          <w:lang w:eastAsia="en-GB"/>
                        </w:rPr>
                        <w:t xml:space="preserve">requests that the TRA imposes a registration of imports of biodiesel from China as soon as </w:t>
                      </w:r>
                      <w:r w:rsidRPr="006370E7">
                        <w:rPr>
                          <w:rFonts w:eastAsia="Times New Roman" w:cs="Arial"/>
                          <w:color w:val="808080" w:themeColor="background1" w:themeShade="80"/>
                          <w:szCs w:val="24"/>
                          <w:lang w:eastAsia="en-GB"/>
                        </w:rPr>
                        <w:t>possible</w:t>
                      </w:r>
                      <w:r w:rsidR="003F7084">
                        <w:rPr>
                          <w:rFonts w:eastAsia="Times New Roman" w:cs="Arial"/>
                          <w:color w:val="808080" w:themeColor="background1" w:themeShade="80"/>
                          <w:szCs w:val="24"/>
                          <w:lang w:eastAsia="en-GB"/>
                        </w:rPr>
                        <w:t>.</w:t>
                      </w:r>
                    </w:p>
                  </w:txbxContent>
                </v:textbox>
                <w10:wrap type="square" anchorx="margin"/>
              </v:shape>
            </w:pict>
          </mc:Fallback>
        </mc:AlternateContent>
      </w:r>
    </w:p>
    <w:p w14:paraId="1FEF1C37" w14:textId="4DB83086" w:rsidR="00C348D8" w:rsidRDefault="00C348D8">
      <w:pPr>
        <w:rPr>
          <w:lang w:eastAsia="en-GB"/>
        </w:rPr>
      </w:pPr>
    </w:p>
    <w:p w14:paraId="331A368F" w14:textId="3AF90B6F" w:rsidR="00C348D8" w:rsidRDefault="00C348D8">
      <w:pPr>
        <w:pStyle w:val="NormalWeb"/>
        <w:spacing w:line="22" w:lineRule="atLeast"/>
        <w:contextualSpacing/>
        <w:rPr>
          <w:rFonts w:eastAsia="Arial" w:cs="Arial"/>
          <w:b/>
          <w:i/>
          <w:color w:val="FF0000"/>
          <w:szCs w:val="22"/>
        </w:rPr>
      </w:pPr>
    </w:p>
    <w:p w14:paraId="0FABD7DB" w14:textId="77777777" w:rsidR="00C348D8" w:rsidRDefault="00000000">
      <w:pPr>
        <w:pStyle w:val="NormalWeb"/>
        <w:spacing w:line="22" w:lineRule="atLeast"/>
        <w:contextualSpacing/>
      </w:pPr>
      <w:r>
        <w:rPr>
          <w:rFonts w:ascii="Arial" w:eastAsia="Arial" w:hAnsi="Arial" w:cs="Arial"/>
          <w:color w:val="000000"/>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29" w:history="1">
        <w:r>
          <w:rPr>
            <w:rStyle w:val="Hyperlink"/>
            <w:rFonts w:ascii="Arial" w:hAnsi="Arial" w:cs="Arial"/>
          </w:rPr>
          <w:t>trade-remedies.service.gov.uk</w:t>
        </w:r>
      </w:hyperlink>
      <w:r>
        <w:rPr>
          <w:rFonts w:ascii="Arial" w:eastAsia="Arial" w:hAnsi="Arial" w:cs="Arial"/>
          <w:color w:val="000000"/>
        </w:rPr>
        <w:t>).</w:t>
      </w:r>
    </w:p>
    <w:p w14:paraId="4E84A01C" w14:textId="77777777" w:rsidR="00C348D8" w:rsidRDefault="00C348D8">
      <w:pPr>
        <w:rPr>
          <w:lang w:eastAsia="en-GB"/>
        </w:rPr>
      </w:pPr>
    </w:p>
    <w:p w14:paraId="50FF2AD0" w14:textId="77777777" w:rsidR="00C348D8" w:rsidRDefault="00C348D8"/>
    <w:p w14:paraId="681A42D4" w14:textId="77777777" w:rsidR="00C348D8" w:rsidRDefault="00C348D8"/>
    <w:sectPr w:rsidR="00C348D8">
      <w:headerReference w:type="default" r:id="rId30"/>
      <w:footerReference w:type="default" r:id="rId3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726D6" w14:textId="77777777" w:rsidR="00B27F26" w:rsidRDefault="00B27F26">
      <w:r>
        <w:separator/>
      </w:r>
    </w:p>
  </w:endnote>
  <w:endnote w:type="continuationSeparator" w:id="0">
    <w:p w14:paraId="6317DD63" w14:textId="77777777" w:rsidR="00B27F26" w:rsidRDefault="00B2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2F88B" w14:textId="77777777" w:rsidR="00000000" w:rsidRDefault="00000000">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50A5E44E" w14:textId="77777777" w:rsidR="00000000" w:rsidRDefault="00000000">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A000C" w14:textId="77777777" w:rsidR="00B27F26" w:rsidRDefault="00B27F26">
      <w:r>
        <w:rPr>
          <w:color w:val="000000"/>
        </w:rPr>
        <w:separator/>
      </w:r>
    </w:p>
  </w:footnote>
  <w:footnote w:type="continuationSeparator" w:id="0">
    <w:p w14:paraId="66DE0BB3" w14:textId="77777777" w:rsidR="00B27F26" w:rsidRDefault="00B27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A3D73" w14:paraId="0A955901"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8B0E3B" w14:textId="77777777" w:rsidR="00000000" w:rsidRDefault="00000000">
          <w:pPr>
            <w:spacing w:before="20" w:after="20"/>
          </w:pPr>
          <w:bookmarkStart w:id="26" w:name="_Hlk43194599"/>
          <w:r>
            <w:rPr>
              <w:noProof/>
              <w:szCs w:val="24"/>
            </w:rPr>
            <w:drawing>
              <wp:inline distT="0" distB="0" distL="0" distR="0" wp14:anchorId="147C9C64" wp14:editId="0B885883">
                <wp:extent cx="1434538" cy="810048"/>
                <wp:effectExtent l="0" t="0" r="0" b="9102"/>
                <wp:docPr id="1870066449"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8ADC3FA" w14:textId="77777777" w:rsidR="00000000" w:rsidRDefault="00000000">
          <w:pPr>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D441FCB" w14:textId="77777777" w:rsidR="00000000" w:rsidRDefault="00000000">
          <w:pPr>
            <w:pStyle w:val="NoSpacing"/>
            <w:jc w:val="right"/>
            <w:rPr>
              <w:rFonts w:ascii="Arial" w:hAnsi="Arial"/>
              <w:sz w:val="19"/>
              <w:szCs w:val="19"/>
            </w:rPr>
          </w:pPr>
        </w:p>
        <w:p w14:paraId="49847DA5" w14:textId="77777777" w:rsidR="00000000" w:rsidRDefault="00000000">
          <w:pPr>
            <w:pStyle w:val="NoSpacing"/>
            <w:jc w:val="right"/>
            <w:rPr>
              <w:rFonts w:ascii="Arial" w:hAnsi="Arial"/>
              <w:sz w:val="19"/>
              <w:szCs w:val="19"/>
            </w:rPr>
          </w:pPr>
          <w:bookmarkStart w:id="27" w:name="_Hlk43194575"/>
          <w:r>
            <w:rPr>
              <w:rFonts w:ascii="Arial" w:hAnsi="Arial"/>
              <w:sz w:val="19"/>
              <w:szCs w:val="19"/>
            </w:rPr>
            <w:t>Trade Remedies Authority</w:t>
          </w:r>
        </w:p>
        <w:p w14:paraId="7AD5070B" w14:textId="77777777" w:rsidR="00000000" w:rsidRDefault="00000000">
          <w:pPr>
            <w:tabs>
              <w:tab w:val="left" w:pos="2133"/>
            </w:tabs>
            <w:spacing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cs="Arial"/>
              <w:color w:val="FF0000"/>
              <w:sz w:val="18"/>
              <w:szCs w:val="24"/>
            </w:rPr>
            <w:tab/>
          </w:r>
          <w:r>
            <w:rPr>
              <w:rFonts w:ascii="MS Gothic" w:eastAsia="MS Gothic" w:hAnsi="MS Gothic" w:cs="Arial"/>
              <w:b/>
              <w:color w:val="FF0000"/>
              <w:sz w:val="18"/>
              <w:szCs w:val="24"/>
            </w:rPr>
            <w:t>☐</w:t>
          </w:r>
          <w:r>
            <w:rPr>
              <w:rFonts w:cs="Arial"/>
              <w:color w:val="FF0000"/>
              <w:sz w:val="18"/>
              <w:szCs w:val="24"/>
            </w:rPr>
            <w:t xml:space="preserve"> </w:t>
          </w:r>
          <w:proofErr w:type="gramStart"/>
          <w:r>
            <w:rPr>
              <w:rFonts w:cs="Arial"/>
              <w:color w:val="FF0000"/>
              <w:sz w:val="18"/>
              <w:szCs w:val="24"/>
            </w:rPr>
            <w:t>Non-confidential</w:t>
          </w:r>
          <w:proofErr w:type="gramEnd"/>
        </w:p>
        <w:bookmarkEnd w:id="27"/>
        <w:p w14:paraId="597C249C" w14:textId="77777777" w:rsidR="00000000" w:rsidRDefault="00000000">
          <w:pPr>
            <w:tabs>
              <w:tab w:val="left" w:pos="2133"/>
            </w:tabs>
            <w:spacing w:line="276" w:lineRule="auto"/>
            <w:ind w:left="7" w:firstLine="141"/>
            <w:rPr>
              <w:rFonts w:cs="Arial"/>
              <w:color w:val="FF0000"/>
              <w:sz w:val="18"/>
              <w:szCs w:val="24"/>
            </w:rPr>
          </w:pPr>
        </w:p>
      </w:tc>
    </w:tr>
    <w:bookmarkEnd w:id="26"/>
  </w:tbl>
  <w:p w14:paraId="1E84372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E746A"/>
    <w:multiLevelType w:val="hybridMultilevel"/>
    <w:tmpl w:val="07CECBC6"/>
    <w:lvl w:ilvl="0" w:tplc="08090001">
      <w:start w:val="1"/>
      <w:numFmt w:val="bullet"/>
      <w:lvlText w:val=""/>
      <w:lvlJc w:val="left"/>
      <w:pPr>
        <w:ind w:left="720" w:hanging="360"/>
      </w:pPr>
      <w:rPr>
        <w:rFonts w:ascii="Symbol" w:hAnsi="Symbol" w:hint="default"/>
      </w:rPr>
    </w:lvl>
    <w:lvl w:ilvl="1" w:tplc="28886C9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3133C"/>
    <w:multiLevelType w:val="multilevel"/>
    <w:tmpl w:val="2BB2A2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87842CA"/>
    <w:multiLevelType w:val="multilevel"/>
    <w:tmpl w:val="0BFC42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C8231ED"/>
    <w:multiLevelType w:val="hybridMultilevel"/>
    <w:tmpl w:val="10840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6680444">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871584">
    <w:abstractNumId w:val="1"/>
  </w:num>
  <w:num w:numId="2" w16cid:durableId="203102999">
    <w:abstractNumId w:val="2"/>
  </w:num>
  <w:num w:numId="3" w16cid:durableId="1503427933">
    <w:abstractNumId w:val="0"/>
  </w:num>
  <w:num w:numId="4" w16cid:durableId="1360276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348D8"/>
    <w:rsid w:val="00053EE5"/>
    <w:rsid w:val="001C3D16"/>
    <w:rsid w:val="003A2BB0"/>
    <w:rsid w:val="003F7084"/>
    <w:rsid w:val="006370E7"/>
    <w:rsid w:val="00671752"/>
    <w:rsid w:val="00B27F26"/>
    <w:rsid w:val="00C348D8"/>
    <w:rsid w:val="00E136ED"/>
    <w:rsid w:val="00EA111A"/>
    <w:rsid w:val="00F55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2E3A"/>
  <w15:docId w15:val="{7D1678F8-8561-4C00-BC62-6F84AF86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textAlignment w:val="baseline"/>
    </w:pPr>
    <w:rPr>
      <w:rFonts w:ascii="Arial" w:hAnsi="Arial" w:cs="Times New Roman"/>
      <w:sz w:val="24"/>
    </w:rPr>
  </w:style>
  <w:style w:type="paragraph" w:styleId="Heading1">
    <w:name w:val="heading 1"/>
    <w:basedOn w:val="Normal"/>
    <w:next w:val="Normal"/>
    <w:uiPriority w:val="9"/>
    <w:qFormat/>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rPr>
      <w:rFonts w:eastAsia="Times New Roman"/>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spacing w:after="100"/>
      <w:ind w:left="440"/>
    </w:pPr>
  </w:style>
  <w:style w:type="paragraph" w:styleId="TOC2">
    <w:name w:val="toc 2"/>
    <w:basedOn w:val="Normal"/>
    <w:next w:val="Normal"/>
    <w:autoRedefine/>
    <w:pPr>
      <w:spacing w:after="100"/>
      <w:ind w:left="220"/>
    </w:p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uiPriority w:val="99"/>
    <w:pPr>
      <w:spacing w:before="100" w:after="100"/>
      <w:textAlignment w:val="auto"/>
    </w:pPr>
    <w:rPr>
      <w:rFonts w:ascii="Times New Roman" w:eastAsia="Times New Roman" w:hAnsi="Times New Roman"/>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pacing w:before="100" w:after="100"/>
      <w:textAlignment w:val="auto"/>
    </w:pPr>
    <w:rPr>
      <w:rFonts w:ascii="Times New Roman" w:eastAsia="Times New Roman" w:hAnsi="Times New Roman"/>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cs="Times New Roman"/>
    </w:rPr>
  </w:style>
  <w:style w:type="paragraph" w:styleId="ListParagraph">
    <w:name w:val="List Paragraph"/>
    <w:basedOn w:val="Normal"/>
    <w:pPr>
      <w:ind w:left="720"/>
      <w:contextualSpacing/>
    </w:pPr>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413418">
      <w:bodyDiv w:val="1"/>
      <w:marLeft w:val="0"/>
      <w:marRight w:val="0"/>
      <w:marTop w:val="0"/>
      <w:marBottom w:val="0"/>
      <w:divBdr>
        <w:top w:val="none" w:sz="0" w:space="0" w:color="auto"/>
        <w:left w:val="none" w:sz="0" w:space="0" w:color="auto"/>
        <w:bottom w:val="none" w:sz="0" w:space="0" w:color="auto"/>
        <w:right w:val="none" w:sz="0" w:space="0" w:color="auto"/>
      </w:divBdr>
    </w:div>
    <w:div w:id="1137994334">
      <w:bodyDiv w:val="1"/>
      <w:marLeft w:val="0"/>
      <w:marRight w:val="0"/>
      <w:marTop w:val="0"/>
      <w:marBottom w:val="0"/>
      <w:divBdr>
        <w:top w:val="none" w:sz="0" w:space="0" w:color="auto"/>
        <w:left w:val="none" w:sz="0" w:space="0" w:color="auto"/>
        <w:bottom w:val="none" w:sz="0" w:space="0" w:color="auto"/>
        <w:right w:val="none" w:sz="0" w:space="0" w:color="auto"/>
      </w:divBdr>
    </w:div>
    <w:div w:id="1185555305">
      <w:bodyDiv w:val="1"/>
      <w:marLeft w:val="0"/>
      <w:marRight w:val="0"/>
      <w:marTop w:val="0"/>
      <w:marBottom w:val="0"/>
      <w:divBdr>
        <w:top w:val="none" w:sz="0" w:space="0" w:color="auto"/>
        <w:left w:val="none" w:sz="0" w:space="0" w:color="auto"/>
        <w:bottom w:val="none" w:sz="0" w:space="0" w:color="auto"/>
        <w:right w:val="none" w:sz="0" w:space="0" w:color="auto"/>
      </w:divBdr>
    </w:div>
    <w:div w:id="188640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_Toc167353334" TargetMode="External"/><Relationship Id="rId18" Type="http://schemas.openxmlformats.org/officeDocument/2006/relationships/hyperlink" Target="#_Toc167353339" TargetMode="External"/><Relationship Id="rId26" Type="http://schemas.openxmlformats.org/officeDocument/2006/relationships/hyperlink" Target="https://www.trade-remedies.service.gov.uk/accounts/login/" TargetMode="External"/><Relationship Id="rId3" Type="http://schemas.openxmlformats.org/officeDocument/2006/relationships/styles" Target="styles.xml"/><Relationship Id="rId21" Type="http://schemas.openxmlformats.org/officeDocument/2006/relationships/hyperlink" Target="#_Toc167353342"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_Toc167353333" TargetMode="External"/><Relationship Id="rId17" Type="http://schemas.openxmlformats.org/officeDocument/2006/relationships/hyperlink" Target="#_Toc167353338" TargetMode="External"/><Relationship Id="rId25" Type="http://schemas.openxmlformats.org/officeDocument/2006/relationships/hyperlink" Target="http://www.trade-remedies.service.gov.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_Toc167353337" TargetMode="External"/><Relationship Id="rId20" Type="http://schemas.openxmlformats.org/officeDocument/2006/relationships/hyperlink" Target="#_Toc167353341" TargetMode="External"/><Relationship Id="rId29" Type="http://schemas.openxmlformats.org/officeDocument/2006/relationships/hyperlink" Target="mailto:AD0058@traderemedies.gov.uk?next=/dashboa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_Toc167353332" TargetMode="External"/><Relationship Id="rId24" Type="http://schemas.openxmlformats.org/officeDocument/2006/relationships/hyperlink" Target="http://www.trade-remedies.service.gov.uk/public/cases/AD005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_Toc167353336" TargetMode="External"/><Relationship Id="rId23" Type="http://schemas.openxmlformats.org/officeDocument/2006/relationships/hyperlink" Target="https://www.gov.uk/government/publications/the-uk-trade-remedies-investigations-process/the-tras-investigation-process#questionnaires-and-information-gathering:~:text=Providing%20confidential%20information%20and%20non%2Dconfidential%20summaries" TargetMode="External"/><Relationship Id="rId28" Type="http://schemas.openxmlformats.org/officeDocument/2006/relationships/hyperlink" Target="http://www.esso.co.uk" TargetMode="External"/><Relationship Id="rId36" Type="http://schemas.openxmlformats.org/officeDocument/2006/relationships/customXml" Target="../customXml/item4.xml"/><Relationship Id="rId10" Type="http://schemas.openxmlformats.org/officeDocument/2006/relationships/hyperlink" Target="#_Toc167353331" TargetMode="External"/><Relationship Id="rId19" Type="http://schemas.openxmlformats.org/officeDocument/2006/relationships/hyperlink" Target="#_Toc16735334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_Toc167353335" TargetMode="External"/><Relationship Id="rId22" Type="http://schemas.openxmlformats.org/officeDocument/2006/relationships/hyperlink" Target="http://www.trade-remedies.service.gov.uk/public/cases/AD0058/" TargetMode="External"/><Relationship Id="rId27" Type="http://schemas.openxmlformats.org/officeDocument/2006/relationships/hyperlink" Target="http://www.essar.com" TargetMode="External"/><Relationship Id="rId30" Type="http://schemas.openxmlformats.org/officeDocument/2006/relationships/header" Target="header1.xml"/><Relationship Id="rId35" Type="http://schemas.openxmlformats.org/officeDocument/2006/relationships/customXml" Target="../customXml/item3.xml"/><Relationship Id="rId8" Type="http://schemas.openxmlformats.org/officeDocument/2006/relationships/hyperlink" Target="mailto:AD0058@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1FE62DC-D56B-4512-9C39-BF3920C25088}">
  <ds:schemaRefs>
    <ds:schemaRef ds:uri="http://schemas.openxmlformats.org/officeDocument/2006/bibliography"/>
  </ds:schemaRefs>
</ds:datastoreItem>
</file>

<file path=customXml/itemProps2.xml><?xml version="1.0" encoding="utf-8"?>
<ds:datastoreItem xmlns:ds="http://schemas.openxmlformats.org/officeDocument/2006/customXml" ds:itemID="{F7C44E8C-9F4C-486F-AD50-29D31EBB11DF}"/>
</file>

<file path=customXml/itemProps3.xml><?xml version="1.0" encoding="utf-8"?>
<ds:datastoreItem xmlns:ds="http://schemas.openxmlformats.org/officeDocument/2006/customXml" ds:itemID="{77AEE6E4-F4A5-412E-9FAC-DA778D320E5F}"/>
</file>

<file path=customXml/itemProps4.xml><?xml version="1.0" encoding="utf-8"?>
<ds:datastoreItem xmlns:ds="http://schemas.openxmlformats.org/officeDocument/2006/customXml" ds:itemID="{95645E8A-269E-4FD7-96E3-ACBBB0744FB5}"/>
</file>

<file path=docProps/app.xml><?xml version="1.0" encoding="utf-8"?>
<Properties xmlns="http://schemas.openxmlformats.org/officeDocument/2006/extended-properties" xmlns:vt="http://schemas.openxmlformats.org/officeDocument/2006/docPropsVTypes">
  <Template>Normal</Template>
  <TotalTime>0</TotalTime>
  <Pages>11</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Wood</dc:creator>
  <dc:description/>
  <cp:lastModifiedBy>Rob Wood</cp:lastModifiedBy>
  <cp:revision>2</cp:revision>
  <dcterms:created xsi:type="dcterms:W3CDTF">2024-06-24T13:58:00Z</dcterms:created>
  <dcterms:modified xsi:type="dcterms:W3CDTF">2024-06-24T13:58:00Z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