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FD3AFD" w:rsidP="00263009">
            <w:pPr>
              <w:tabs>
                <w:tab w:val="left" w:pos="2130"/>
              </w:tabs>
              <w:spacing w:line="22" w:lineRule="atLeast"/>
              <w:rPr>
                <w:rFonts w:eastAsia="Arial" w:cs="Arial"/>
                <w:szCs w:val="24"/>
              </w:rPr>
            </w:pPr>
            <w:hyperlink r:id="rId11" w:history="1">
              <w:r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249529FC" w:rsidR="00312C3C" w:rsidRDefault="00F55638" w:rsidP="00263009">
            <w:pPr>
              <w:tabs>
                <w:tab w:val="left" w:pos="2130"/>
              </w:tabs>
              <w:spacing w:line="22" w:lineRule="atLeast"/>
              <w:rPr>
                <w:rFonts w:eastAsia="Arial" w:cs="Arial"/>
                <w:color w:val="FF0000"/>
                <w:szCs w:val="24"/>
              </w:rPr>
            </w:pPr>
            <w:r>
              <w:rPr>
                <w:rFonts w:cs="Arial"/>
                <w:color w:val="FF0000"/>
              </w:rPr>
              <w:t>UKIFDA</w:t>
            </w:r>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735029"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735029"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6EBEC6AE" w:rsidR="00312C3C" w:rsidRDefault="00735029"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1"/>
                  <w14:checkedState w14:val="2612" w14:font="MS Gothic"/>
                  <w14:uncheckedState w14:val="2610" w14:font="MS Gothic"/>
                </w14:checkbox>
              </w:sdtPr>
              <w:sdtEndPr/>
              <w:sdtContent>
                <w:r w:rsidR="00F55638">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735029"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59885C50" w:rsidR="00312C3C" w:rsidRPr="00382986" w:rsidRDefault="00735029"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572138">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4D99E360" w:rsidR="00312C3C" w:rsidRPr="00382986" w:rsidRDefault="00735029"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1"/>
            <w14:checkedState w14:val="2612" w14:font="MS Gothic"/>
            <w14:uncheckedState w14:val="2610" w14:font="MS Gothic"/>
          </w14:checkbox>
        </w:sdtPr>
        <w:sdtEndPr/>
        <w:sdtContent>
          <w:r w:rsidR="00572138">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Pr="00C77504">
              <w:rPr>
                <w:rStyle w:val="Hyperlink"/>
                <w:rFonts w:cs="Arial"/>
                <w:b/>
                <w:bCs/>
                <w:noProof/>
              </w:rPr>
              <w:t>Instructions</w:t>
            </w:r>
            <w:r>
              <w:rPr>
                <w:noProof/>
                <w:webHidden/>
              </w:rPr>
              <w:tab/>
            </w:r>
            <w:r>
              <w:rPr>
                <w:noProof/>
                <w:webHidden/>
              </w:rPr>
              <w:fldChar w:fldCharType="begin"/>
            </w:r>
            <w:r>
              <w:rPr>
                <w:noProof/>
                <w:webHidden/>
              </w:rPr>
              <w:instrText xml:space="preserve"> PAGEREF _Toc192874777 \h </w:instrText>
            </w:r>
            <w:r>
              <w:rPr>
                <w:noProof/>
                <w:webHidden/>
              </w:rPr>
            </w:r>
            <w:r>
              <w:rPr>
                <w:noProof/>
                <w:webHidden/>
              </w:rPr>
              <w:fldChar w:fldCharType="separate"/>
            </w:r>
            <w:r>
              <w:rPr>
                <w:noProof/>
                <w:webHidden/>
              </w:rPr>
              <w:t>6</w:t>
            </w:r>
            <w:r>
              <w:rPr>
                <w:noProof/>
                <w:webHidden/>
              </w:rPr>
              <w:fldChar w:fldCharType="end"/>
            </w:r>
          </w:hyperlink>
        </w:p>
        <w:p w14:paraId="7CFA0D4E" w14:textId="2764182E"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Pr="00C77504">
              <w:rPr>
                <w:rStyle w:val="Hyperlink"/>
                <w:noProof/>
              </w:rPr>
              <w:t>Who should complete this form?</w:t>
            </w:r>
            <w:r>
              <w:rPr>
                <w:noProof/>
                <w:webHidden/>
              </w:rPr>
              <w:tab/>
            </w:r>
            <w:r>
              <w:rPr>
                <w:noProof/>
                <w:webHidden/>
              </w:rPr>
              <w:fldChar w:fldCharType="begin"/>
            </w:r>
            <w:r>
              <w:rPr>
                <w:noProof/>
                <w:webHidden/>
              </w:rPr>
              <w:instrText xml:space="preserve"> PAGEREF _Toc192874778 \h </w:instrText>
            </w:r>
            <w:r>
              <w:rPr>
                <w:noProof/>
                <w:webHidden/>
              </w:rPr>
            </w:r>
            <w:r>
              <w:rPr>
                <w:noProof/>
                <w:webHidden/>
              </w:rPr>
              <w:fldChar w:fldCharType="separate"/>
            </w:r>
            <w:r>
              <w:rPr>
                <w:noProof/>
                <w:webHidden/>
              </w:rPr>
              <w:t>6</w:t>
            </w:r>
            <w:r>
              <w:rPr>
                <w:noProof/>
                <w:webHidden/>
              </w:rPr>
              <w:fldChar w:fldCharType="end"/>
            </w:r>
          </w:hyperlink>
        </w:p>
        <w:p w14:paraId="1FDD638C" w14:textId="7C189570"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Pr="00C77504">
              <w:rPr>
                <w:rStyle w:val="Hyperlink"/>
                <w:noProof/>
                <w:lang w:eastAsia="zh-CN"/>
              </w:rPr>
              <w:t>Deadline for response</w:t>
            </w:r>
            <w:r>
              <w:rPr>
                <w:noProof/>
                <w:webHidden/>
              </w:rPr>
              <w:tab/>
            </w:r>
            <w:r>
              <w:rPr>
                <w:noProof/>
                <w:webHidden/>
              </w:rPr>
              <w:fldChar w:fldCharType="begin"/>
            </w:r>
            <w:r>
              <w:rPr>
                <w:noProof/>
                <w:webHidden/>
              </w:rPr>
              <w:instrText xml:space="preserve"> PAGEREF _Toc192874779 \h </w:instrText>
            </w:r>
            <w:r>
              <w:rPr>
                <w:noProof/>
                <w:webHidden/>
              </w:rPr>
            </w:r>
            <w:r>
              <w:rPr>
                <w:noProof/>
                <w:webHidden/>
              </w:rPr>
              <w:fldChar w:fldCharType="separate"/>
            </w:r>
            <w:r>
              <w:rPr>
                <w:noProof/>
                <w:webHidden/>
              </w:rPr>
              <w:t>6</w:t>
            </w:r>
            <w:r>
              <w:rPr>
                <w:noProof/>
                <w:webHidden/>
              </w:rPr>
              <w:fldChar w:fldCharType="end"/>
            </w:r>
          </w:hyperlink>
        </w:p>
        <w:p w14:paraId="0B40AF3B" w14:textId="0718CE38"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Pr="00C77504">
              <w:rPr>
                <w:rStyle w:val="Hyperlink"/>
                <w:rFonts w:cs="Arial"/>
                <w:noProof/>
                <w:lang w:eastAsia="zh-CN"/>
              </w:rPr>
              <w:t>Note about confidentiality</w:t>
            </w:r>
            <w:r>
              <w:rPr>
                <w:noProof/>
                <w:webHidden/>
              </w:rPr>
              <w:tab/>
            </w:r>
            <w:r>
              <w:rPr>
                <w:noProof/>
                <w:webHidden/>
              </w:rPr>
              <w:fldChar w:fldCharType="begin"/>
            </w:r>
            <w:r>
              <w:rPr>
                <w:noProof/>
                <w:webHidden/>
              </w:rPr>
              <w:instrText xml:space="preserve"> PAGEREF _Toc192874780 \h </w:instrText>
            </w:r>
            <w:r>
              <w:rPr>
                <w:noProof/>
                <w:webHidden/>
              </w:rPr>
            </w:r>
            <w:r>
              <w:rPr>
                <w:noProof/>
                <w:webHidden/>
              </w:rPr>
              <w:fldChar w:fldCharType="separate"/>
            </w:r>
            <w:r>
              <w:rPr>
                <w:noProof/>
                <w:webHidden/>
              </w:rPr>
              <w:t>6</w:t>
            </w:r>
            <w:r>
              <w:rPr>
                <w:noProof/>
                <w:webHidden/>
              </w:rPr>
              <w:fldChar w:fldCharType="end"/>
            </w:r>
          </w:hyperlink>
        </w:p>
        <w:p w14:paraId="4B8F14D8" w14:textId="54216A5A"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Pr="00C77504">
              <w:rPr>
                <w:rStyle w:val="Hyperlink"/>
                <w:rFonts w:cs="Arial"/>
                <w:b/>
                <w:bCs/>
                <w:noProof/>
              </w:rPr>
              <w:t>Section A – Your organisation’s interest in the case</w:t>
            </w:r>
            <w:r>
              <w:rPr>
                <w:noProof/>
                <w:webHidden/>
              </w:rPr>
              <w:tab/>
            </w:r>
            <w:r>
              <w:rPr>
                <w:noProof/>
                <w:webHidden/>
              </w:rPr>
              <w:fldChar w:fldCharType="begin"/>
            </w:r>
            <w:r>
              <w:rPr>
                <w:noProof/>
                <w:webHidden/>
              </w:rPr>
              <w:instrText xml:space="preserve"> PAGEREF _Toc192874781 \h </w:instrText>
            </w:r>
            <w:r>
              <w:rPr>
                <w:noProof/>
                <w:webHidden/>
              </w:rPr>
            </w:r>
            <w:r>
              <w:rPr>
                <w:noProof/>
                <w:webHidden/>
              </w:rPr>
              <w:fldChar w:fldCharType="separate"/>
            </w:r>
            <w:r>
              <w:rPr>
                <w:noProof/>
                <w:webHidden/>
              </w:rPr>
              <w:t>7</w:t>
            </w:r>
            <w:r>
              <w:rPr>
                <w:noProof/>
                <w:webHidden/>
              </w:rPr>
              <w:fldChar w:fldCharType="end"/>
            </w:r>
          </w:hyperlink>
        </w:p>
        <w:p w14:paraId="4B1F74F7" w14:textId="07B3185D"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Pr="00C77504">
              <w:rPr>
                <w:rStyle w:val="Hyperlink"/>
                <w:rFonts w:cs="Arial"/>
                <w:b/>
                <w:bCs/>
                <w:noProof/>
              </w:rPr>
              <w:t>Section B – Additional information</w:t>
            </w:r>
            <w:r>
              <w:rPr>
                <w:noProof/>
                <w:webHidden/>
              </w:rPr>
              <w:tab/>
            </w:r>
            <w:r>
              <w:rPr>
                <w:noProof/>
                <w:webHidden/>
              </w:rPr>
              <w:fldChar w:fldCharType="begin"/>
            </w:r>
            <w:r>
              <w:rPr>
                <w:noProof/>
                <w:webHidden/>
              </w:rPr>
              <w:instrText xml:space="preserve"> PAGEREF _Toc192874782 \h </w:instrText>
            </w:r>
            <w:r>
              <w:rPr>
                <w:noProof/>
                <w:webHidden/>
              </w:rPr>
            </w:r>
            <w:r>
              <w:rPr>
                <w:noProof/>
                <w:webHidden/>
              </w:rPr>
              <w:fldChar w:fldCharType="separate"/>
            </w:r>
            <w:r>
              <w:rPr>
                <w:noProof/>
                <w:webHidden/>
              </w:rPr>
              <w:t>8</w:t>
            </w:r>
            <w:r>
              <w:rPr>
                <w:noProof/>
                <w:webHidden/>
              </w:rPr>
              <w:fldChar w:fldCharType="end"/>
            </w:r>
          </w:hyperlink>
        </w:p>
        <w:p w14:paraId="10D7010C" w14:textId="1BD24533"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Pr="00C77504">
              <w:rPr>
                <w:rStyle w:val="Hyperlink"/>
                <w:noProof/>
              </w:rPr>
              <w:t>B1 – Other interested parties</w:t>
            </w:r>
            <w:r>
              <w:rPr>
                <w:noProof/>
                <w:webHidden/>
              </w:rPr>
              <w:tab/>
            </w:r>
            <w:r>
              <w:rPr>
                <w:noProof/>
                <w:webHidden/>
              </w:rPr>
              <w:fldChar w:fldCharType="begin"/>
            </w:r>
            <w:r>
              <w:rPr>
                <w:noProof/>
                <w:webHidden/>
              </w:rPr>
              <w:instrText xml:space="preserve"> PAGEREF _Toc192874783 \h </w:instrText>
            </w:r>
            <w:r>
              <w:rPr>
                <w:noProof/>
                <w:webHidden/>
              </w:rPr>
            </w:r>
            <w:r>
              <w:rPr>
                <w:noProof/>
                <w:webHidden/>
              </w:rPr>
              <w:fldChar w:fldCharType="separate"/>
            </w:r>
            <w:r>
              <w:rPr>
                <w:noProof/>
                <w:webHidden/>
              </w:rPr>
              <w:t>8</w:t>
            </w:r>
            <w:r>
              <w:rPr>
                <w:noProof/>
                <w:webHidden/>
              </w:rPr>
              <w:fldChar w:fldCharType="end"/>
            </w:r>
          </w:hyperlink>
        </w:p>
        <w:p w14:paraId="234FF09E" w14:textId="16C4C62A"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Pr="00C77504">
              <w:rPr>
                <w:rStyle w:val="Hyperlink"/>
                <w:noProof/>
              </w:rPr>
              <w:t>B2 - Scope</w:t>
            </w:r>
            <w:r>
              <w:rPr>
                <w:noProof/>
                <w:webHidden/>
              </w:rPr>
              <w:tab/>
            </w:r>
            <w:r>
              <w:rPr>
                <w:noProof/>
                <w:webHidden/>
              </w:rPr>
              <w:fldChar w:fldCharType="begin"/>
            </w:r>
            <w:r>
              <w:rPr>
                <w:noProof/>
                <w:webHidden/>
              </w:rPr>
              <w:instrText xml:space="preserve"> PAGEREF _Toc192874784 \h </w:instrText>
            </w:r>
            <w:r>
              <w:rPr>
                <w:noProof/>
                <w:webHidden/>
              </w:rPr>
            </w:r>
            <w:r>
              <w:rPr>
                <w:noProof/>
                <w:webHidden/>
              </w:rPr>
              <w:fldChar w:fldCharType="separate"/>
            </w:r>
            <w:r>
              <w:rPr>
                <w:noProof/>
                <w:webHidden/>
              </w:rPr>
              <w:t>9</w:t>
            </w:r>
            <w:r>
              <w:rPr>
                <w:noProof/>
                <w:webHidden/>
              </w:rPr>
              <w:fldChar w:fldCharType="end"/>
            </w:r>
          </w:hyperlink>
        </w:p>
        <w:p w14:paraId="4CCEAD46" w14:textId="7CE5FF62"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Pr="00C77504">
              <w:rPr>
                <w:rStyle w:val="Hyperlink"/>
                <w:noProof/>
              </w:rPr>
              <w:t>B3 – Economic Interest Test</w:t>
            </w:r>
            <w:r>
              <w:rPr>
                <w:noProof/>
                <w:webHidden/>
              </w:rPr>
              <w:tab/>
            </w:r>
            <w:r>
              <w:rPr>
                <w:noProof/>
                <w:webHidden/>
              </w:rPr>
              <w:fldChar w:fldCharType="begin"/>
            </w:r>
            <w:r>
              <w:rPr>
                <w:noProof/>
                <w:webHidden/>
              </w:rPr>
              <w:instrText xml:space="preserve"> PAGEREF _Toc192874785 \h </w:instrText>
            </w:r>
            <w:r>
              <w:rPr>
                <w:noProof/>
                <w:webHidden/>
              </w:rPr>
            </w:r>
            <w:r>
              <w:rPr>
                <w:noProof/>
                <w:webHidden/>
              </w:rPr>
              <w:fldChar w:fldCharType="separate"/>
            </w:r>
            <w:r>
              <w:rPr>
                <w:noProof/>
                <w:webHidden/>
              </w:rPr>
              <w:t>9</w:t>
            </w:r>
            <w:r>
              <w:rPr>
                <w:noProof/>
                <w:webHidden/>
              </w:rPr>
              <w:fldChar w:fldCharType="end"/>
            </w:r>
          </w:hyperlink>
        </w:p>
        <w:p w14:paraId="2FDA2209" w14:textId="011FF3E5"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Pr="00C77504">
              <w:rPr>
                <w:rStyle w:val="Hyperlink"/>
                <w:noProof/>
              </w:rPr>
              <w:t>B4 – Anything else</w:t>
            </w:r>
            <w:r>
              <w:rPr>
                <w:noProof/>
                <w:webHidden/>
              </w:rPr>
              <w:tab/>
            </w:r>
            <w:r>
              <w:rPr>
                <w:noProof/>
                <w:webHidden/>
              </w:rPr>
              <w:fldChar w:fldCharType="begin"/>
            </w:r>
            <w:r>
              <w:rPr>
                <w:noProof/>
                <w:webHidden/>
              </w:rPr>
              <w:instrText xml:space="preserve"> PAGEREF _Toc192874786 \h </w:instrText>
            </w:r>
            <w:r>
              <w:rPr>
                <w:noProof/>
                <w:webHidden/>
              </w:rPr>
            </w:r>
            <w:r>
              <w:rPr>
                <w:noProof/>
                <w:webHidden/>
              </w:rPr>
              <w:fldChar w:fldCharType="separate"/>
            </w:r>
            <w:r>
              <w:rPr>
                <w:noProof/>
                <w:webHidden/>
              </w:rPr>
              <w:t>10</w:t>
            </w:r>
            <w:r>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607F49D" w14:textId="2FFA11E4" w:rsidR="00F55638" w:rsidRDefault="00F55638" w:rsidP="00F55638">
                            <w:r>
                              <w:t xml:space="preserve">UKIFDA is the trade body which represents the liquid fuel distributors in the UK. Currently our c100 members distribute liquid fuels to over 1.7m homes and 250,000 businesses. Today most of these liquid fuels are fossil </w:t>
                            </w:r>
                            <w:proofErr w:type="gramStart"/>
                            <w:r>
                              <w:t>based</w:t>
                            </w:r>
                            <w:proofErr w:type="gramEnd"/>
                            <w:r>
                              <w:t xml:space="preserve"> and a significant proportion used for heating purposes. The industry currently directly employs 10,000 people.</w:t>
                            </w:r>
                          </w:p>
                          <w:p w14:paraId="6AC08C71" w14:textId="77777777" w:rsidR="00F55638" w:rsidRDefault="00F55638" w:rsidP="00F55638"/>
                          <w:p w14:paraId="09784551" w14:textId="34716087" w:rsidR="00F55638" w:rsidRDefault="00F55638" w:rsidP="00F55638">
                            <w:r>
                              <w:t>Included in their portfolio of fuels our members deliver HVO</w:t>
                            </w:r>
                          </w:p>
                          <w:p w14:paraId="27F2DC09" w14:textId="46DD39AA"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1607F49D" w14:textId="2FFA11E4" w:rsidR="00F55638" w:rsidRDefault="00F55638" w:rsidP="00F55638">
                      <w:r>
                        <w:t xml:space="preserve">UKIFDA is the trade body which represents the liquid fuel distributors in the UK. Currently our c100 members distribute liquid fuels to over 1.7m homes and 250,000 businesses. Today most of these liquid fuels are fossil </w:t>
                      </w:r>
                      <w:proofErr w:type="gramStart"/>
                      <w:r>
                        <w:t>based</w:t>
                      </w:r>
                      <w:proofErr w:type="gramEnd"/>
                      <w:r>
                        <w:t xml:space="preserve"> and a significant proportion used for heating purposes. The industry currently directly employs 10,000 people.</w:t>
                      </w:r>
                    </w:p>
                    <w:p w14:paraId="6AC08C71" w14:textId="77777777" w:rsidR="00F55638" w:rsidRDefault="00F55638" w:rsidP="00F55638"/>
                    <w:p w14:paraId="09784551" w14:textId="34716087" w:rsidR="00F55638" w:rsidRDefault="00F55638" w:rsidP="00F55638">
                      <w:r>
                        <w:t>Included in their portfolio of fuels our members deliver HVO</w:t>
                      </w:r>
                    </w:p>
                    <w:p w14:paraId="27F2DC09" w14:textId="46DD39AA" w:rsidR="00312C3C" w:rsidRDefault="00312C3C" w:rsidP="00312C3C">
                      <w:pPr>
                        <w:rPr>
                          <w:rFonts w:cs="Arial"/>
                        </w:rPr>
                      </w:pPr>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880A9E4" w14:textId="24ECB104" w:rsidR="00F55638" w:rsidRDefault="00F55638" w:rsidP="00F55638">
                            <w:r>
                              <w:t>Included in their portfolio of fuels our members deliver HVO</w:t>
                            </w:r>
                          </w:p>
                          <w:p w14:paraId="557F4E07" w14:textId="13FE7C21" w:rsidR="00312C3C" w:rsidRDefault="00312C3C" w:rsidP="00312C3C">
                            <w:pPr>
                              <w:rPr>
                                <w:rFonts w:cs="Arial"/>
                                <w:i/>
                                <w:color w:val="808080"/>
                              </w:rPr>
                            </w:pPr>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880A9E4" w14:textId="24ECB104" w:rsidR="00F55638" w:rsidRDefault="00F55638" w:rsidP="00F55638">
                      <w:r>
                        <w:t>Included in their portfolio of fuels our members deliver HVO</w:t>
                      </w:r>
                    </w:p>
                    <w:p w14:paraId="557F4E07" w14:textId="13FE7C21" w:rsidR="00312C3C" w:rsidRDefault="00312C3C" w:rsidP="00312C3C">
                      <w:pPr>
                        <w:rPr>
                          <w:rFonts w:cs="Arial"/>
                          <w:i/>
                          <w:color w:val="808080"/>
                        </w:rPr>
                      </w:pPr>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735029"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5E26A9C2" w:rsidR="00312C3C" w:rsidRPr="00912B9B" w:rsidRDefault="00735029"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1"/>
            <w14:checkedState w14:val="2612" w14:font="MS Gothic"/>
            <w14:uncheckedState w14:val="2610" w14:font="MS Gothic"/>
          </w14:checkbox>
        </w:sdtPr>
        <w:sdtEndPr/>
        <w:sdtContent>
          <w:r w:rsidR="00F55638">
            <w:rPr>
              <w:rFonts w:ascii="MS Gothic" w:eastAsia="MS Gothic" w:hAnsi="MS Gothic" w:cs="Arial" w:hint="eastAsia"/>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50B558CD" w:rsidR="00312C3C" w:rsidRPr="00912B9B" w:rsidRDefault="00312C3C" w:rsidP="00312C3C">
      <w:pPr>
        <w:suppressAutoHyphens w:val="0"/>
        <w:autoSpaceDN/>
        <w:textAlignment w:val="auto"/>
        <w:rPr>
          <w:rFonts w:eastAsiaTheme="minorEastAsia" w:cs="Arial"/>
          <w:szCs w:val="24"/>
        </w:rPr>
      </w:pPr>
    </w:p>
    <w:p w14:paraId="3C0FBFBB" w14:textId="5688B996"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5D7CCBEB" w:rsidR="00312C3C" w:rsidRPr="00555FE7" w:rsidRDefault="00312C3C" w:rsidP="00312C3C"/>
    <w:p w14:paraId="7A162670" w14:textId="77777777" w:rsidR="00F55638" w:rsidRPr="00B2477E" w:rsidRDefault="00F55638" w:rsidP="00F55638">
      <w:pPr>
        <w:pStyle w:val="ListParagraph"/>
        <w:numPr>
          <w:ilvl w:val="0"/>
          <w:numId w:val="9"/>
        </w:numPr>
        <w:suppressAutoHyphens w:val="0"/>
        <w:autoSpaceDN/>
        <w:spacing w:after="160" w:line="278" w:lineRule="auto"/>
        <w:textAlignment w:val="auto"/>
        <w:rPr>
          <w:b/>
          <w:bCs/>
        </w:rPr>
      </w:pPr>
      <w:r w:rsidRPr="00B2477E">
        <w:rPr>
          <w:b/>
          <w:bCs/>
        </w:rPr>
        <w:t>Previous Investigation</w:t>
      </w:r>
    </w:p>
    <w:p w14:paraId="3ECD82E2" w14:textId="77777777" w:rsidR="00F55638" w:rsidRDefault="00F55638" w:rsidP="00F55638">
      <w:r>
        <w:t>We supported the conclusions of the TRA for the following reasons:</w:t>
      </w:r>
    </w:p>
    <w:p w14:paraId="6D22FD07" w14:textId="77777777" w:rsidR="00F55638" w:rsidRDefault="00F55638" w:rsidP="00F55638">
      <w:pPr>
        <w:pStyle w:val="ListParagraph"/>
        <w:numPr>
          <w:ilvl w:val="0"/>
          <w:numId w:val="10"/>
        </w:numPr>
        <w:suppressAutoHyphens w:val="0"/>
        <w:autoSpaceDN/>
        <w:textAlignment w:val="auto"/>
        <w:rPr>
          <w:rFonts w:eastAsia="Times New Roman"/>
        </w:rPr>
      </w:pPr>
      <w:r>
        <w:rPr>
          <w:rFonts w:eastAsia="Times New Roman"/>
        </w:rPr>
        <w:t xml:space="preserve">Hydrotreated Vegetable Oil (HVO) is currently not produced in the UK and therefore the country is reliant upon imports. </w:t>
      </w:r>
    </w:p>
    <w:p w14:paraId="7251E914" w14:textId="77777777" w:rsidR="00F55638" w:rsidRDefault="00F55638" w:rsidP="00F55638">
      <w:pPr>
        <w:pStyle w:val="ListParagraph"/>
        <w:numPr>
          <w:ilvl w:val="0"/>
          <w:numId w:val="10"/>
        </w:numPr>
        <w:suppressAutoHyphens w:val="0"/>
        <w:autoSpaceDN/>
        <w:textAlignment w:val="auto"/>
        <w:rPr>
          <w:rFonts w:eastAsia="Times New Roman"/>
        </w:rPr>
      </w:pPr>
      <w:r>
        <w:rPr>
          <w:rFonts w:eastAsia="Times New Roman"/>
        </w:rPr>
        <w:t>HVO can be used in markets that currently cannot be served by FAME including the home heating market and the heavy transportation market</w:t>
      </w:r>
    </w:p>
    <w:p w14:paraId="4B67A810" w14:textId="77777777" w:rsidR="00F55638" w:rsidRDefault="00F55638" w:rsidP="00F55638">
      <w:pPr>
        <w:pStyle w:val="ListParagraph"/>
        <w:numPr>
          <w:ilvl w:val="0"/>
          <w:numId w:val="10"/>
        </w:numPr>
        <w:suppressAutoHyphens w:val="0"/>
        <w:autoSpaceDN/>
        <w:textAlignment w:val="auto"/>
        <w:rPr>
          <w:rFonts w:eastAsia="Times New Roman"/>
        </w:rPr>
      </w:pPr>
      <w:r>
        <w:rPr>
          <w:rFonts w:eastAsia="Times New Roman"/>
        </w:rPr>
        <w:t>HVO and FAME are not alike:</w:t>
      </w:r>
    </w:p>
    <w:p w14:paraId="62A75B22" w14:textId="77777777" w:rsidR="00F55638" w:rsidRDefault="00F55638" w:rsidP="00F55638">
      <w:pPr>
        <w:pStyle w:val="ListParagraph"/>
        <w:numPr>
          <w:ilvl w:val="1"/>
          <w:numId w:val="10"/>
        </w:numPr>
        <w:suppressAutoHyphens w:val="0"/>
        <w:autoSpaceDN/>
        <w:textAlignment w:val="auto"/>
        <w:rPr>
          <w:rFonts w:eastAsia="Times New Roman"/>
        </w:rPr>
      </w:pPr>
      <w:r>
        <w:rPr>
          <w:rFonts w:eastAsia="Times New Roman"/>
        </w:rPr>
        <w:t>The manufacturing processes are very different</w:t>
      </w:r>
    </w:p>
    <w:p w14:paraId="496001B7" w14:textId="77777777" w:rsidR="00F55638" w:rsidRDefault="00F55638" w:rsidP="00F55638">
      <w:pPr>
        <w:pStyle w:val="ListParagraph"/>
        <w:numPr>
          <w:ilvl w:val="1"/>
          <w:numId w:val="10"/>
        </w:numPr>
        <w:suppressAutoHyphens w:val="0"/>
        <w:autoSpaceDN/>
        <w:textAlignment w:val="auto"/>
        <w:rPr>
          <w:rFonts w:eastAsia="Times New Roman"/>
        </w:rPr>
      </w:pPr>
      <w:r w:rsidRPr="00011E00">
        <w:rPr>
          <w:rFonts w:eastAsia="Times New Roman"/>
        </w:rPr>
        <w:t xml:space="preserve">Chemically </w:t>
      </w:r>
      <w:r>
        <w:rPr>
          <w:rFonts w:eastAsia="Times New Roman"/>
        </w:rPr>
        <w:t>they</w:t>
      </w:r>
      <w:r w:rsidRPr="00011E00">
        <w:rPr>
          <w:rFonts w:eastAsia="Times New Roman"/>
        </w:rPr>
        <w:t xml:space="preserve"> are very different</w:t>
      </w:r>
    </w:p>
    <w:p w14:paraId="032EA592" w14:textId="77777777" w:rsidR="00F55638" w:rsidRDefault="00F55638" w:rsidP="00F55638">
      <w:pPr>
        <w:pStyle w:val="ListParagraph"/>
        <w:numPr>
          <w:ilvl w:val="1"/>
          <w:numId w:val="10"/>
        </w:numPr>
        <w:suppressAutoHyphens w:val="0"/>
        <w:autoSpaceDN/>
        <w:textAlignment w:val="auto"/>
        <w:rPr>
          <w:rFonts w:eastAsia="Times New Roman"/>
        </w:rPr>
      </w:pPr>
      <w:r>
        <w:rPr>
          <w:rFonts w:eastAsia="Times New Roman"/>
        </w:rPr>
        <w:t xml:space="preserve">HVO has better energy density </w:t>
      </w:r>
    </w:p>
    <w:p w14:paraId="2F928E95" w14:textId="77777777" w:rsidR="00F55638" w:rsidRDefault="00F55638" w:rsidP="00F55638">
      <w:pPr>
        <w:pStyle w:val="ListParagraph"/>
        <w:numPr>
          <w:ilvl w:val="1"/>
          <w:numId w:val="10"/>
        </w:numPr>
        <w:suppressAutoHyphens w:val="0"/>
        <w:autoSpaceDN/>
        <w:textAlignment w:val="auto"/>
        <w:rPr>
          <w:rFonts w:eastAsia="Times New Roman"/>
        </w:rPr>
      </w:pPr>
      <w:r>
        <w:rPr>
          <w:rFonts w:eastAsia="Times New Roman"/>
        </w:rPr>
        <w:t>HVO has a much lower cold filter plugging point and is also safe in warmer conditions</w:t>
      </w:r>
    </w:p>
    <w:p w14:paraId="2474BAFB" w14:textId="77777777" w:rsidR="00F55638" w:rsidRDefault="00F55638" w:rsidP="00F55638">
      <w:pPr>
        <w:pStyle w:val="ListParagraph"/>
        <w:numPr>
          <w:ilvl w:val="1"/>
          <w:numId w:val="10"/>
        </w:numPr>
        <w:suppressAutoHyphens w:val="0"/>
        <w:autoSpaceDN/>
        <w:textAlignment w:val="auto"/>
        <w:rPr>
          <w:rFonts w:eastAsia="Times New Roman"/>
        </w:rPr>
      </w:pPr>
      <w:r>
        <w:rPr>
          <w:rFonts w:eastAsia="Times New Roman"/>
        </w:rPr>
        <w:t>HVO has a much higher storage life, is less susceptible to degradation and less susceptible to water absorption</w:t>
      </w:r>
    </w:p>
    <w:p w14:paraId="2D35F94A" w14:textId="77777777" w:rsidR="00F55638" w:rsidRDefault="00F55638" w:rsidP="00F55638">
      <w:pPr>
        <w:rPr>
          <w:color w:val="000000"/>
          <w:shd w:val="clear" w:color="auto" w:fill="FFFFFF"/>
        </w:rPr>
      </w:pPr>
    </w:p>
    <w:p w14:paraId="0AA95803" w14:textId="77777777" w:rsidR="00F55638" w:rsidRPr="00B2477E" w:rsidRDefault="00F55638" w:rsidP="00F55638">
      <w:pPr>
        <w:pStyle w:val="ListParagraph"/>
        <w:numPr>
          <w:ilvl w:val="0"/>
          <w:numId w:val="9"/>
        </w:numPr>
        <w:suppressAutoHyphens w:val="0"/>
        <w:autoSpaceDN/>
        <w:spacing w:after="160" w:line="278" w:lineRule="auto"/>
        <w:textAlignment w:val="auto"/>
        <w:rPr>
          <w:b/>
          <w:bCs/>
          <w:color w:val="000000"/>
          <w:shd w:val="clear" w:color="auto" w:fill="FFFFFF"/>
        </w:rPr>
      </w:pPr>
      <w:r w:rsidRPr="00B2477E">
        <w:rPr>
          <w:b/>
          <w:bCs/>
          <w:color w:val="000000"/>
          <w:shd w:val="clear" w:color="auto" w:fill="FFFFFF"/>
        </w:rPr>
        <w:t xml:space="preserve">Our understanding of the new application </w:t>
      </w:r>
    </w:p>
    <w:p w14:paraId="1DA2338C" w14:textId="77777777" w:rsidR="00F55638" w:rsidRDefault="00F55638" w:rsidP="00F55638">
      <w:pPr>
        <w:rPr>
          <w:color w:val="000000"/>
          <w:shd w:val="clear" w:color="auto" w:fill="FFFFFF"/>
        </w:rPr>
      </w:pPr>
      <w:r>
        <w:rPr>
          <w:color w:val="000000"/>
          <w:shd w:val="clear" w:color="auto" w:fill="FFFFFF"/>
        </w:rPr>
        <w:t>We were surprised to see this new application given that US HVO was only imported into the UK tariff free from March 2023.</w:t>
      </w:r>
      <w:r w:rsidRPr="003255E7">
        <w:rPr>
          <w:color w:val="000000"/>
          <w:shd w:val="clear" w:color="auto" w:fill="FFFFFF"/>
        </w:rPr>
        <w:t xml:space="preserve"> </w:t>
      </w:r>
    </w:p>
    <w:p w14:paraId="21C02F43" w14:textId="77777777" w:rsidR="00FE653C" w:rsidRDefault="00FE653C" w:rsidP="00F55638">
      <w:pPr>
        <w:rPr>
          <w:color w:val="000000"/>
          <w:shd w:val="clear" w:color="auto" w:fill="FFFFFF"/>
        </w:rPr>
      </w:pPr>
    </w:p>
    <w:p w14:paraId="72A04E22" w14:textId="77777777" w:rsidR="00F55638" w:rsidRDefault="00F55638" w:rsidP="00F55638">
      <w:pPr>
        <w:rPr>
          <w:color w:val="000000"/>
          <w:shd w:val="clear" w:color="auto" w:fill="FFFFFF"/>
        </w:rPr>
      </w:pPr>
      <w:r>
        <w:rPr>
          <w:color w:val="000000"/>
          <w:shd w:val="clear" w:color="auto" w:fill="FFFFFF"/>
        </w:rPr>
        <w:t>Our understanding is the investigation period spans from</w:t>
      </w:r>
      <w:r w:rsidRPr="001A4043">
        <w:rPr>
          <w:color w:val="000000"/>
          <w:shd w:val="clear" w:color="auto" w:fill="FFFFFF"/>
        </w:rPr>
        <w:t xml:space="preserve"> 1 January 2024 to 31 December 2024</w:t>
      </w:r>
      <w:r>
        <w:rPr>
          <w:color w:val="000000"/>
          <w:shd w:val="clear" w:color="auto" w:fill="FFFFFF"/>
        </w:rPr>
        <w:t xml:space="preserve"> and will </w:t>
      </w:r>
      <w:r w:rsidRPr="001A4043">
        <w:rPr>
          <w:color w:val="000000"/>
          <w:shd w:val="clear" w:color="auto" w:fill="FFFFFF"/>
        </w:rPr>
        <w:t xml:space="preserve">determine whether imports of HVO are being sold at unfairly low prices or being subsidised and causing harm to </w:t>
      </w:r>
      <w:r>
        <w:rPr>
          <w:color w:val="000000"/>
          <w:shd w:val="clear" w:color="auto" w:fill="FFFFFF"/>
        </w:rPr>
        <w:t xml:space="preserve">the </w:t>
      </w:r>
      <w:r w:rsidRPr="001A4043">
        <w:rPr>
          <w:color w:val="000000"/>
          <w:shd w:val="clear" w:color="auto" w:fill="FFFFFF"/>
        </w:rPr>
        <w:t xml:space="preserve">UK </w:t>
      </w:r>
      <w:r>
        <w:rPr>
          <w:color w:val="000000"/>
          <w:shd w:val="clear" w:color="auto" w:fill="FFFFFF"/>
        </w:rPr>
        <w:t xml:space="preserve">FAME </w:t>
      </w:r>
      <w:r w:rsidRPr="001A4043">
        <w:rPr>
          <w:color w:val="000000"/>
          <w:shd w:val="clear" w:color="auto" w:fill="FFFFFF"/>
        </w:rPr>
        <w:t>industry</w:t>
      </w:r>
      <w:r>
        <w:rPr>
          <w:color w:val="000000"/>
          <w:shd w:val="clear" w:color="auto" w:fill="FFFFFF"/>
        </w:rPr>
        <w:t xml:space="preserve">, which has concluded that this has led </w:t>
      </w:r>
      <w:r w:rsidRPr="001A4043">
        <w:rPr>
          <w:color w:val="000000"/>
          <w:shd w:val="clear" w:color="auto" w:fill="FFFFFF"/>
        </w:rPr>
        <w:t xml:space="preserve">an actual </w:t>
      </w:r>
      <w:r>
        <w:rPr>
          <w:color w:val="000000"/>
          <w:shd w:val="clear" w:color="auto" w:fill="FFFFFF"/>
        </w:rPr>
        <w:t>or</w:t>
      </w:r>
      <w:r w:rsidRPr="001A4043">
        <w:rPr>
          <w:color w:val="000000"/>
          <w:shd w:val="clear" w:color="auto" w:fill="FFFFFF"/>
        </w:rPr>
        <w:t xml:space="preserve"> potential decline in production, domestic sales, and profitability.</w:t>
      </w:r>
    </w:p>
    <w:p w14:paraId="0AE26B1C" w14:textId="77777777" w:rsidR="00F55638" w:rsidRDefault="00F55638" w:rsidP="00F55638">
      <w:pPr>
        <w:rPr>
          <w:color w:val="000000"/>
          <w:shd w:val="clear" w:color="auto" w:fill="FFFFFF"/>
        </w:rPr>
      </w:pPr>
    </w:p>
    <w:p w14:paraId="2B33D549" w14:textId="77777777" w:rsidR="00F55638" w:rsidRPr="00B2477E" w:rsidRDefault="00F55638" w:rsidP="00F55638">
      <w:pPr>
        <w:pStyle w:val="ListParagraph"/>
        <w:numPr>
          <w:ilvl w:val="0"/>
          <w:numId w:val="9"/>
        </w:numPr>
        <w:suppressAutoHyphens w:val="0"/>
        <w:autoSpaceDN/>
        <w:spacing w:after="160" w:line="278" w:lineRule="auto"/>
        <w:textAlignment w:val="auto"/>
        <w:rPr>
          <w:b/>
          <w:bCs/>
          <w:color w:val="000000"/>
          <w:shd w:val="clear" w:color="auto" w:fill="FFFFFF"/>
        </w:rPr>
      </w:pPr>
      <w:r w:rsidRPr="00B2477E">
        <w:rPr>
          <w:b/>
          <w:bCs/>
          <w:color w:val="000000"/>
          <w:shd w:val="clear" w:color="auto" w:fill="FFFFFF"/>
        </w:rPr>
        <w:t>What we must avoid</w:t>
      </w:r>
    </w:p>
    <w:p w14:paraId="7E8A0943" w14:textId="77777777" w:rsidR="00F55638" w:rsidRDefault="00F55638" w:rsidP="00F55638">
      <w:pPr>
        <w:rPr>
          <w:rStyle w:val="cf01"/>
          <w:rFonts w:ascii="Arial" w:hAnsi="Arial" w:cs="Arial"/>
          <w:sz w:val="24"/>
          <w:szCs w:val="24"/>
        </w:rPr>
      </w:pPr>
      <w:r w:rsidRPr="00FE653C">
        <w:rPr>
          <w:rFonts w:cs="Arial"/>
          <w:color w:val="000000"/>
          <w:shd w:val="clear" w:color="auto" w:fill="FFFFFF"/>
        </w:rPr>
        <w:t>Low Cabon Liquid Fuels harbour significant potential that can play a vital role in achieving the UK's ‘Net Zero’ emission ambitions. HVO can lead to an 80-90% reduction in carbon emissions compared to regular fossil fuels. It is used in the existing vehicle fleet and can be distributed via a mature downstream oil supply chain of refineries, terminals, pipelines and service station forecourts.</w:t>
      </w:r>
      <w:r w:rsidRPr="00FE653C">
        <w:rPr>
          <w:rStyle w:val="Heading1Char"/>
          <w:rFonts w:ascii="Arial" w:eastAsia="Calibri" w:hAnsi="Arial" w:cs="Arial"/>
          <w:sz w:val="24"/>
          <w:szCs w:val="24"/>
        </w:rPr>
        <w:t xml:space="preserve"> </w:t>
      </w:r>
      <w:r w:rsidRPr="00FE653C">
        <w:rPr>
          <w:rStyle w:val="cf01"/>
          <w:rFonts w:ascii="Arial" w:hAnsi="Arial" w:cs="Arial"/>
          <w:sz w:val="24"/>
          <w:szCs w:val="24"/>
        </w:rPr>
        <w:t>Unlike FAME type fuels, it also has the potential to be used as a drop in alternative to kerosene in the off-gas grid heating sector.</w:t>
      </w:r>
    </w:p>
    <w:p w14:paraId="13F00472" w14:textId="77777777" w:rsidR="00FE653C" w:rsidRPr="00FE653C" w:rsidRDefault="00FE653C" w:rsidP="00F55638">
      <w:pPr>
        <w:rPr>
          <w:rFonts w:cs="Arial"/>
          <w:color w:val="000000"/>
          <w:shd w:val="clear" w:color="auto" w:fill="FFFFFF"/>
        </w:rPr>
      </w:pPr>
    </w:p>
    <w:p w14:paraId="109254F1" w14:textId="77777777" w:rsidR="00F55638" w:rsidRPr="00FE653C" w:rsidRDefault="00F55638" w:rsidP="00F55638">
      <w:pPr>
        <w:rPr>
          <w:rFonts w:cs="Arial"/>
          <w:color w:val="000000"/>
          <w:shd w:val="clear" w:color="auto" w:fill="FFFFFF"/>
        </w:rPr>
      </w:pPr>
      <w:r w:rsidRPr="00FE653C">
        <w:rPr>
          <w:rFonts w:cs="Arial"/>
          <w:color w:val="000000"/>
          <w:shd w:val="clear" w:color="auto" w:fill="FFFFFF"/>
        </w:rPr>
        <w:lastRenderedPageBreak/>
        <w:t xml:space="preserve">However, utilisation of low-carbon liquid fuels in the UK cannot be achieved without a predictable and stable regulatory environment. </w:t>
      </w:r>
    </w:p>
    <w:p w14:paraId="35B63868" w14:textId="77777777" w:rsidR="00FE653C" w:rsidRDefault="00FE653C" w:rsidP="00F55638">
      <w:pPr>
        <w:rPr>
          <w:b/>
          <w:bCs/>
          <w:color w:val="000000"/>
          <w:shd w:val="clear" w:color="auto" w:fill="FFFFFF"/>
        </w:rPr>
      </w:pPr>
    </w:p>
    <w:p w14:paraId="58D14FEE" w14:textId="79E733AC" w:rsidR="00F55638" w:rsidRPr="004438DE" w:rsidRDefault="00F55638" w:rsidP="00F55638">
      <w:pPr>
        <w:rPr>
          <w:b/>
          <w:bCs/>
          <w:color w:val="000000"/>
          <w:shd w:val="clear" w:color="auto" w:fill="FFFFFF"/>
        </w:rPr>
      </w:pPr>
      <w:r w:rsidRPr="004438DE">
        <w:rPr>
          <w:b/>
          <w:bCs/>
          <w:color w:val="000000"/>
          <w:shd w:val="clear" w:color="auto" w:fill="FFFFFF"/>
        </w:rPr>
        <w:t>This new review will have the opposite effect if not handled correctly.</w:t>
      </w:r>
    </w:p>
    <w:p w14:paraId="2987E2FC" w14:textId="77777777" w:rsidR="00FE653C" w:rsidRDefault="00FE653C" w:rsidP="00F55638">
      <w:pPr>
        <w:rPr>
          <w:color w:val="000000"/>
          <w:shd w:val="clear" w:color="auto" w:fill="FFFFFF"/>
        </w:rPr>
      </w:pPr>
    </w:p>
    <w:p w14:paraId="70F44802" w14:textId="2A9ECF6A" w:rsidR="00F55638" w:rsidRDefault="00F55638" w:rsidP="00F55638">
      <w:pPr>
        <w:rPr>
          <w:color w:val="000000"/>
          <w:shd w:val="clear" w:color="auto" w:fill="FFFFFF"/>
        </w:rPr>
      </w:pPr>
      <w:r>
        <w:rPr>
          <w:color w:val="000000"/>
          <w:shd w:val="clear" w:color="auto" w:fill="FFFFFF"/>
        </w:rPr>
        <w:t>In addition, we know from our experience of working in liquid fuels that price is a key determinant of fuel purchasing decisions. Any increase in price of renewable fuels will slow uptake and hamper the transition from fossil fuels.</w:t>
      </w:r>
    </w:p>
    <w:p w14:paraId="667B59CE" w14:textId="77777777" w:rsidR="00F55638" w:rsidRDefault="00F55638" w:rsidP="00F55638">
      <w:pPr>
        <w:rPr>
          <w:b/>
          <w:bCs/>
          <w:color w:val="000000"/>
          <w:shd w:val="clear" w:color="auto" w:fill="FFFFFF"/>
        </w:rPr>
      </w:pPr>
      <w:r w:rsidRPr="004438DE">
        <w:rPr>
          <w:b/>
          <w:bCs/>
          <w:color w:val="000000"/>
          <w:shd w:val="clear" w:color="auto" w:fill="FFFFFF"/>
        </w:rPr>
        <w:t>As a result, this review could have a negative impact on renewable fuel prices, damaging the industry that the applicants are trying to protect.</w:t>
      </w:r>
    </w:p>
    <w:p w14:paraId="0A48EECC" w14:textId="77777777" w:rsidR="00FE653C" w:rsidRPr="004438DE" w:rsidRDefault="00FE653C" w:rsidP="00F55638">
      <w:pPr>
        <w:rPr>
          <w:b/>
          <w:bCs/>
          <w:color w:val="000000"/>
          <w:shd w:val="clear" w:color="auto" w:fill="FFFFFF"/>
        </w:rPr>
      </w:pPr>
    </w:p>
    <w:p w14:paraId="25310F07" w14:textId="77777777" w:rsidR="00F55638" w:rsidRPr="00373F07" w:rsidRDefault="00F55638" w:rsidP="00F55638">
      <w:pPr>
        <w:pStyle w:val="ListParagraph"/>
        <w:numPr>
          <w:ilvl w:val="0"/>
          <w:numId w:val="9"/>
        </w:numPr>
        <w:suppressAutoHyphens w:val="0"/>
        <w:autoSpaceDN/>
        <w:spacing w:after="160" w:line="278" w:lineRule="auto"/>
        <w:textAlignment w:val="auto"/>
        <w:rPr>
          <w:b/>
          <w:bCs/>
          <w:color w:val="000000"/>
          <w:shd w:val="clear" w:color="auto" w:fill="FFFFFF"/>
        </w:rPr>
      </w:pPr>
      <w:r w:rsidRPr="00373F07">
        <w:rPr>
          <w:b/>
          <w:bCs/>
          <w:color w:val="000000"/>
          <w:shd w:val="clear" w:color="auto" w:fill="FFFFFF"/>
        </w:rPr>
        <w:t>Considerations for this new review</w:t>
      </w:r>
    </w:p>
    <w:p w14:paraId="661A3531" w14:textId="77777777" w:rsidR="00F55638" w:rsidRDefault="00F55638" w:rsidP="00F55638">
      <w:pPr>
        <w:rPr>
          <w:color w:val="000000"/>
          <w:shd w:val="clear" w:color="auto" w:fill="FFFFFF"/>
        </w:rPr>
      </w:pPr>
      <w:r>
        <w:rPr>
          <w:color w:val="000000"/>
          <w:shd w:val="clear" w:color="auto" w:fill="FFFFFF"/>
        </w:rPr>
        <w:t>Listed below are some observations as an interested party which we believe should be fully examined as part of any review.</w:t>
      </w:r>
    </w:p>
    <w:p w14:paraId="6390B579" w14:textId="77777777" w:rsidR="00FE653C" w:rsidRDefault="00FE653C" w:rsidP="00F55638">
      <w:pPr>
        <w:rPr>
          <w:color w:val="000000"/>
          <w:shd w:val="clear" w:color="auto" w:fill="FFFFFF"/>
        </w:rPr>
      </w:pPr>
    </w:p>
    <w:p w14:paraId="167774BE" w14:textId="77777777" w:rsidR="00F55638" w:rsidRPr="00D31EFF" w:rsidRDefault="00F55638" w:rsidP="00F55638">
      <w:pPr>
        <w:pStyle w:val="ListParagraph"/>
        <w:numPr>
          <w:ilvl w:val="0"/>
          <w:numId w:val="8"/>
        </w:numPr>
        <w:suppressAutoHyphens w:val="0"/>
        <w:autoSpaceDN/>
        <w:spacing w:after="160" w:line="278" w:lineRule="auto"/>
        <w:textAlignment w:val="auto"/>
        <w:rPr>
          <w:b/>
          <w:bCs/>
          <w:color w:val="000000"/>
          <w:shd w:val="clear" w:color="auto" w:fill="FFFFFF"/>
        </w:rPr>
      </w:pPr>
      <w:r>
        <w:rPr>
          <w:color w:val="000000"/>
          <w:shd w:val="clear" w:color="auto" w:fill="FFFFFF"/>
        </w:rPr>
        <w:t xml:space="preserve">The application essentially centres on two aspects. Firstly, that the price being paid for US HVO is causing harm and secondly the volume of HVO is “flooding the market”. </w:t>
      </w:r>
    </w:p>
    <w:p w14:paraId="7FC64BA0" w14:textId="77777777" w:rsidR="00F55638" w:rsidRDefault="00F55638" w:rsidP="00F55638">
      <w:pPr>
        <w:pStyle w:val="ListParagraph"/>
        <w:rPr>
          <w:color w:val="000000"/>
          <w:shd w:val="clear" w:color="auto" w:fill="FFFFFF"/>
        </w:rPr>
      </w:pPr>
    </w:p>
    <w:p w14:paraId="75503893" w14:textId="77777777" w:rsidR="00F55638" w:rsidRDefault="00F55638" w:rsidP="00F55638">
      <w:pPr>
        <w:pStyle w:val="ListParagraph"/>
        <w:rPr>
          <w:b/>
          <w:bCs/>
          <w:color w:val="000000"/>
          <w:shd w:val="clear" w:color="auto" w:fill="FFFFFF"/>
        </w:rPr>
      </w:pPr>
      <w:r>
        <w:rPr>
          <w:color w:val="000000"/>
          <w:shd w:val="clear" w:color="auto" w:fill="FFFFFF"/>
        </w:rPr>
        <w:t xml:space="preserve">Unfortunately, there is no publicly available information on either of these issues. The US Energy Information Administration (EIA) has only recently started to collate information on US exports, noting previously that exports of HVO had been included in domestic consumption. </w:t>
      </w:r>
      <w:r>
        <w:rPr>
          <w:rStyle w:val="EndnoteReference"/>
          <w:color w:val="000000"/>
          <w:shd w:val="clear" w:color="auto" w:fill="FFFFFF"/>
        </w:rPr>
        <w:endnoteReference w:id="2"/>
      </w:r>
      <w:r>
        <w:rPr>
          <w:color w:val="000000"/>
          <w:shd w:val="clear" w:color="auto" w:fill="FFFFFF"/>
        </w:rPr>
        <w:t xml:space="preserve"> In addition, most information currently available on pricing in the UK and Europe is based on a very small number of trades which may or may not be representative. We note that the applicant has provided their own information which has been redacted. </w:t>
      </w:r>
      <w:r w:rsidRPr="00D31EFF">
        <w:rPr>
          <w:b/>
          <w:bCs/>
          <w:color w:val="000000"/>
          <w:shd w:val="clear" w:color="auto" w:fill="FFFFFF"/>
        </w:rPr>
        <w:t xml:space="preserve">It is impossible for a third party to respond to this application in any </w:t>
      </w:r>
      <w:r>
        <w:rPr>
          <w:b/>
          <w:bCs/>
          <w:color w:val="000000"/>
          <w:shd w:val="clear" w:color="auto" w:fill="FFFFFF"/>
        </w:rPr>
        <w:t xml:space="preserve">meaningful; </w:t>
      </w:r>
      <w:r w:rsidRPr="00D31EFF">
        <w:rPr>
          <w:b/>
          <w:bCs/>
          <w:color w:val="000000"/>
          <w:shd w:val="clear" w:color="auto" w:fill="FFFFFF"/>
        </w:rPr>
        <w:t>way unless this information is made public</w:t>
      </w:r>
      <w:r>
        <w:rPr>
          <w:b/>
          <w:bCs/>
          <w:color w:val="000000"/>
          <w:shd w:val="clear" w:color="auto" w:fill="FFFFFF"/>
        </w:rPr>
        <w:t xml:space="preserve"> so it can be properly scrutinised. </w:t>
      </w:r>
    </w:p>
    <w:p w14:paraId="21975E8F" w14:textId="77777777" w:rsidR="00F55638" w:rsidRDefault="00F55638" w:rsidP="00F55638">
      <w:pPr>
        <w:pStyle w:val="ListParagraph"/>
        <w:rPr>
          <w:b/>
          <w:bCs/>
          <w:color w:val="000000"/>
          <w:shd w:val="clear" w:color="auto" w:fill="FFFFFF"/>
        </w:rPr>
      </w:pPr>
    </w:p>
    <w:p w14:paraId="471350DE" w14:textId="77777777" w:rsidR="00F55638" w:rsidRPr="00A21471" w:rsidRDefault="00F55638" w:rsidP="00F55638">
      <w:pPr>
        <w:pStyle w:val="ListParagraph"/>
        <w:numPr>
          <w:ilvl w:val="0"/>
          <w:numId w:val="8"/>
        </w:numPr>
        <w:suppressAutoHyphens w:val="0"/>
        <w:autoSpaceDN/>
        <w:spacing w:after="160" w:line="278" w:lineRule="auto"/>
        <w:textAlignment w:val="auto"/>
        <w:rPr>
          <w:b/>
          <w:bCs/>
          <w:color w:val="000000"/>
          <w:shd w:val="clear" w:color="auto" w:fill="FFFFFF"/>
        </w:rPr>
      </w:pPr>
      <w:r>
        <w:rPr>
          <w:color w:val="000000"/>
          <w:shd w:val="clear" w:color="auto" w:fill="FFFFFF"/>
        </w:rPr>
        <w:t>We note that imports of HVO (termed Renewable Diesel in the USA) into the USA during 2024 increased substantially compared to 2023 (+43%)</w:t>
      </w:r>
      <w:r>
        <w:rPr>
          <w:rStyle w:val="EndnoteReference"/>
          <w:color w:val="000000"/>
          <w:shd w:val="clear" w:color="auto" w:fill="FFFFFF"/>
        </w:rPr>
        <w:endnoteReference w:id="3"/>
      </w:r>
      <w:r>
        <w:rPr>
          <w:color w:val="000000"/>
          <w:shd w:val="clear" w:color="auto" w:fill="FFFFFF"/>
        </w:rPr>
        <w:t xml:space="preserve"> with a third of that increase coming from Finland (+182%) and Singapore (+12%). Market commentators have partially explained this increase due to extra storage in California and increased Neste capacity in Singapore</w:t>
      </w:r>
      <w:r>
        <w:rPr>
          <w:rStyle w:val="EndnoteReference"/>
          <w:color w:val="000000"/>
          <w:shd w:val="clear" w:color="auto" w:fill="FFFFFF"/>
        </w:rPr>
        <w:endnoteReference w:id="4"/>
      </w:r>
      <w:r>
        <w:rPr>
          <w:color w:val="000000"/>
          <w:shd w:val="clear" w:color="auto" w:fill="FFFFFF"/>
        </w:rPr>
        <w:t xml:space="preserve">. </w:t>
      </w:r>
    </w:p>
    <w:p w14:paraId="4B1221F9" w14:textId="77777777" w:rsidR="00F55638" w:rsidRPr="00DB56CF" w:rsidRDefault="00F55638" w:rsidP="00F55638">
      <w:pPr>
        <w:pStyle w:val="ListParagraph"/>
        <w:rPr>
          <w:b/>
          <w:bCs/>
          <w:color w:val="000000"/>
          <w:shd w:val="clear" w:color="auto" w:fill="FFFFFF"/>
        </w:rPr>
      </w:pPr>
    </w:p>
    <w:p w14:paraId="11AE38AF" w14:textId="77777777" w:rsidR="00F55638" w:rsidRPr="00737B8D" w:rsidRDefault="00F55638" w:rsidP="00F55638">
      <w:pPr>
        <w:pStyle w:val="ListParagraph"/>
        <w:numPr>
          <w:ilvl w:val="0"/>
          <w:numId w:val="8"/>
        </w:numPr>
        <w:suppressAutoHyphens w:val="0"/>
        <w:autoSpaceDN/>
        <w:spacing w:after="160" w:line="278" w:lineRule="auto"/>
        <w:textAlignment w:val="auto"/>
        <w:rPr>
          <w:b/>
          <w:bCs/>
          <w:color w:val="000000"/>
          <w:shd w:val="clear" w:color="auto" w:fill="FFFFFF"/>
        </w:rPr>
      </w:pPr>
      <w:r>
        <w:rPr>
          <w:color w:val="000000"/>
          <w:shd w:val="clear" w:color="auto" w:fill="FFFFFF"/>
        </w:rPr>
        <w:t>We note the main HVO producer in Europe (Neste) has some significant operational problems in 2024 leading to production of renewable diesel reducing by 9% compared to 2023.</w:t>
      </w:r>
    </w:p>
    <w:p w14:paraId="63C14247" w14:textId="77777777" w:rsidR="00F55638" w:rsidRPr="00157DD0" w:rsidRDefault="00F55638" w:rsidP="00F55638">
      <w:pPr>
        <w:pStyle w:val="ListParagraph"/>
        <w:rPr>
          <w:b/>
          <w:bCs/>
          <w:color w:val="000000"/>
          <w:shd w:val="clear" w:color="auto" w:fill="FFFFFF"/>
        </w:rPr>
      </w:pPr>
    </w:p>
    <w:p w14:paraId="08187A2F" w14:textId="77777777" w:rsidR="00F55638" w:rsidRPr="00054FBA" w:rsidRDefault="00F55638" w:rsidP="00F55638">
      <w:pPr>
        <w:pStyle w:val="ListParagraph"/>
        <w:numPr>
          <w:ilvl w:val="0"/>
          <w:numId w:val="8"/>
        </w:numPr>
        <w:suppressAutoHyphens w:val="0"/>
        <w:autoSpaceDN/>
        <w:spacing w:after="160" w:line="278" w:lineRule="auto"/>
        <w:textAlignment w:val="auto"/>
        <w:rPr>
          <w:b/>
          <w:bCs/>
          <w:color w:val="000000"/>
          <w:shd w:val="clear" w:color="auto" w:fill="FFFFFF"/>
        </w:rPr>
      </w:pPr>
      <w:r>
        <w:rPr>
          <w:color w:val="000000"/>
          <w:shd w:val="clear" w:color="auto" w:fill="FFFFFF"/>
        </w:rPr>
        <w:t>The traditional route for FAME has been in blends sold into the vehicle diesel market. As the table below suggests this is in substantial decline as we experience a shift from diesel to petrol:</w:t>
      </w:r>
    </w:p>
    <w:tbl>
      <w:tblPr>
        <w:tblStyle w:val="TableGrid"/>
        <w:tblW w:w="9106" w:type="dxa"/>
        <w:tblLook w:val="04A0" w:firstRow="1" w:lastRow="0" w:firstColumn="1" w:lastColumn="0" w:noHBand="0" w:noVBand="1"/>
      </w:tblPr>
      <w:tblGrid>
        <w:gridCol w:w="3618"/>
        <w:gridCol w:w="951"/>
        <w:gridCol w:w="951"/>
        <w:gridCol w:w="1657"/>
        <w:gridCol w:w="953"/>
        <w:gridCol w:w="976"/>
      </w:tblGrid>
      <w:tr w:rsidR="00F55638" w:rsidRPr="00054FBA" w14:paraId="6F55DC51" w14:textId="77777777" w:rsidTr="00142FD3">
        <w:trPr>
          <w:trHeight w:val="960"/>
        </w:trPr>
        <w:tc>
          <w:tcPr>
            <w:tcW w:w="3823" w:type="dxa"/>
            <w:hideMark/>
          </w:tcPr>
          <w:p w14:paraId="2E140F21" w14:textId="77777777" w:rsidR="00F55638" w:rsidRPr="00054FBA" w:rsidRDefault="00F55638" w:rsidP="00142FD3">
            <w:pPr>
              <w:rPr>
                <w:color w:val="000000"/>
                <w:shd w:val="clear" w:color="auto" w:fill="FFFFFF"/>
              </w:rPr>
            </w:pPr>
          </w:p>
        </w:tc>
        <w:tc>
          <w:tcPr>
            <w:tcW w:w="930" w:type="dxa"/>
            <w:hideMark/>
          </w:tcPr>
          <w:p w14:paraId="5295255A" w14:textId="77777777" w:rsidR="00F55638" w:rsidRPr="00054FBA" w:rsidRDefault="00F55638" w:rsidP="00142FD3">
            <w:pPr>
              <w:rPr>
                <w:b/>
                <w:bCs/>
                <w:color w:val="000000"/>
                <w:shd w:val="clear" w:color="auto" w:fill="FFFFFF"/>
              </w:rPr>
            </w:pPr>
            <w:r w:rsidRPr="00054FBA">
              <w:rPr>
                <w:b/>
                <w:bCs/>
                <w:color w:val="000000"/>
                <w:shd w:val="clear" w:color="auto" w:fill="FFFFFF"/>
              </w:rPr>
              <w:t>2022</w:t>
            </w:r>
          </w:p>
        </w:tc>
        <w:tc>
          <w:tcPr>
            <w:tcW w:w="930" w:type="dxa"/>
            <w:hideMark/>
          </w:tcPr>
          <w:p w14:paraId="3EC6C8A9" w14:textId="77777777" w:rsidR="00F55638" w:rsidRPr="00054FBA" w:rsidRDefault="00F55638" w:rsidP="00142FD3">
            <w:pPr>
              <w:rPr>
                <w:b/>
                <w:bCs/>
                <w:color w:val="000000"/>
                <w:shd w:val="clear" w:color="auto" w:fill="FFFFFF"/>
              </w:rPr>
            </w:pPr>
            <w:r w:rsidRPr="00054FBA">
              <w:rPr>
                <w:b/>
                <w:bCs/>
                <w:color w:val="000000"/>
                <w:shd w:val="clear" w:color="auto" w:fill="FFFFFF"/>
              </w:rPr>
              <w:t>2023</w:t>
            </w:r>
          </w:p>
        </w:tc>
        <w:tc>
          <w:tcPr>
            <w:tcW w:w="1494" w:type="dxa"/>
            <w:hideMark/>
          </w:tcPr>
          <w:p w14:paraId="6B0CC280" w14:textId="77777777" w:rsidR="00F55638" w:rsidRPr="00054FBA" w:rsidRDefault="00F55638" w:rsidP="00142FD3">
            <w:pPr>
              <w:rPr>
                <w:b/>
                <w:bCs/>
                <w:color w:val="000000"/>
                <w:shd w:val="clear" w:color="auto" w:fill="FFFFFF"/>
              </w:rPr>
            </w:pPr>
            <w:r w:rsidRPr="00054FBA">
              <w:rPr>
                <w:b/>
                <w:bCs/>
                <w:color w:val="000000"/>
                <w:shd w:val="clear" w:color="auto" w:fill="FFFFFF"/>
              </w:rPr>
              <w:t>2024 [provisional]</w:t>
            </w:r>
          </w:p>
        </w:tc>
        <w:tc>
          <w:tcPr>
            <w:tcW w:w="1929" w:type="dxa"/>
            <w:gridSpan w:val="2"/>
            <w:hideMark/>
          </w:tcPr>
          <w:p w14:paraId="638E90CC" w14:textId="77777777" w:rsidR="00F55638" w:rsidRPr="00054FBA" w:rsidRDefault="00F55638" w:rsidP="00142FD3">
            <w:pPr>
              <w:rPr>
                <w:b/>
                <w:bCs/>
                <w:color w:val="000000"/>
                <w:shd w:val="clear" w:color="auto" w:fill="FFFFFF"/>
              </w:rPr>
            </w:pPr>
            <w:r w:rsidRPr="00054FBA">
              <w:rPr>
                <w:b/>
                <w:bCs/>
                <w:color w:val="000000"/>
                <w:shd w:val="clear" w:color="auto" w:fill="FFFFFF"/>
              </w:rPr>
              <w:t>2024 vs 2022</w:t>
            </w:r>
          </w:p>
        </w:tc>
      </w:tr>
      <w:tr w:rsidR="00F55638" w:rsidRPr="00054FBA" w14:paraId="10B8E9F0" w14:textId="77777777" w:rsidTr="00142FD3">
        <w:trPr>
          <w:trHeight w:val="320"/>
        </w:trPr>
        <w:tc>
          <w:tcPr>
            <w:tcW w:w="3823" w:type="dxa"/>
            <w:hideMark/>
          </w:tcPr>
          <w:p w14:paraId="4BF1F314" w14:textId="77777777" w:rsidR="00F55638" w:rsidRPr="00054FBA" w:rsidRDefault="00F55638" w:rsidP="00142FD3">
            <w:pPr>
              <w:rPr>
                <w:b/>
                <w:bCs/>
                <w:color w:val="000000"/>
                <w:shd w:val="clear" w:color="auto" w:fill="FFFFFF"/>
              </w:rPr>
            </w:pPr>
            <w:r w:rsidRPr="00054FBA">
              <w:rPr>
                <w:b/>
                <w:bCs/>
                <w:color w:val="000000"/>
                <w:shd w:val="clear" w:color="auto" w:fill="FFFFFF"/>
              </w:rPr>
              <w:t>Motor Spirit</w:t>
            </w:r>
          </w:p>
        </w:tc>
        <w:tc>
          <w:tcPr>
            <w:tcW w:w="930" w:type="dxa"/>
            <w:hideMark/>
          </w:tcPr>
          <w:p w14:paraId="1C073696" w14:textId="77777777" w:rsidR="00F55638" w:rsidRPr="00054FBA" w:rsidRDefault="00F55638" w:rsidP="00142FD3">
            <w:pPr>
              <w:rPr>
                <w:color w:val="000000"/>
                <w:shd w:val="clear" w:color="auto" w:fill="FFFFFF"/>
              </w:rPr>
            </w:pPr>
            <w:r w:rsidRPr="00054FBA">
              <w:rPr>
                <w:color w:val="000000"/>
                <w:shd w:val="clear" w:color="auto" w:fill="FFFFFF"/>
              </w:rPr>
              <w:t> </w:t>
            </w:r>
          </w:p>
        </w:tc>
        <w:tc>
          <w:tcPr>
            <w:tcW w:w="930" w:type="dxa"/>
            <w:hideMark/>
          </w:tcPr>
          <w:p w14:paraId="5BC5D6AE" w14:textId="77777777" w:rsidR="00F55638" w:rsidRPr="00054FBA" w:rsidRDefault="00F55638" w:rsidP="00142FD3">
            <w:pPr>
              <w:rPr>
                <w:color w:val="000000"/>
                <w:shd w:val="clear" w:color="auto" w:fill="FFFFFF"/>
              </w:rPr>
            </w:pPr>
            <w:r w:rsidRPr="00054FBA">
              <w:rPr>
                <w:color w:val="000000"/>
                <w:shd w:val="clear" w:color="auto" w:fill="FFFFFF"/>
              </w:rPr>
              <w:t> </w:t>
            </w:r>
          </w:p>
        </w:tc>
        <w:tc>
          <w:tcPr>
            <w:tcW w:w="1494" w:type="dxa"/>
            <w:hideMark/>
          </w:tcPr>
          <w:p w14:paraId="4FC9C845" w14:textId="77777777" w:rsidR="00F55638" w:rsidRPr="00054FBA" w:rsidRDefault="00F55638" w:rsidP="00142FD3">
            <w:pPr>
              <w:rPr>
                <w:color w:val="000000"/>
                <w:shd w:val="clear" w:color="auto" w:fill="FFFFFF"/>
              </w:rPr>
            </w:pPr>
            <w:r w:rsidRPr="00054FBA">
              <w:rPr>
                <w:color w:val="000000"/>
                <w:shd w:val="clear" w:color="auto" w:fill="FFFFFF"/>
              </w:rPr>
              <w:t> </w:t>
            </w:r>
          </w:p>
        </w:tc>
        <w:tc>
          <w:tcPr>
            <w:tcW w:w="953" w:type="dxa"/>
            <w:noWrap/>
            <w:hideMark/>
          </w:tcPr>
          <w:p w14:paraId="0B14F0F6" w14:textId="77777777" w:rsidR="00F55638" w:rsidRPr="00054FBA" w:rsidRDefault="00F55638" w:rsidP="00142FD3">
            <w:pPr>
              <w:rPr>
                <w:color w:val="000000"/>
                <w:shd w:val="clear" w:color="auto" w:fill="FFFFFF"/>
              </w:rPr>
            </w:pPr>
          </w:p>
        </w:tc>
        <w:tc>
          <w:tcPr>
            <w:tcW w:w="976" w:type="dxa"/>
            <w:noWrap/>
            <w:hideMark/>
          </w:tcPr>
          <w:p w14:paraId="3D6CC471" w14:textId="77777777" w:rsidR="00F55638" w:rsidRPr="00054FBA" w:rsidRDefault="00F55638" w:rsidP="00142FD3">
            <w:pPr>
              <w:rPr>
                <w:color w:val="000000"/>
                <w:shd w:val="clear" w:color="auto" w:fill="FFFFFF"/>
              </w:rPr>
            </w:pPr>
          </w:p>
        </w:tc>
      </w:tr>
      <w:tr w:rsidR="00F55638" w:rsidRPr="00054FBA" w14:paraId="16A96291" w14:textId="77777777" w:rsidTr="00142FD3">
        <w:trPr>
          <w:trHeight w:val="320"/>
        </w:trPr>
        <w:tc>
          <w:tcPr>
            <w:tcW w:w="3823" w:type="dxa"/>
            <w:hideMark/>
          </w:tcPr>
          <w:p w14:paraId="20F34939" w14:textId="77777777" w:rsidR="00F55638" w:rsidRPr="00054FBA" w:rsidRDefault="00F55638" w:rsidP="00142FD3">
            <w:pPr>
              <w:jc w:val="right"/>
              <w:rPr>
                <w:color w:val="000000"/>
                <w:shd w:val="clear" w:color="auto" w:fill="FFFFFF"/>
              </w:rPr>
            </w:pPr>
            <w:r w:rsidRPr="00054FBA">
              <w:rPr>
                <w:color w:val="000000"/>
                <w:shd w:val="clear" w:color="auto" w:fill="FFFFFF"/>
              </w:rPr>
              <w:t xml:space="preserve">of which, Hydrocarbon </w:t>
            </w:r>
          </w:p>
        </w:tc>
        <w:tc>
          <w:tcPr>
            <w:tcW w:w="930" w:type="dxa"/>
            <w:hideMark/>
          </w:tcPr>
          <w:p w14:paraId="304CC98E" w14:textId="77777777" w:rsidR="00F55638" w:rsidRPr="00054FBA" w:rsidRDefault="00F55638" w:rsidP="00142FD3">
            <w:pPr>
              <w:rPr>
                <w:color w:val="000000"/>
                <w:shd w:val="clear" w:color="auto" w:fill="FFFFFF"/>
              </w:rPr>
            </w:pPr>
            <w:r w:rsidRPr="00054FBA">
              <w:rPr>
                <w:color w:val="000000"/>
                <w:shd w:val="clear" w:color="auto" w:fill="FFFFFF"/>
              </w:rPr>
              <w:t>10,967</w:t>
            </w:r>
          </w:p>
        </w:tc>
        <w:tc>
          <w:tcPr>
            <w:tcW w:w="930" w:type="dxa"/>
            <w:hideMark/>
          </w:tcPr>
          <w:p w14:paraId="0CDD08C2" w14:textId="77777777" w:rsidR="00F55638" w:rsidRPr="00054FBA" w:rsidRDefault="00F55638" w:rsidP="00142FD3">
            <w:pPr>
              <w:rPr>
                <w:color w:val="000000"/>
                <w:shd w:val="clear" w:color="auto" w:fill="FFFFFF"/>
              </w:rPr>
            </w:pPr>
            <w:r w:rsidRPr="00054FBA">
              <w:rPr>
                <w:color w:val="000000"/>
                <w:shd w:val="clear" w:color="auto" w:fill="FFFFFF"/>
              </w:rPr>
              <w:t>11,450</w:t>
            </w:r>
          </w:p>
        </w:tc>
        <w:tc>
          <w:tcPr>
            <w:tcW w:w="1494" w:type="dxa"/>
            <w:hideMark/>
          </w:tcPr>
          <w:p w14:paraId="16A5A87C" w14:textId="77777777" w:rsidR="00F55638" w:rsidRPr="00054FBA" w:rsidRDefault="00F55638" w:rsidP="00142FD3">
            <w:pPr>
              <w:rPr>
                <w:color w:val="000000"/>
                <w:shd w:val="clear" w:color="auto" w:fill="FFFFFF"/>
              </w:rPr>
            </w:pPr>
            <w:r w:rsidRPr="00054FBA">
              <w:rPr>
                <w:color w:val="000000"/>
                <w:shd w:val="clear" w:color="auto" w:fill="FFFFFF"/>
              </w:rPr>
              <w:t>11,833</w:t>
            </w:r>
          </w:p>
        </w:tc>
        <w:tc>
          <w:tcPr>
            <w:tcW w:w="953" w:type="dxa"/>
            <w:noWrap/>
            <w:hideMark/>
          </w:tcPr>
          <w:p w14:paraId="6C3D64C0" w14:textId="77777777" w:rsidR="00F55638" w:rsidRPr="00054FBA" w:rsidRDefault="00F55638" w:rsidP="00142FD3">
            <w:pPr>
              <w:rPr>
                <w:color w:val="000000"/>
                <w:shd w:val="clear" w:color="auto" w:fill="FFFFFF"/>
              </w:rPr>
            </w:pPr>
            <w:r w:rsidRPr="00054FBA">
              <w:rPr>
                <w:color w:val="000000"/>
                <w:shd w:val="clear" w:color="auto" w:fill="FFFFFF"/>
              </w:rPr>
              <w:t>865</w:t>
            </w:r>
          </w:p>
        </w:tc>
        <w:tc>
          <w:tcPr>
            <w:tcW w:w="976" w:type="dxa"/>
            <w:noWrap/>
            <w:hideMark/>
          </w:tcPr>
          <w:p w14:paraId="0A4F1370" w14:textId="77777777" w:rsidR="00F55638" w:rsidRPr="00054FBA" w:rsidRDefault="00F55638" w:rsidP="00142FD3">
            <w:pPr>
              <w:rPr>
                <w:color w:val="000000"/>
                <w:shd w:val="clear" w:color="auto" w:fill="FFFFFF"/>
              </w:rPr>
            </w:pPr>
            <w:r w:rsidRPr="00054FBA">
              <w:rPr>
                <w:color w:val="000000"/>
                <w:shd w:val="clear" w:color="auto" w:fill="FFFFFF"/>
              </w:rPr>
              <w:t>8%</w:t>
            </w:r>
          </w:p>
        </w:tc>
      </w:tr>
      <w:tr w:rsidR="00F55638" w:rsidRPr="00054FBA" w14:paraId="789595C7" w14:textId="77777777" w:rsidTr="00142FD3">
        <w:trPr>
          <w:trHeight w:val="320"/>
        </w:trPr>
        <w:tc>
          <w:tcPr>
            <w:tcW w:w="3823" w:type="dxa"/>
            <w:hideMark/>
          </w:tcPr>
          <w:p w14:paraId="7B3714F6" w14:textId="77777777" w:rsidR="00F55638" w:rsidRPr="00054FBA" w:rsidRDefault="00F55638" w:rsidP="00142FD3">
            <w:pPr>
              <w:jc w:val="right"/>
              <w:rPr>
                <w:color w:val="000000"/>
                <w:shd w:val="clear" w:color="auto" w:fill="FFFFFF"/>
              </w:rPr>
            </w:pPr>
            <w:r w:rsidRPr="00054FBA">
              <w:rPr>
                <w:color w:val="000000"/>
                <w:shd w:val="clear" w:color="auto" w:fill="FFFFFF"/>
              </w:rPr>
              <w:t xml:space="preserve">of which, </w:t>
            </w:r>
            <w:proofErr w:type="gramStart"/>
            <w:r w:rsidRPr="00054FBA">
              <w:rPr>
                <w:color w:val="000000"/>
                <w:shd w:val="clear" w:color="auto" w:fill="FFFFFF"/>
              </w:rPr>
              <w:t>Bio-ethanol</w:t>
            </w:r>
            <w:proofErr w:type="gramEnd"/>
            <w:r w:rsidRPr="00054FBA">
              <w:rPr>
                <w:color w:val="000000"/>
                <w:shd w:val="clear" w:color="auto" w:fill="FFFFFF"/>
              </w:rPr>
              <w:t xml:space="preserve"> </w:t>
            </w:r>
          </w:p>
        </w:tc>
        <w:tc>
          <w:tcPr>
            <w:tcW w:w="930" w:type="dxa"/>
            <w:hideMark/>
          </w:tcPr>
          <w:p w14:paraId="0B2C1BBB" w14:textId="77777777" w:rsidR="00F55638" w:rsidRPr="00054FBA" w:rsidRDefault="00F55638" w:rsidP="00142FD3">
            <w:pPr>
              <w:rPr>
                <w:color w:val="000000"/>
                <w:shd w:val="clear" w:color="auto" w:fill="FFFFFF"/>
              </w:rPr>
            </w:pPr>
            <w:r w:rsidRPr="00054FBA">
              <w:rPr>
                <w:color w:val="000000"/>
                <w:shd w:val="clear" w:color="auto" w:fill="FFFFFF"/>
              </w:rPr>
              <w:t>1,037</w:t>
            </w:r>
          </w:p>
        </w:tc>
        <w:tc>
          <w:tcPr>
            <w:tcW w:w="930" w:type="dxa"/>
            <w:hideMark/>
          </w:tcPr>
          <w:p w14:paraId="363079E0" w14:textId="77777777" w:rsidR="00F55638" w:rsidRPr="00054FBA" w:rsidRDefault="00F55638" w:rsidP="00142FD3">
            <w:pPr>
              <w:rPr>
                <w:color w:val="000000"/>
                <w:shd w:val="clear" w:color="auto" w:fill="FFFFFF"/>
              </w:rPr>
            </w:pPr>
            <w:r w:rsidRPr="00054FBA">
              <w:rPr>
                <w:color w:val="000000"/>
                <w:shd w:val="clear" w:color="auto" w:fill="FFFFFF"/>
              </w:rPr>
              <w:t>1,158</w:t>
            </w:r>
          </w:p>
        </w:tc>
        <w:tc>
          <w:tcPr>
            <w:tcW w:w="1494" w:type="dxa"/>
            <w:hideMark/>
          </w:tcPr>
          <w:p w14:paraId="7CC04EE7" w14:textId="77777777" w:rsidR="00F55638" w:rsidRPr="00054FBA" w:rsidRDefault="00F55638" w:rsidP="00142FD3">
            <w:pPr>
              <w:rPr>
                <w:color w:val="000000"/>
                <w:shd w:val="clear" w:color="auto" w:fill="FFFFFF"/>
              </w:rPr>
            </w:pPr>
            <w:r w:rsidRPr="00054FBA">
              <w:rPr>
                <w:color w:val="000000"/>
                <w:shd w:val="clear" w:color="auto" w:fill="FFFFFF"/>
              </w:rPr>
              <w:t>1,362</w:t>
            </w:r>
          </w:p>
        </w:tc>
        <w:tc>
          <w:tcPr>
            <w:tcW w:w="953" w:type="dxa"/>
            <w:noWrap/>
            <w:hideMark/>
          </w:tcPr>
          <w:p w14:paraId="789FED86" w14:textId="77777777" w:rsidR="00F55638" w:rsidRPr="00054FBA" w:rsidRDefault="00F55638" w:rsidP="00142FD3">
            <w:pPr>
              <w:rPr>
                <w:color w:val="000000"/>
                <w:shd w:val="clear" w:color="auto" w:fill="FFFFFF"/>
              </w:rPr>
            </w:pPr>
            <w:r w:rsidRPr="00054FBA">
              <w:rPr>
                <w:color w:val="000000"/>
                <w:shd w:val="clear" w:color="auto" w:fill="FFFFFF"/>
              </w:rPr>
              <w:t>324</w:t>
            </w:r>
          </w:p>
        </w:tc>
        <w:tc>
          <w:tcPr>
            <w:tcW w:w="976" w:type="dxa"/>
            <w:noWrap/>
            <w:hideMark/>
          </w:tcPr>
          <w:p w14:paraId="2A682664" w14:textId="77777777" w:rsidR="00F55638" w:rsidRPr="00054FBA" w:rsidRDefault="00F55638" w:rsidP="00142FD3">
            <w:pPr>
              <w:rPr>
                <w:color w:val="000000"/>
                <w:shd w:val="clear" w:color="auto" w:fill="FFFFFF"/>
              </w:rPr>
            </w:pPr>
            <w:r w:rsidRPr="00054FBA">
              <w:rPr>
                <w:color w:val="000000"/>
                <w:shd w:val="clear" w:color="auto" w:fill="FFFFFF"/>
              </w:rPr>
              <w:t>31%</w:t>
            </w:r>
          </w:p>
        </w:tc>
      </w:tr>
      <w:tr w:rsidR="00F55638" w:rsidRPr="00054FBA" w14:paraId="17B12867" w14:textId="77777777" w:rsidTr="00142FD3">
        <w:trPr>
          <w:trHeight w:val="320"/>
        </w:trPr>
        <w:tc>
          <w:tcPr>
            <w:tcW w:w="3823" w:type="dxa"/>
            <w:hideMark/>
          </w:tcPr>
          <w:p w14:paraId="1D9FF020" w14:textId="77777777" w:rsidR="00F55638" w:rsidRPr="00054FBA" w:rsidRDefault="00F55638" w:rsidP="00142FD3">
            <w:pPr>
              <w:rPr>
                <w:color w:val="000000"/>
                <w:shd w:val="clear" w:color="auto" w:fill="FFFFFF"/>
              </w:rPr>
            </w:pPr>
            <w:r w:rsidRPr="00054FBA">
              <w:rPr>
                <w:color w:val="000000"/>
                <w:shd w:val="clear" w:color="auto" w:fill="FFFFFF"/>
              </w:rPr>
              <w:t xml:space="preserve">Total Motor Spirit including </w:t>
            </w:r>
            <w:proofErr w:type="gramStart"/>
            <w:r w:rsidRPr="00054FBA">
              <w:rPr>
                <w:color w:val="000000"/>
                <w:shd w:val="clear" w:color="auto" w:fill="FFFFFF"/>
              </w:rPr>
              <w:t>Bio-ethanol</w:t>
            </w:r>
            <w:proofErr w:type="gramEnd"/>
          </w:p>
        </w:tc>
        <w:tc>
          <w:tcPr>
            <w:tcW w:w="930" w:type="dxa"/>
            <w:hideMark/>
          </w:tcPr>
          <w:p w14:paraId="1BCBC6C8" w14:textId="77777777" w:rsidR="00F55638" w:rsidRPr="00054FBA" w:rsidRDefault="00F55638" w:rsidP="00142FD3">
            <w:pPr>
              <w:rPr>
                <w:color w:val="000000"/>
                <w:shd w:val="clear" w:color="auto" w:fill="FFFFFF"/>
              </w:rPr>
            </w:pPr>
            <w:r w:rsidRPr="00054FBA">
              <w:rPr>
                <w:color w:val="000000"/>
                <w:shd w:val="clear" w:color="auto" w:fill="FFFFFF"/>
              </w:rPr>
              <w:t>12,005</w:t>
            </w:r>
          </w:p>
        </w:tc>
        <w:tc>
          <w:tcPr>
            <w:tcW w:w="930" w:type="dxa"/>
            <w:hideMark/>
          </w:tcPr>
          <w:p w14:paraId="7395A13F" w14:textId="77777777" w:rsidR="00F55638" w:rsidRPr="00054FBA" w:rsidRDefault="00F55638" w:rsidP="00142FD3">
            <w:pPr>
              <w:rPr>
                <w:color w:val="000000"/>
                <w:shd w:val="clear" w:color="auto" w:fill="FFFFFF"/>
              </w:rPr>
            </w:pPr>
            <w:r w:rsidRPr="00054FBA">
              <w:rPr>
                <w:color w:val="000000"/>
                <w:shd w:val="clear" w:color="auto" w:fill="FFFFFF"/>
              </w:rPr>
              <w:t>12,608</w:t>
            </w:r>
          </w:p>
        </w:tc>
        <w:tc>
          <w:tcPr>
            <w:tcW w:w="1494" w:type="dxa"/>
            <w:hideMark/>
          </w:tcPr>
          <w:p w14:paraId="4E57EFBD" w14:textId="77777777" w:rsidR="00F55638" w:rsidRPr="00054FBA" w:rsidRDefault="00F55638" w:rsidP="00142FD3">
            <w:pPr>
              <w:rPr>
                <w:color w:val="000000"/>
                <w:shd w:val="clear" w:color="auto" w:fill="FFFFFF"/>
              </w:rPr>
            </w:pPr>
            <w:r w:rsidRPr="00054FBA">
              <w:rPr>
                <w:color w:val="000000"/>
                <w:shd w:val="clear" w:color="auto" w:fill="FFFFFF"/>
              </w:rPr>
              <w:t>13,194</w:t>
            </w:r>
          </w:p>
        </w:tc>
        <w:tc>
          <w:tcPr>
            <w:tcW w:w="953" w:type="dxa"/>
            <w:noWrap/>
            <w:hideMark/>
          </w:tcPr>
          <w:p w14:paraId="1E94F742" w14:textId="77777777" w:rsidR="00F55638" w:rsidRPr="00054FBA" w:rsidRDefault="00F55638" w:rsidP="00142FD3">
            <w:pPr>
              <w:rPr>
                <w:color w:val="000000"/>
                <w:shd w:val="clear" w:color="auto" w:fill="FFFFFF"/>
              </w:rPr>
            </w:pPr>
            <w:r w:rsidRPr="00054FBA">
              <w:rPr>
                <w:color w:val="000000"/>
                <w:shd w:val="clear" w:color="auto" w:fill="FFFFFF"/>
              </w:rPr>
              <w:t>1,190</w:t>
            </w:r>
          </w:p>
        </w:tc>
        <w:tc>
          <w:tcPr>
            <w:tcW w:w="976" w:type="dxa"/>
            <w:noWrap/>
            <w:hideMark/>
          </w:tcPr>
          <w:p w14:paraId="53DE7166" w14:textId="77777777" w:rsidR="00F55638" w:rsidRPr="00054FBA" w:rsidRDefault="00F55638" w:rsidP="00142FD3">
            <w:pPr>
              <w:rPr>
                <w:color w:val="000000"/>
                <w:shd w:val="clear" w:color="auto" w:fill="FFFFFF"/>
              </w:rPr>
            </w:pPr>
            <w:r w:rsidRPr="00054FBA">
              <w:rPr>
                <w:color w:val="000000"/>
                <w:shd w:val="clear" w:color="auto" w:fill="FFFFFF"/>
              </w:rPr>
              <w:t>10%</w:t>
            </w:r>
          </w:p>
        </w:tc>
      </w:tr>
      <w:tr w:rsidR="00F55638" w:rsidRPr="00054FBA" w14:paraId="3B256821" w14:textId="77777777" w:rsidTr="00142FD3">
        <w:trPr>
          <w:trHeight w:val="640"/>
        </w:trPr>
        <w:tc>
          <w:tcPr>
            <w:tcW w:w="3823" w:type="dxa"/>
            <w:hideMark/>
          </w:tcPr>
          <w:p w14:paraId="0267C2CD" w14:textId="77777777" w:rsidR="00F55638" w:rsidRPr="00054FBA" w:rsidRDefault="00F55638" w:rsidP="00142FD3">
            <w:pPr>
              <w:jc w:val="right"/>
              <w:rPr>
                <w:color w:val="000000"/>
                <w:shd w:val="clear" w:color="auto" w:fill="FFFFFF"/>
              </w:rPr>
            </w:pPr>
            <w:r w:rsidRPr="00054FBA">
              <w:rPr>
                <w:color w:val="000000"/>
                <w:shd w:val="clear" w:color="auto" w:fill="FFFFFF"/>
              </w:rPr>
              <w:t>of which, sold through Supermarkets</w:t>
            </w:r>
          </w:p>
        </w:tc>
        <w:tc>
          <w:tcPr>
            <w:tcW w:w="930" w:type="dxa"/>
            <w:hideMark/>
          </w:tcPr>
          <w:p w14:paraId="61A8DB9B" w14:textId="77777777" w:rsidR="00F55638" w:rsidRPr="00054FBA" w:rsidRDefault="00F55638" w:rsidP="00142FD3">
            <w:pPr>
              <w:rPr>
                <w:color w:val="000000"/>
                <w:shd w:val="clear" w:color="auto" w:fill="FFFFFF"/>
              </w:rPr>
            </w:pPr>
            <w:r w:rsidRPr="00054FBA">
              <w:rPr>
                <w:color w:val="000000"/>
                <w:shd w:val="clear" w:color="auto" w:fill="FFFFFF"/>
              </w:rPr>
              <w:t>5,370</w:t>
            </w:r>
          </w:p>
        </w:tc>
        <w:tc>
          <w:tcPr>
            <w:tcW w:w="930" w:type="dxa"/>
            <w:hideMark/>
          </w:tcPr>
          <w:p w14:paraId="25FDBECD" w14:textId="77777777" w:rsidR="00F55638" w:rsidRPr="00054FBA" w:rsidRDefault="00F55638" w:rsidP="00142FD3">
            <w:pPr>
              <w:rPr>
                <w:color w:val="000000"/>
                <w:shd w:val="clear" w:color="auto" w:fill="FFFFFF"/>
              </w:rPr>
            </w:pPr>
            <w:r w:rsidRPr="00054FBA">
              <w:rPr>
                <w:color w:val="000000"/>
                <w:shd w:val="clear" w:color="auto" w:fill="FFFFFF"/>
              </w:rPr>
              <w:t>5,297</w:t>
            </w:r>
          </w:p>
        </w:tc>
        <w:tc>
          <w:tcPr>
            <w:tcW w:w="1494" w:type="dxa"/>
            <w:hideMark/>
          </w:tcPr>
          <w:p w14:paraId="128D81C3" w14:textId="77777777" w:rsidR="00F55638" w:rsidRPr="00054FBA" w:rsidRDefault="00F55638" w:rsidP="00142FD3">
            <w:pPr>
              <w:rPr>
                <w:color w:val="000000"/>
                <w:shd w:val="clear" w:color="auto" w:fill="FFFFFF"/>
              </w:rPr>
            </w:pPr>
            <w:r w:rsidRPr="00054FBA">
              <w:rPr>
                <w:color w:val="000000"/>
                <w:shd w:val="clear" w:color="auto" w:fill="FFFFFF"/>
              </w:rPr>
              <w:t>5,461</w:t>
            </w:r>
          </w:p>
        </w:tc>
        <w:tc>
          <w:tcPr>
            <w:tcW w:w="953" w:type="dxa"/>
            <w:noWrap/>
            <w:hideMark/>
          </w:tcPr>
          <w:p w14:paraId="59B7CDA9" w14:textId="77777777" w:rsidR="00F55638" w:rsidRPr="00054FBA" w:rsidRDefault="00F55638" w:rsidP="00142FD3">
            <w:pPr>
              <w:rPr>
                <w:color w:val="000000"/>
                <w:shd w:val="clear" w:color="auto" w:fill="FFFFFF"/>
              </w:rPr>
            </w:pPr>
            <w:r w:rsidRPr="00054FBA">
              <w:rPr>
                <w:color w:val="000000"/>
                <w:shd w:val="clear" w:color="auto" w:fill="FFFFFF"/>
              </w:rPr>
              <w:t>91</w:t>
            </w:r>
          </w:p>
        </w:tc>
        <w:tc>
          <w:tcPr>
            <w:tcW w:w="976" w:type="dxa"/>
            <w:noWrap/>
            <w:hideMark/>
          </w:tcPr>
          <w:p w14:paraId="7B59B298" w14:textId="77777777" w:rsidR="00F55638" w:rsidRPr="00054FBA" w:rsidRDefault="00F55638" w:rsidP="00142FD3">
            <w:pPr>
              <w:rPr>
                <w:color w:val="000000"/>
                <w:shd w:val="clear" w:color="auto" w:fill="FFFFFF"/>
              </w:rPr>
            </w:pPr>
            <w:r w:rsidRPr="00054FBA">
              <w:rPr>
                <w:color w:val="000000"/>
                <w:shd w:val="clear" w:color="auto" w:fill="FFFFFF"/>
              </w:rPr>
              <w:t>2%</w:t>
            </w:r>
          </w:p>
        </w:tc>
      </w:tr>
      <w:tr w:rsidR="00F55638" w:rsidRPr="00054FBA" w14:paraId="637FCCF4" w14:textId="77777777" w:rsidTr="00142FD3">
        <w:trPr>
          <w:trHeight w:val="320"/>
        </w:trPr>
        <w:tc>
          <w:tcPr>
            <w:tcW w:w="3823" w:type="dxa"/>
            <w:hideMark/>
          </w:tcPr>
          <w:p w14:paraId="25189E05" w14:textId="77777777" w:rsidR="00F55638" w:rsidRPr="00054FBA" w:rsidRDefault="00F55638" w:rsidP="00142FD3">
            <w:pPr>
              <w:rPr>
                <w:b/>
                <w:bCs/>
                <w:color w:val="000000"/>
                <w:shd w:val="clear" w:color="auto" w:fill="FFFFFF"/>
              </w:rPr>
            </w:pPr>
            <w:r w:rsidRPr="00054FBA">
              <w:rPr>
                <w:b/>
                <w:bCs/>
                <w:color w:val="000000"/>
                <w:shd w:val="clear" w:color="auto" w:fill="FFFFFF"/>
              </w:rPr>
              <w:t>Diesel Road Fuel</w:t>
            </w:r>
          </w:p>
        </w:tc>
        <w:tc>
          <w:tcPr>
            <w:tcW w:w="930" w:type="dxa"/>
            <w:hideMark/>
          </w:tcPr>
          <w:p w14:paraId="3C72EC1A" w14:textId="77777777" w:rsidR="00F55638" w:rsidRPr="00054FBA" w:rsidRDefault="00F55638" w:rsidP="00142FD3">
            <w:pPr>
              <w:rPr>
                <w:color w:val="000000"/>
                <w:shd w:val="clear" w:color="auto" w:fill="FFFFFF"/>
              </w:rPr>
            </w:pPr>
          </w:p>
        </w:tc>
        <w:tc>
          <w:tcPr>
            <w:tcW w:w="930" w:type="dxa"/>
            <w:hideMark/>
          </w:tcPr>
          <w:p w14:paraId="1FD86376" w14:textId="77777777" w:rsidR="00F55638" w:rsidRPr="00054FBA" w:rsidRDefault="00F55638" w:rsidP="00142FD3">
            <w:pPr>
              <w:rPr>
                <w:color w:val="000000"/>
                <w:shd w:val="clear" w:color="auto" w:fill="FFFFFF"/>
              </w:rPr>
            </w:pPr>
          </w:p>
        </w:tc>
        <w:tc>
          <w:tcPr>
            <w:tcW w:w="1494" w:type="dxa"/>
            <w:hideMark/>
          </w:tcPr>
          <w:p w14:paraId="4B6C5A51" w14:textId="77777777" w:rsidR="00F55638" w:rsidRPr="00054FBA" w:rsidRDefault="00F55638" w:rsidP="00142FD3">
            <w:pPr>
              <w:rPr>
                <w:color w:val="000000"/>
                <w:shd w:val="clear" w:color="auto" w:fill="FFFFFF"/>
              </w:rPr>
            </w:pPr>
            <w:r w:rsidRPr="00054FBA">
              <w:rPr>
                <w:color w:val="000000"/>
                <w:shd w:val="clear" w:color="auto" w:fill="FFFFFF"/>
              </w:rPr>
              <w:t> </w:t>
            </w:r>
          </w:p>
        </w:tc>
        <w:tc>
          <w:tcPr>
            <w:tcW w:w="953" w:type="dxa"/>
            <w:noWrap/>
            <w:hideMark/>
          </w:tcPr>
          <w:p w14:paraId="16D1B4F6" w14:textId="77777777" w:rsidR="00F55638" w:rsidRPr="00054FBA" w:rsidRDefault="00F55638" w:rsidP="00142FD3">
            <w:pPr>
              <w:rPr>
                <w:color w:val="000000"/>
                <w:shd w:val="clear" w:color="auto" w:fill="FFFFFF"/>
              </w:rPr>
            </w:pPr>
          </w:p>
        </w:tc>
        <w:tc>
          <w:tcPr>
            <w:tcW w:w="976" w:type="dxa"/>
            <w:noWrap/>
            <w:hideMark/>
          </w:tcPr>
          <w:p w14:paraId="06180B8D" w14:textId="77777777" w:rsidR="00F55638" w:rsidRPr="00054FBA" w:rsidRDefault="00F55638" w:rsidP="00142FD3">
            <w:pPr>
              <w:rPr>
                <w:color w:val="000000"/>
                <w:shd w:val="clear" w:color="auto" w:fill="FFFFFF"/>
              </w:rPr>
            </w:pPr>
          </w:p>
        </w:tc>
      </w:tr>
      <w:tr w:rsidR="00F55638" w:rsidRPr="00054FBA" w14:paraId="7ED34647" w14:textId="77777777" w:rsidTr="00142FD3">
        <w:trPr>
          <w:trHeight w:val="320"/>
        </w:trPr>
        <w:tc>
          <w:tcPr>
            <w:tcW w:w="3823" w:type="dxa"/>
            <w:hideMark/>
          </w:tcPr>
          <w:p w14:paraId="38E69757" w14:textId="77777777" w:rsidR="00F55638" w:rsidRPr="00054FBA" w:rsidRDefault="00F55638" w:rsidP="00142FD3">
            <w:pPr>
              <w:jc w:val="right"/>
              <w:rPr>
                <w:color w:val="000000"/>
                <w:shd w:val="clear" w:color="auto" w:fill="FFFFFF"/>
              </w:rPr>
            </w:pPr>
            <w:r w:rsidRPr="00054FBA">
              <w:rPr>
                <w:color w:val="000000"/>
                <w:shd w:val="clear" w:color="auto" w:fill="FFFFFF"/>
              </w:rPr>
              <w:t>of which, Hydrocarbon</w:t>
            </w:r>
          </w:p>
        </w:tc>
        <w:tc>
          <w:tcPr>
            <w:tcW w:w="930" w:type="dxa"/>
            <w:hideMark/>
          </w:tcPr>
          <w:p w14:paraId="0148B143" w14:textId="77777777" w:rsidR="00F55638" w:rsidRPr="00054FBA" w:rsidRDefault="00F55638" w:rsidP="00142FD3">
            <w:pPr>
              <w:rPr>
                <w:color w:val="000000"/>
                <w:shd w:val="clear" w:color="auto" w:fill="FFFFFF"/>
              </w:rPr>
            </w:pPr>
            <w:r w:rsidRPr="00054FBA">
              <w:rPr>
                <w:color w:val="000000"/>
                <w:shd w:val="clear" w:color="auto" w:fill="FFFFFF"/>
              </w:rPr>
              <w:t>21,258</w:t>
            </w:r>
          </w:p>
        </w:tc>
        <w:tc>
          <w:tcPr>
            <w:tcW w:w="930" w:type="dxa"/>
            <w:hideMark/>
          </w:tcPr>
          <w:p w14:paraId="5CC503D9" w14:textId="77777777" w:rsidR="00F55638" w:rsidRPr="00054FBA" w:rsidRDefault="00F55638" w:rsidP="00142FD3">
            <w:pPr>
              <w:rPr>
                <w:color w:val="000000"/>
                <w:shd w:val="clear" w:color="auto" w:fill="FFFFFF"/>
              </w:rPr>
            </w:pPr>
            <w:r w:rsidRPr="00054FBA">
              <w:rPr>
                <w:color w:val="000000"/>
                <w:shd w:val="clear" w:color="auto" w:fill="FFFFFF"/>
              </w:rPr>
              <w:t>20,372</w:t>
            </w:r>
          </w:p>
        </w:tc>
        <w:tc>
          <w:tcPr>
            <w:tcW w:w="1494" w:type="dxa"/>
            <w:hideMark/>
          </w:tcPr>
          <w:p w14:paraId="0D3171A1" w14:textId="77777777" w:rsidR="00F55638" w:rsidRPr="00054FBA" w:rsidRDefault="00F55638" w:rsidP="00142FD3">
            <w:pPr>
              <w:rPr>
                <w:color w:val="000000"/>
                <w:shd w:val="clear" w:color="auto" w:fill="FFFFFF"/>
              </w:rPr>
            </w:pPr>
            <w:r w:rsidRPr="00054FBA">
              <w:rPr>
                <w:color w:val="000000"/>
                <w:shd w:val="clear" w:color="auto" w:fill="FFFFFF"/>
              </w:rPr>
              <w:t>19,366</w:t>
            </w:r>
          </w:p>
        </w:tc>
        <w:tc>
          <w:tcPr>
            <w:tcW w:w="953" w:type="dxa"/>
            <w:noWrap/>
            <w:hideMark/>
          </w:tcPr>
          <w:p w14:paraId="3CE0EB9B" w14:textId="77777777" w:rsidR="00F55638" w:rsidRPr="00054FBA" w:rsidRDefault="00F55638" w:rsidP="00142FD3">
            <w:pPr>
              <w:rPr>
                <w:color w:val="000000"/>
                <w:shd w:val="clear" w:color="auto" w:fill="FFFFFF"/>
              </w:rPr>
            </w:pPr>
            <w:r w:rsidRPr="00054FBA">
              <w:rPr>
                <w:color w:val="000000"/>
                <w:shd w:val="clear" w:color="auto" w:fill="FFFFFF"/>
              </w:rPr>
              <w:t>-1,892</w:t>
            </w:r>
          </w:p>
        </w:tc>
        <w:tc>
          <w:tcPr>
            <w:tcW w:w="976" w:type="dxa"/>
            <w:noWrap/>
            <w:hideMark/>
          </w:tcPr>
          <w:p w14:paraId="1BBB630A" w14:textId="77777777" w:rsidR="00F55638" w:rsidRPr="00054FBA" w:rsidRDefault="00F55638" w:rsidP="00142FD3">
            <w:pPr>
              <w:rPr>
                <w:color w:val="000000"/>
                <w:shd w:val="clear" w:color="auto" w:fill="FFFFFF"/>
              </w:rPr>
            </w:pPr>
            <w:r w:rsidRPr="00054FBA">
              <w:rPr>
                <w:color w:val="000000"/>
                <w:shd w:val="clear" w:color="auto" w:fill="FFFFFF"/>
              </w:rPr>
              <w:t>-9%</w:t>
            </w:r>
          </w:p>
        </w:tc>
      </w:tr>
      <w:tr w:rsidR="00F55638" w:rsidRPr="00054FBA" w14:paraId="4513C6AD" w14:textId="77777777" w:rsidTr="00142FD3">
        <w:trPr>
          <w:trHeight w:val="320"/>
        </w:trPr>
        <w:tc>
          <w:tcPr>
            <w:tcW w:w="3823" w:type="dxa"/>
            <w:hideMark/>
          </w:tcPr>
          <w:p w14:paraId="0A3C1539" w14:textId="77777777" w:rsidR="00F55638" w:rsidRPr="00054FBA" w:rsidRDefault="00F55638" w:rsidP="00142FD3">
            <w:pPr>
              <w:jc w:val="right"/>
              <w:rPr>
                <w:color w:val="000000"/>
                <w:shd w:val="clear" w:color="auto" w:fill="FFFFFF"/>
              </w:rPr>
            </w:pPr>
            <w:r w:rsidRPr="00054FBA">
              <w:rPr>
                <w:color w:val="000000"/>
                <w:shd w:val="clear" w:color="auto" w:fill="FFFFFF"/>
              </w:rPr>
              <w:t xml:space="preserve">of which, </w:t>
            </w:r>
            <w:proofErr w:type="gramStart"/>
            <w:r w:rsidRPr="00054FBA">
              <w:rPr>
                <w:color w:val="000000"/>
                <w:shd w:val="clear" w:color="auto" w:fill="FFFFFF"/>
              </w:rPr>
              <w:t>Bio-diesel</w:t>
            </w:r>
            <w:proofErr w:type="gramEnd"/>
          </w:p>
        </w:tc>
        <w:tc>
          <w:tcPr>
            <w:tcW w:w="930" w:type="dxa"/>
            <w:hideMark/>
          </w:tcPr>
          <w:p w14:paraId="3E06CFE6" w14:textId="77777777" w:rsidR="00F55638" w:rsidRPr="00054FBA" w:rsidRDefault="00F55638" w:rsidP="00142FD3">
            <w:pPr>
              <w:rPr>
                <w:color w:val="000000"/>
                <w:shd w:val="clear" w:color="auto" w:fill="FFFFFF"/>
              </w:rPr>
            </w:pPr>
            <w:r w:rsidRPr="00054FBA">
              <w:rPr>
                <w:color w:val="000000"/>
                <w:shd w:val="clear" w:color="auto" w:fill="FFFFFF"/>
              </w:rPr>
              <w:t>1,488</w:t>
            </w:r>
          </w:p>
        </w:tc>
        <w:tc>
          <w:tcPr>
            <w:tcW w:w="930" w:type="dxa"/>
            <w:hideMark/>
          </w:tcPr>
          <w:p w14:paraId="26627A21" w14:textId="77777777" w:rsidR="00F55638" w:rsidRPr="00054FBA" w:rsidRDefault="00F55638" w:rsidP="00142FD3">
            <w:pPr>
              <w:rPr>
                <w:color w:val="000000"/>
                <w:shd w:val="clear" w:color="auto" w:fill="FFFFFF"/>
              </w:rPr>
            </w:pPr>
            <w:r w:rsidRPr="00054FBA">
              <w:rPr>
                <w:color w:val="000000"/>
                <w:shd w:val="clear" w:color="auto" w:fill="FFFFFF"/>
              </w:rPr>
              <w:t>1,756</w:t>
            </w:r>
          </w:p>
        </w:tc>
        <w:tc>
          <w:tcPr>
            <w:tcW w:w="1494" w:type="dxa"/>
            <w:hideMark/>
          </w:tcPr>
          <w:p w14:paraId="2AF41A15" w14:textId="77777777" w:rsidR="00F55638" w:rsidRPr="00054FBA" w:rsidRDefault="00F55638" w:rsidP="00142FD3">
            <w:pPr>
              <w:rPr>
                <w:color w:val="000000"/>
                <w:shd w:val="clear" w:color="auto" w:fill="FFFFFF"/>
              </w:rPr>
            </w:pPr>
            <w:r w:rsidRPr="00054FBA">
              <w:rPr>
                <w:color w:val="000000"/>
                <w:shd w:val="clear" w:color="auto" w:fill="FFFFFF"/>
              </w:rPr>
              <w:t>1,709</w:t>
            </w:r>
          </w:p>
        </w:tc>
        <w:tc>
          <w:tcPr>
            <w:tcW w:w="953" w:type="dxa"/>
            <w:noWrap/>
            <w:hideMark/>
          </w:tcPr>
          <w:p w14:paraId="71996627" w14:textId="77777777" w:rsidR="00F55638" w:rsidRPr="00054FBA" w:rsidRDefault="00F55638" w:rsidP="00142FD3">
            <w:pPr>
              <w:rPr>
                <w:color w:val="000000"/>
                <w:shd w:val="clear" w:color="auto" w:fill="FFFFFF"/>
              </w:rPr>
            </w:pPr>
            <w:r w:rsidRPr="00054FBA">
              <w:rPr>
                <w:color w:val="000000"/>
                <w:shd w:val="clear" w:color="auto" w:fill="FFFFFF"/>
              </w:rPr>
              <w:t>221</w:t>
            </w:r>
          </w:p>
        </w:tc>
        <w:tc>
          <w:tcPr>
            <w:tcW w:w="976" w:type="dxa"/>
            <w:noWrap/>
            <w:hideMark/>
          </w:tcPr>
          <w:p w14:paraId="24F0CDCC" w14:textId="77777777" w:rsidR="00F55638" w:rsidRPr="00054FBA" w:rsidRDefault="00F55638" w:rsidP="00142FD3">
            <w:pPr>
              <w:rPr>
                <w:color w:val="000000"/>
                <w:shd w:val="clear" w:color="auto" w:fill="FFFFFF"/>
              </w:rPr>
            </w:pPr>
            <w:r w:rsidRPr="00054FBA">
              <w:rPr>
                <w:color w:val="000000"/>
                <w:shd w:val="clear" w:color="auto" w:fill="FFFFFF"/>
              </w:rPr>
              <w:t>15%</w:t>
            </w:r>
          </w:p>
        </w:tc>
      </w:tr>
      <w:tr w:rsidR="00F55638" w:rsidRPr="00054FBA" w14:paraId="1801CD3A" w14:textId="77777777" w:rsidTr="00142FD3">
        <w:trPr>
          <w:trHeight w:val="320"/>
        </w:trPr>
        <w:tc>
          <w:tcPr>
            <w:tcW w:w="3823" w:type="dxa"/>
            <w:hideMark/>
          </w:tcPr>
          <w:p w14:paraId="22B9C433" w14:textId="77777777" w:rsidR="00F55638" w:rsidRPr="00054FBA" w:rsidRDefault="00F55638" w:rsidP="00142FD3">
            <w:pPr>
              <w:rPr>
                <w:color w:val="000000"/>
                <w:shd w:val="clear" w:color="auto" w:fill="FFFFFF"/>
              </w:rPr>
            </w:pPr>
            <w:r w:rsidRPr="00054FBA">
              <w:rPr>
                <w:color w:val="000000"/>
                <w:shd w:val="clear" w:color="auto" w:fill="FFFFFF"/>
              </w:rPr>
              <w:t xml:space="preserve">Total Diesel Road Fuel including </w:t>
            </w:r>
            <w:proofErr w:type="gramStart"/>
            <w:r w:rsidRPr="00054FBA">
              <w:rPr>
                <w:color w:val="000000"/>
                <w:shd w:val="clear" w:color="auto" w:fill="FFFFFF"/>
              </w:rPr>
              <w:t>Bio-diesel</w:t>
            </w:r>
            <w:proofErr w:type="gramEnd"/>
          </w:p>
        </w:tc>
        <w:tc>
          <w:tcPr>
            <w:tcW w:w="930" w:type="dxa"/>
            <w:hideMark/>
          </w:tcPr>
          <w:p w14:paraId="4BA89AD7" w14:textId="77777777" w:rsidR="00F55638" w:rsidRPr="00054FBA" w:rsidRDefault="00F55638" w:rsidP="00142FD3">
            <w:pPr>
              <w:rPr>
                <w:color w:val="000000"/>
                <w:shd w:val="clear" w:color="auto" w:fill="FFFFFF"/>
              </w:rPr>
            </w:pPr>
            <w:r w:rsidRPr="00054FBA">
              <w:rPr>
                <w:color w:val="000000"/>
                <w:shd w:val="clear" w:color="auto" w:fill="FFFFFF"/>
              </w:rPr>
              <w:t>22,746</w:t>
            </w:r>
          </w:p>
        </w:tc>
        <w:tc>
          <w:tcPr>
            <w:tcW w:w="930" w:type="dxa"/>
            <w:hideMark/>
          </w:tcPr>
          <w:p w14:paraId="1E48FA6E" w14:textId="77777777" w:rsidR="00F55638" w:rsidRPr="00054FBA" w:rsidRDefault="00F55638" w:rsidP="00142FD3">
            <w:pPr>
              <w:rPr>
                <w:color w:val="000000"/>
                <w:shd w:val="clear" w:color="auto" w:fill="FFFFFF"/>
              </w:rPr>
            </w:pPr>
            <w:r w:rsidRPr="00054FBA">
              <w:rPr>
                <w:color w:val="000000"/>
                <w:shd w:val="clear" w:color="auto" w:fill="FFFFFF"/>
              </w:rPr>
              <w:t>22,128</w:t>
            </w:r>
          </w:p>
        </w:tc>
        <w:tc>
          <w:tcPr>
            <w:tcW w:w="1494" w:type="dxa"/>
            <w:hideMark/>
          </w:tcPr>
          <w:p w14:paraId="70BC1D02" w14:textId="77777777" w:rsidR="00F55638" w:rsidRPr="00054FBA" w:rsidRDefault="00F55638" w:rsidP="00142FD3">
            <w:pPr>
              <w:rPr>
                <w:color w:val="000000"/>
                <w:shd w:val="clear" w:color="auto" w:fill="FFFFFF"/>
              </w:rPr>
            </w:pPr>
            <w:r w:rsidRPr="00054FBA">
              <w:rPr>
                <w:color w:val="000000"/>
                <w:shd w:val="clear" w:color="auto" w:fill="FFFFFF"/>
              </w:rPr>
              <w:t>21,075</w:t>
            </w:r>
          </w:p>
        </w:tc>
        <w:tc>
          <w:tcPr>
            <w:tcW w:w="953" w:type="dxa"/>
            <w:noWrap/>
            <w:hideMark/>
          </w:tcPr>
          <w:p w14:paraId="7BB1C7C4" w14:textId="77777777" w:rsidR="00F55638" w:rsidRPr="00054FBA" w:rsidRDefault="00F55638" w:rsidP="00142FD3">
            <w:pPr>
              <w:rPr>
                <w:color w:val="000000"/>
                <w:shd w:val="clear" w:color="auto" w:fill="FFFFFF"/>
              </w:rPr>
            </w:pPr>
            <w:r w:rsidRPr="00054FBA">
              <w:rPr>
                <w:color w:val="000000"/>
                <w:shd w:val="clear" w:color="auto" w:fill="FFFFFF"/>
              </w:rPr>
              <w:t>-1,671</w:t>
            </w:r>
          </w:p>
        </w:tc>
        <w:tc>
          <w:tcPr>
            <w:tcW w:w="976" w:type="dxa"/>
            <w:noWrap/>
            <w:hideMark/>
          </w:tcPr>
          <w:p w14:paraId="6E4995B9" w14:textId="77777777" w:rsidR="00F55638" w:rsidRPr="00054FBA" w:rsidRDefault="00F55638" w:rsidP="00142FD3">
            <w:pPr>
              <w:rPr>
                <w:color w:val="000000"/>
                <w:shd w:val="clear" w:color="auto" w:fill="FFFFFF"/>
              </w:rPr>
            </w:pPr>
            <w:r w:rsidRPr="00054FBA">
              <w:rPr>
                <w:color w:val="000000"/>
                <w:shd w:val="clear" w:color="auto" w:fill="FFFFFF"/>
              </w:rPr>
              <w:t>-7%</w:t>
            </w:r>
          </w:p>
        </w:tc>
      </w:tr>
      <w:tr w:rsidR="00F55638" w:rsidRPr="00054FBA" w14:paraId="4A4B5CB5" w14:textId="77777777" w:rsidTr="00142FD3">
        <w:trPr>
          <w:trHeight w:val="640"/>
        </w:trPr>
        <w:tc>
          <w:tcPr>
            <w:tcW w:w="3823" w:type="dxa"/>
            <w:hideMark/>
          </w:tcPr>
          <w:p w14:paraId="182AD6A8" w14:textId="77777777" w:rsidR="00F55638" w:rsidRPr="00054FBA" w:rsidRDefault="00F55638" w:rsidP="00142FD3">
            <w:pPr>
              <w:jc w:val="right"/>
              <w:rPr>
                <w:color w:val="000000"/>
                <w:shd w:val="clear" w:color="auto" w:fill="FFFFFF"/>
              </w:rPr>
            </w:pPr>
            <w:r w:rsidRPr="00054FBA">
              <w:rPr>
                <w:color w:val="000000"/>
                <w:shd w:val="clear" w:color="auto" w:fill="FFFFFF"/>
              </w:rPr>
              <w:t>of which, sold through</w:t>
            </w:r>
            <w:r>
              <w:rPr>
                <w:color w:val="000000"/>
                <w:shd w:val="clear" w:color="auto" w:fill="FFFFFF"/>
              </w:rPr>
              <w:t xml:space="preserve"> s</w:t>
            </w:r>
            <w:r w:rsidRPr="00054FBA">
              <w:rPr>
                <w:color w:val="000000"/>
                <w:shd w:val="clear" w:color="auto" w:fill="FFFFFF"/>
              </w:rPr>
              <w:t xml:space="preserve">upermarkets </w:t>
            </w:r>
          </w:p>
        </w:tc>
        <w:tc>
          <w:tcPr>
            <w:tcW w:w="930" w:type="dxa"/>
            <w:hideMark/>
          </w:tcPr>
          <w:p w14:paraId="3E79A16E" w14:textId="77777777" w:rsidR="00F55638" w:rsidRPr="00054FBA" w:rsidRDefault="00F55638" w:rsidP="00142FD3">
            <w:pPr>
              <w:rPr>
                <w:color w:val="000000"/>
                <w:shd w:val="clear" w:color="auto" w:fill="FFFFFF"/>
              </w:rPr>
            </w:pPr>
            <w:r w:rsidRPr="00054FBA">
              <w:rPr>
                <w:color w:val="000000"/>
                <w:shd w:val="clear" w:color="auto" w:fill="FFFFFF"/>
              </w:rPr>
              <w:t>6,352</w:t>
            </w:r>
          </w:p>
        </w:tc>
        <w:tc>
          <w:tcPr>
            <w:tcW w:w="930" w:type="dxa"/>
            <w:hideMark/>
          </w:tcPr>
          <w:p w14:paraId="5B32CDDA" w14:textId="77777777" w:rsidR="00F55638" w:rsidRPr="00054FBA" w:rsidRDefault="00F55638" w:rsidP="00142FD3">
            <w:pPr>
              <w:rPr>
                <w:color w:val="000000"/>
                <w:shd w:val="clear" w:color="auto" w:fill="FFFFFF"/>
              </w:rPr>
            </w:pPr>
            <w:r w:rsidRPr="00054FBA">
              <w:rPr>
                <w:color w:val="000000"/>
                <w:shd w:val="clear" w:color="auto" w:fill="FFFFFF"/>
              </w:rPr>
              <w:t>5,679</w:t>
            </w:r>
          </w:p>
        </w:tc>
        <w:tc>
          <w:tcPr>
            <w:tcW w:w="1494" w:type="dxa"/>
            <w:hideMark/>
          </w:tcPr>
          <w:p w14:paraId="47101CAE" w14:textId="77777777" w:rsidR="00F55638" w:rsidRPr="00054FBA" w:rsidRDefault="00F55638" w:rsidP="00142FD3">
            <w:pPr>
              <w:rPr>
                <w:color w:val="000000"/>
                <w:shd w:val="clear" w:color="auto" w:fill="FFFFFF"/>
              </w:rPr>
            </w:pPr>
            <w:r w:rsidRPr="00054FBA">
              <w:rPr>
                <w:color w:val="000000"/>
                <w:shd w:val="clear" w:color="auto" w:fill="FFFFFF"/>
              </w:rPr>
              <w:t>5,037</w:t>
            </w:r>
          </w:p>
        </w:tc>
        <w:tc>
          <w:tcPr>
            <w:tcW w:w="953" w:type="dxa"/>
            <w:noWrap/>
            <w:hideMark/>
          </w:tcPr>
          <w:p w14:paraId="50291C0C" w14:textId="77777777" w:rsidR="00F55638" w:rsidRPr="00054FBA" w:rsidRDefault="00F55638" w:rsidP="00142FD3">
            <w:pPr>
              <w:rPr>
                <w:color w:val="000000"/>
                <w:shd w:val="clear" w:color="auto" w:fill="FFFFFF"/>
              </w:rPr>
            </w:pPr>
            <w:r w:rsidRPr="00054FBA">
              <w:rPr>
                <w:color w:val="000000"/>
                <w:shd w:val="clear" w:color="auto" w:fill="FFFFFF"/>
              </w:rPr>
              <w:t>-1,315</w:t>
            </w:r>
          </w:p>
        </w:tc>
        <w:tc>
          <w:tcPr>
            <w:tcW w:w="976" w:type="dxa"/>
            <w:noWrap/>
            <w:hideMark/>
          </w:tcPr>
          <w:p w14:paraId="5425D438" w14:textId="77777777" w:rsidR="00F55638" w:rsidRPr="00054FBA" w:rsidRDefault="00F55638" w:rsidP="00142FD3">
            <w:pPr>
              <w:rPr>
                <w:color w:val="000000"/>
                <w:shd w:val="clear" w:color="auto" w:fill="FFFFFF"/>
              </w:rPr>
            </w:pPr>
            <w:r w:rsidRPr="00054FBA">
              <w:rPr>
                <w:color w:val="000000"/>
                <w:shd w:val="clear" w:color="auto" w:fill="FFFFFF"/>
              </w:rPr>
              <w:t>-21%</w:t>
            </w:r>
          </w:p>
        </w:tc>
      </w:tr>
    </w:tbl>
    <w:tbl>
      <w:tblPr>
        <w:tblW w:w="9087" w:type="dxa"/>
        <w:tblInd w:w="-15" w:type="dxa"/>
        <w:tblLook w:val="04A0" w:firstRow="1" w:lastRow="0" w:firstColumn="1" w:lastColumn="0" w:noHBand="0" w:noVBand="1"/>
      </w:tblPr>
      <w:tblGrid>
        <w:gridCol w:w="9087"/>
      </w:tblGrid>
      <w:tr w:rsidR="00F55638" w:rsidRPr="00054FBA" w14:paraId="4EB31881" w14:textId="77777777" w:rsidTr="00142FD3">
        <w:trPr>
          <w:trHeight w:val="470"/>
        </w:trPr>
        <w:tc>
          <w:tcPr>
            <w:tcW w:w="9087" w:type="dxa"/>
            <w:tcBorders>
              <w:top w:val="nil"/>
              <w:left w:val="nil"/>
              <w:bottom w:val="nil"/>
              <w:right w:val="nil"/>
            </w:tcBorders>
            <w:shd w:val="clear" w:color="auto" w:fill="auto"/>
            <w:noWrap/>
            <w:vAlign w:val="center"/>
            <w:hideMark/>
          </w:tcPr>
          <w:p w14:paraId="483068F7" w14:textId="77777777" w:rsidR="00F55638" w:rsidRDefault="00F55638" w:rsidP="00142FD3">
            <w:pPr>
              <w:rPr>
                <w:rFonts w:eastAsia="Times New Roman" w:cs="Calibri"/>
                <w:b/>
                <w:bCs/>
                <w:lang w:eastAsia="en-GB"/>
              </w:rPr>
            </w:pPr>
            <w:bookmarkStart w:id="25" w:name="RANGE!A1"/>
          </w:p>
          <w:p w14:paraId="0437A413" w14:textId="77777777" w:rsidR="00F55638" w:rsidRPr="00054FBA" w:rsidRDefault="00F55638" w:rsidP="00142FD3">
            <w:pPr>
              <w:rPr>
                <w:rFonts w:eastAsia="Times New Roman" w:cs="Calibri"/>
                <w:lang w:eastAsia="en-GB"/>
              </w:rPr>
            </w:pPr>
            <w:r w:rsidRPr="00054FBA">
              <w:rPr>
                <w:rFonts w:eastAsia="Times New Roman" w:cs="Calibri"/>
                <w:lang w:eastAsia="en-GB"/>
              </w:rPr>
              <w:t xml:space="preserve">The data </w:t>
            </w:r>
            <w:r>
              <w:rPr>
                <w:rFonts w:eastAsia="Times New Roman" w:cs="Calibri"/>
                <w:lang w:eastAsia="en-GB"/>
              </w:rPr>
              <w:t xml:space="preserve">is </w:t>
            </w:r>
            <w:r w:rsidRPr="00054FBA">
              <w:rPr>
                <w:rFonts w:eastAsia="Times New Roman" w:cs="Calibri"/>
                <w:lang w:eastAsia="en-GB"/>
              </w:rPr>
              <w:t>taken from UK energy trends (March 2025) Table 3.5 Biofuel sales and sales through supermarkets, (thousand tonnes)</w:t>
            </w:r>
            <w:bookmarkEnd w:id="25"/>
            <w:r w:rsidRPr="00054FBA">
              <w:rPr>
                <w:rFonts w:eastAsia="Times New Roman" w:cs="Calibri"/>
                <w:lang w:eastAsia="en-GB"/>
              </w:rPr>
              <w:t>.</w:t>
            </w:r>
          </w:p>
          <w:p w14:paraId="659E264C" w14:textId="77777777" w:rsidR="00F55638" w:rsidRPr="00054FBA" w:rsidRDefault="00F55638" w:rsidP="00142FD3">
            <w:pPr>
              <w:rPr>
                <w:rFonts w:eastAsia="Times New Roman" w:cs="Calibri"/>
                <w:lang w:eastAsia="en-GB"/>
              </w:rPr>
            </w:pPr>
          </w:p>
          <w:p w14:paraId="7F3010B1" w14:textId="77777777" w:rsidR="00F55638" w:rsidRDefault="00F55638" w:rsidP="00142FD3">
            <w:pPr>
              <w:rPr>
                <w:rFonts w:eastAsia="Times New Roman" w:cs="Calibri"/>
                <w:lang w:eastAsia="en-GB"/>
              </w:rPr>
            </w:pPr>
            <w:r>
              <w:rPr>
                <w:rFonts w:eastAsia="Times New Roman" w:cs="Calibri"/>
                <w:lang w:eastAsia="en-GB"/>
              </w:rPr>
              <w:t>Alongside the table was the following commentary:</w:t>
            </w:r>
          </w:p>
          <w:p w14:paraId="71FD4365" w14:textId="77777777" w:rsidR="00F55638" w:rsidRDefault="00F55638" w:rsidP="00142FD3">
            <w:pPr>
              <w:rPr>
                <w:rFonts w:eastAsia="Times New Roman" w:cs="Calibri"/>
                <w:lang w:eastAsia="en-GB"/>
              </w:rPr>
            </w:pPr>
          </w:p>
          <w:p w14:paraId="1C0F6584" w14:textId="77777777" w:rsidR="00F55638" w:rsidRDefault="00F55638" w:rsidP="00142FD3">
            <w:pPr>
              <w:rPr>
                <w:rFonts w:eastAsia="Times New Roman" w:cs="Calibri"/>
                <w:lang w:eastAsia="en-GB"/>
              </w:rPr>
            </w:pPr>
            <w:proofErr w:type="gramStart"/>
            <w:r w:rsidRPr="00054FBA">
              <w:rPr>
                <w:rFonts w:eastAsia="Times New Roman" w:cs="Calibri"/>
                <w:i/>
                <w:iCs/>
                <w:lang w:eastAsia="en-GB"/>
              </w:rPr>
              <w:t>However</w:t>
            </w:r>
            <w:proofErr w:type="gramEnd"/>
            <w:r w:rsidRPr="00054FBA">
              <w:rPr>
                <w:rFonts w:eastAsia="Times New Roman" w:cs="Calibri"/>
                <w:i/>
                <w:iCs/>
                <w:lang w:eastAsia="en-GB"/>
              </w:rPr>
              <w:t xml:space="preserve"> the pattern for each road fuel is different. Total petrol demand (including bio) was up by 4.7 per cent compared to </w:t>
            </w:r>
            <w:proofErr w:type="gramStart"/>
            <w:r w:rsidRPr="00054FBA">
              <w:rPr>
                <w:rFonts w:eastAsia="Times New Roman" w:cs="Calibri"/>
                <w:i/>
                <w:iCs/>
                <w:lang w:eastAsia="en-GB"/>
              </w:rPr>
              <w:t>2023, and</w:t>
            </w:r>
            <w:proofErr w:type="gramEnd"/>
            <w:r w:rsidRPr="00054FBA">
              <w:rPr>
                <w:rFonts w:eastAsia="Times New Roman" w:cs="Calibri"/>
                <w:i/>
                <w:iCs/>
                <w:lang w:eastAsia="en-GB"/>
              </w:rPr>
              <w:t xml:space="preserve"> was up by 6.2 per cent compared to pre-pandemic 2019. This is the first transport fuel to fully recover since travel restrictions put in place to curb the spread of COVID-19 suppressed demand for transport fuel. Motorists have favoured petrol over diesel vehicles because of pollution concerns from diesel engines since the headlines in 2018.</w:t>
            </w:r>
            <w:r w:rsidRPr="00054FBA">
              <w:rPr>
                <w:rFonts w:eastAsia="Times New Roman" w:cs="Calibri"/>
                <w:i/>
                <w:iCs/>
                <w:lang w:eastAsia="en-GB"/>
              </w:rPr>
              <w:br/>
            </w:r>
            <w:r w:rsidRPr="00054FBA">
              <w:rPr>
                <w:rFonts w:eastAsia="Times New Roman" w:cs="Calibri"/>
                <w:i/>
                <w:iCs/>
                <w:lang w:eastAsia="en-GB"/>
              </w:rPr>
              <w:br/>
              <w:t xml:space="preserve">In contrast total road diesel demand was down by 4.8 per cent on the year before, and by 16 per cent compared to 2019, because fewer miles are now being driven for work purposes. </w:t>
            </w:r>
            <w:r w:rsidRPr="00054FBA">
              <w:rPr>
                <w:rFonts w:eastAsia="Times New Roman" w:cs="Calibri"/>
                <w:i/>
                <w:iCs/>
                <w:lang w:eastAsia="en-GB"/>
              </w:rPr>
              <w:br/>
            </w:r>
          </w:p>
          <w:p w14:paraId="0B06B04A" w14:textId="418EC6D6" w:rsidR="00F55638" w:rsidRDefault="00F55638" w:rsidP="00142FD3">
            <w:pPr>
              <w:rPr>
                <w:rFonts w:eastAsia="Times New Roman" w:cs="Calibri"/>
                <w:lang w:eastAsia="en-GB"/>
              </w:rPr>
            </w:pPr>
          </w:p>
          <w:p w14:paraId="1AA5B7D0" w14:textId="77777777" w:rsidR="00F55638" w:rsidRDefault="00F55638" w:rsidP="00F55638">
            <w:pPr>
              <w:pStyle w:val="ListParagraph"/>
              <w:numPr>
                <w:ilvl w:val="0"/>
                <w:numId w:val="8"/>
              </w:numPr>
              <w:suppressAutoHyphens w:val="0"/>
              <w:autoSpaceDN/>
              <w:textAlignment w:val="auto"/>
              <w:rPr>
                <w:rFonts w:eastAsia="Times New Roman" w:cs="Calibri"/>
                <w:lang w:eastAsia="en-GB"/>
              </w:rPr>
            </w:pPr>
            <w:r w:rsidRPr="00DB56CF">
              <w:rPr>
                <w:rFonts w:eastAsia="Times New Roman" w:cs="Calibri"/>
                <w:lang w:eastAsia="en-GB"/>
              </w:rPr>
              <w:t>This is supported by analysis of the total diesel market (including gasoil):</w:t>
            </w:r>
          </w:p>
          <w:p w14:paraId="6289717D" w14:textId="77777777" w:rsidR="00F55638" w:rsidRPr="00DB56CF" w:rsidRDefault="00F55638" w:rsidP="00142FD3">
            <w:pPr>
              <w:pStyle w:val="ListParagraph"/>
              <w:rPr>
                <w:rFonts w:eastAsia="Times New Roman" w:cs="Calibri"/>
                <w:lang w:eastAsia="en-GB"/>
              </w:rPr>
            </w:pPr>
          </w:p>
          <w:p w14:paraId="4DD3BAD3" w14:textId="77777777" w:rsidR="00F55638" w:rsidRPr="00054FBA" w:rsidRDefault="00F55638" w:rsidP="00142FD3">
            <w:pPr>
              <w:rPr>
                <w:rFonts w:eastAsia="Times New Roman" w:cs="Calibri"/>
                <w:b/>
                <w:bCs/>
                <w:lang w:eastAsia="en-GB"/>
              </w:rPr>
            </w:pPr>
          </w:p>
        </w:tc>
      </w:tr>
    </w:tbl>
    <w:tbl>
      <w:tblPr>
        <w:tblStyle w:val="TableGrid"/>
        <w:tblW w:w="7426" w:type="dxa"/>
        <w:tblInd w:w="-5" w:type="dxa"/>
        <w:tblLook w:val="04A0" w:firstRow="1" w:lastRow="0" w:firstColumn="1" w:lastColumn="0" w:noHBand="0" w:noVBand="1"/>
      </w:tblPr>
      <w:tblGrid>
        <w:gridCol w:w="2552"/>
        <w:gridCol w:w="976"/>
        <w:gridCol w:w="976"/>
        <w:gridCol w:w="976"/>
        <w:gridCol w:w="970"/>
        <w:gridCol w:w="976"/>
      </w:tblGrid>
      <w:tr w:rsidR="00F55638" w:rsidRPr="00DB56CF" w14:paraId="1773CB70" w14:textId="77777777" w:rsidTr="00142FD3">
        <w:trPr>
          <w:trHeight w:val="640"/>
        </w:trPr>
        <w:tc>
          <w:tcPr>
            <w:tcW w:w="2552" w:type="dxa"/>
            <w:hideMark/>
          </w:tcPr>
          <w:p w14:paraId="47BFDD43" w14:textId="77777777" w:rsidR="00F55638" w:rsidRPr="00DB56CF" w:rsidRDefault="00F55638" w:rsidP="00142FD3">
            <w:pPr>
              <w:rPr>
                <w:b/>
                <w:bCs/>
                <w:color w:val="000000"/>
                <w:shd w:val="clear" w:color="auto" w:fill="FFFFFF"/>
              </w:rPr>
            </w:pPr>
          </w:p>
        </w:tc>
        <w:tc>
          <w:tcPr>
            <w:tcW w:w="976" w:type="dxa"/>
            <w:noWrap/>
            <w:hideMark/>
          </w:tcPr>
          <w:p w14:paraId="2698295C" w14:textId="77777777" w:rsidR="00F55638" w:rsidRPr="00DB56CF" w:rsidRDefault="00F55638" w:rsidP="00142FD3">
            <w:pPr>
              <w:rPr>
                <w:b/>
                <w:bCs/>
                <w:color w:val="000000"/>
                <w:shd w:val="clear" w:color="auto" w:fill="FFFFFF"/>
              </w:rPr>
            </w:pPr>
            <w:r w:rsidRPr="00DB56CF">
              <w:rPr>
                <w:b/>
                <w:bCs/>
                <w:color w:val="000000"/>
                <w:shd w:val="clear" w:color="auto" w:fill="FFFFFF"/>
              </w:rPr>
              <w:t>2022</w:t>
            </w:r>
          </w:p>
        </w:tc>
        <w:tc>
          <w:tcPr>
            <w:tcW w:w="976" w:type="dxa"/>
            <w:noWrap/>
            <w:hideMark/>
          </w:tcPr>
          <w:p w14:paraId="367775FB" w14:textId="77777777" w:rsidR="00F55638" w:rsidRPr="00DB56CF" w:rsidRDefault="00F55638" w:rsidP="00142FD3">
            <w:pPr>
              <w:rPr>
                <w:b/>
                <w:bCs/>
                <w:color w:val="000000"/>
                <w:shd w:val="clear" w:color="auto" w:fill="FFFFFF"/>
              </w:rPr>
            </w:pPr>
            <w:r w:rsidRPr="00DB56CF">
              <w:rPr>
                <w:b/>
                <w:bCs/>
                <w:color w:val="000000"/>
                <w:shd w:val="clear" w:color="auto" w:fill="FFFFFF"/>
              </w:rPr>
              <w:t>2023</w:t>
            </w:r>
          </w:p>
        </w:tc>
        <w:tc>
          <w:tcPr>
            <w:tcW w:w="976" w:type="dxa"/>
            <w:noWrap/>
            <w:hideMark/>
          </w:tcPr>
          <w:p w14:paraId="1FF5E392" w14:textId="77777777" w:rsidR="00F55638" w:rsidRPr="00DB56CF" w:rsidRDefault="00F55638" w:rsidP="00142FD3">
            <w:pPr>
              <w:rPr>
                <w:b/>
                <w:bCs/>
                <w:color w:val="000000"/>
                <w:shd w:val="clear" w:color="auto" w:fill="FFFFFF"/>
              </w:rPr>
            </w:pPr>
            <w:r w:rsidRPr="00DB56CF">
              <w:rPr>
                <w:b/>
                <w:bCs/>
                <w:color w:val="000000"/>
                <w:shd w:val="clear" w:color="auto" w:fill="FFFFFF"/>
              </w:rPr>
              <w:t>2024</w:t>
            </w:r>
          </w:p>
        </w:tc>
        <w:tc>
          <w:tcPr>
            <w:tcW w:w="1946" w:type="dxa"/>
            <w:gridSpan w:val="2"/>
            <w:hideMark/>
          </w:tcPr>
          <w:p w14:paraId="37281329" w14:textId="77777777" w:rsidR="00F55638" w:rsidRPr="00DB56CF" w:rsidRDefault="00F55638" w:rsidP="00142FD3">
            <w:pPr>
              <w:rPr>
                <w:b/>
                <w:bCs/>
                <w:color w:val="000000"/>
                <w:shd w:val="clear" w:color="auto" w:fill="FFFFFF"/>
              </w:rPr>
            </w:pPr>
            <w:r w:rsidRPr="00DB56CF">
              <w:rPr>
                <w:b/>
                <w:bCs/>
                <w:color w:val="000000"/>
                <w:shd w:val="clear" w:color="auto" w:fill="FFFFFF"/>
              </w:rPr>
              <w:t>2024vs 2022</w:t>
            </w:r>
          </w:p>
        </w:tc>
      </w:tr>
      <w:tr w:rsidR="00F55638" w:rsidRPr="00DB56CF" w14:paraId="19D8F1D2" w14:textId="77777777" w:rsidTr="00142FD3">
        <w:trPr>
          <w:trHeight w:val="290"/>
        </w:trPr>
        <w:tc>
          <w:tcPr>
            <w:tcW w:w="2552" w:type="dxa"/>
            <w:noWrap/>
            <w:hideMark/>
          </w:tcPr>
          <w:p w14:paraId="50503C5D" w14:textId="77777777" w:rsidR="00F55638" w:rsidRPr="00DB56CF" w:rsidRDefault="00F55638" w:rsidP="00142FD3">
            <w:pPr>
              <w:rPr>
                <w:b/>
                <w:bCs/>
                <w:color w:val="000000"/>
                <w:shd w:val="clear" w:color="auto" w:fill="FFFFFF"/>
              </w:rPr>
            </w:pPr>
          </w:p>
        </w:tc>
        <w:tc>
          <w:tcPr>
            <w:tcW w:w="976" w:type="dxa"/>
            <w:noWrap/>
            <w:hideMark/>
          </w:tcPr>
          <w:p w14:paraId="312889DD" w14:textId="77777777" w:rsidR="00F55638" w:rsidRPr="00DB56CF" w:rsidRDefault="00F55638" w:rsidP="00142FD3">
            <w:pPr>
              <w:rPr>
                <w:b/>
                <w:bCs/>
                <w:color w:val="000000"/>
                <w:shd w:val="clear" w:color="auto" w:fill="FFFFFF"/>
              </w:rPr>
            </w:pPr>
          </w:p>
        </w:tc>
        <w:tc>
          <w:tcPr>
            <w:tcW w:w="976" w:type="dxa"/>
            <w:noWrap/>
            <w:hideMark/>
          </w:tcPr>
          <w:p w14:paraId="7B3DA119" w14:textId="77777777" w:rsidR="00F55638" w:rsidRPr="00DB56CF" w:rsidRDefault="00F55638" w:rsidP="00142FD3">
            <w:pPr>
              <w:rPr>
                <w:b/>
                <w:bCs/>
                <w:color w:val="000000"/>
                <w:shd w:val="clear" w:color="auto" w:fill="FFFFFF"/>
              </w:rPr>
            </w:pPr>
          </w:p>
        </w:tc>
        <w:tc>
          <w:tcPr>
            <w:tcW w:w="976" w:type="dxa"/>
            <w:noWrap/>
            <w:hideMark/>
          </w:tcPr>
          <w:p w14:paraId="065A36AB" w14:textId="77777777" w:rsidR="00F55638" w:rsidRPr="00DB56CF" w:rsidRDefault="00F55638" w:rsidP="00142FD3">
            <w:pPr>
              <w:rPr>
                <w:b/>
                <w:bCs/>
                <w:color w:val="000000"/>
                <w:shd w:val="clear" w:color="auto" w:fill="FFFFFF"/>
              </w:rPr>
            </w:pPr>
          </w:p>
        </w:tc>
        <w:tc>
          <w:tcPr>
            <w:tcW w:w="970" w:type="dxa"/>
            <w:noWrap/>
            <w:hideMark/>
          </w:tcPr>
          <w:p w14:paraId="4DEFF7E4" w14:textId="77777777" w:rsidR="00F55638" w:rsidRPr="00DB56CF" w:rsidRDefault="00F55638" w:rsidP="00142FD3">
            <w:pPr>
              <w:rPr>
                <w:b/>
                <w:bCs/>
                <w:color w:val="000000"/>
                <w:shd w:val="clear" w:color="auto" w:fill="FFFFFF"/>
              </w:rPr>
            </w:pPr>
          </w:p>
        </w:tc>
        <w:tc>
          <w:tcPr>
            <w:tcW w:w="976" w:type="dxa"/>
            <w:noWrap/>
            <w:hideMark/>
          </w:tcPr>
          <w:p w14:paraId="0A05C165" w14:textId="77777777" w:rsidR="00F55638" w:rsidRPr="00DB56CF" w:rsidRDefault="00F55638" w:rsidP="00142FD3">
            <w:pPr>
              <w:rPr>
                <w:b/>
                <w:bCs/>
                <w:color w:val="000000"/>
                <w:shd w:val="clear" w:color="auto" w:fill="FFFFFF"/>
              </w:rPr>
            </w:pPr>
          </w:p>
        </w:tc>
      </w:tr>
      <w:tr w:rsidR="00F55638" w:rsidRPr="00DB56CF" w14:paraId="1D2C3C52" w14:textId="77777777" w:rsidTr="00142FD3">
        <w:trPr>
          <w:trHeight w:val="320"/>
        </w:trPr>
        <w:tc>
          <w:tcPr>
            <w:tcW w:w="2552" w:type="dxa"/>
            <w:hideMark/>
          </w:tcPr>
          <w:p w14:paraId="32C1CC9F" w14:textId="77777777" w:rsidR="00F55638" w:rsidRPr="00DB56CF" w:rsidRDefault="00F55638" w:rsidP="00142FD3">
            <w:pPr>
              <w:rPr>
                <w:b/>
                <w:bCs/>
                <w:color w:val="000000"/>
                <w:shd w:val="clear" w:color="auto" w:fill="FFFFFF"/>
              </w:rPr>
            </w:pPr>
            <w:r w:rsidRPr="00DB56CF">
              <w:rPr>
                <w:b/>
                <w:bCs/>
                <w:color w:val="000000"/>
                <w:shd w:val="clear" w:color="auto" w:fill="FFFFFF"/>
              </w:rPr>
              <w:t>Final Consumption</w:t>
            </w:r>
          </w:p>
        </w:tc>
        <w:tc>
          <w:tcPr>
            <w:tcW w:w="976" w:type="dxa"/>
            <w:noWrap/>
            <w:hideMark/>
          </w:tcPr>
          <w:p w14:paraId="4FD3C69A" w14:textId="77777777" w:rsidR="00F55638" w:rsidRPr="00DB56CF" w:rsidRDefault="00F55638" w:rsidP="00142FD3">
            <w:pPr>
              <w:rPr>
                <w:color w:val="000000"/>
                <w:shd w:val="clear" w:color="auto" w:fill="FFFFFF"/>
              </w:rPr>
            </w:pPr>
            <w:r w:rsidRPr="00DB56CF">
              <w:rPr>
                <w:color w:val="000000"/>
                <w:shd w:val="clear" w:color="auto" w:fill="FFFFFF"/>
              </w:rPr>
              <w:t>25,356</w:t>
            </w:r>
          </w:p>
        </w:tc>
        <w:tc>
          <w:tcPr>
            <w:tcW w:w="976" w:type="dxa"/>
            <w:noWrap/>
            <w:hideMark/>
          </w:tcPr>
          <w:p w14:paraId="0A76EFCB" w14:textId="77777777" w:rsidR="00F55638" w:rsidRPr="00DB56CF" w:rsidRDefault="00F55638" w:rsidP="00142FD3">
            <w:pPr>
              <w:rPr>
                <w:color w:val="000000"/>
                <w:shd w:val="clear" w:color="auto" w:fill="FFFFFF"/>
              </w:rPr>
            </w:pPr>
            <w:r w:rsidRPr="00DB56CF">
              <w:rPr>
                <w:color w:val="000000"/>
                <w:shd w:val="clear" w:color="auto" w:fill="FFFFFF"/>
              </w:rPr>
              <w:t>24,572</w:t>
            </w:r>
          </w:p>
        </w:tc>
        <w:tc>
          <w:tcPr>
            <w:tcW w:w="976" w:type="dxa"/>
            <w:noWrap/>
            <w:hideMark/>
          </w:tcPr>
          <w:p w14:paraId="0FD9FD2A" w14:textId="77777777" w:rsidR="00F55638" w:rsidRPr="00DB56CF" w:rsidRDefault="00F55638" w:rsidP="00142FD3">
            <w:pPr>
              <w:rPr>
                <w:color w:val="000000"/>
                <w:shd w:val="clear" w:color="auto" w:fill="FFFFFF"/>
              </w:rPr>
            </w:pPr>
            <w:r w:rsidRPr="00DB56CF">
              <w:rPr>
                <w:color w:val="000000"/>
                <w:shd w:val="clear" w:color="auto" w:fill="FFFFFF"/>
              </w:rPr>
              <w:t>23,400</w:t>
            </w:r>
          </w:p>
        </w:tc>
        <w:tc>
          <w:tcPr>
            <w:tcW w:w="970" w:type="dxa"/>
            <w:noWrap/>
            <w:hideMark/>
          </w:tcPr>
          <w:p w14:paraId="38D1F380" w14:textId="77777777" w:rsidR="00F55638" w:rsidRPr="00DB56CF" w:rsidRDefault="00F55638" w:rsidP="00142FD3">
            <w:pPr>
              <w:rPr>
                <w:color w:val="000000"/>
                <w:shd w:val="clear" w:color="auto" w:fill="FFFFFF"/>
              </w:rPr>
            </w:pPr>
            <w:r w:rsidRPr="00DB56CF">
              <w:rPr>
                <w:color w:val="000000"/>
                <w:shd w:val="clear" w:color="auto" w:fill="FFFFFF"/>
              </w:rPr>
              <w:t>-1,956</w:t>
            </w:r>
          </w:p>
        </w:tc>
        <w:tc>
          <w:tcPr>
            <w:tcW w:w="976" w:type="dxa"/>
            <w:noWrap/>
            <w:hideMark/>
          </w:tcPr>
          <w:p w14:paraId="697734AA" w14:textId="77777777" w:rsidR="00F55638" w:rsidRPr="00DB56CF" w:rsidRDefault="00F55638" w:rsidP="00142FD3">
            <w:pPr>
              <w:rPr>
                <w:color w:val="000000"/>
                <w:shd w:val="clear" w:color="auto" w:fill="FFFFFF"/>
              </w:rPr>
            </w:pPr>
            <w:r w:rsidRPr="00DB56CF">
              <w:rPr>
                <w:color w:val="000000"/>
                <w:shd w:val="clear" w:color="auto" w:fill="FFFFFF"/>
              </w:rPr>
              <w:t>-8%</w:t>
            </w:r>
          </w:p>
        </w:tc>
      </w:tr>
      <w:tr w:rsidR="00F55638" w:rsidRPr="00DB56CF" w14:paraId="2D66920F" w14:textId="77777777" w:rsidTr="00142FD3">
        <w:trPr>
          <w:trHeight w:val="320"/>
        </w:trPr>
        <w:tc>
          <w:tcPr>
            <w:tcW w:w="2552" w:type="dxa"/>
            <w:hideMark/>
          </w:tcPr>
          <w:p w14:paraId="4512D21B" w14:textId="77777777" w:rsidR="00F55638" w:rsidRPr="00DB56CF" w:rsidRDefault="00F55638" w:rsidP="00142FD3">
            <w:pPr>
              <w:jc w:val="right"/>
              <w:rPr>
                <w:b/>
                <w:bCs/>
                <w:color w:val="000000"/>
                <w:shd w:val="clear" w:color="auto" w:fill="FFFFFF"/>
              </w:rPr>
            </w:pPr>
            <w:r w:rsidRPr="00DB56CF">
              <w:rPr>
                <w:b/>
                <w:bCs/>
                <w:color w:val="000000"/>
                <w:shd w:val="clear" w:color="auto" w:fill="FFFFFF"/>
              </w:rPr>
              <w:t>Other industries</w:t>
            </w:r>
          </w:p>
        </w:tc>
        <w:tc>
          <w:tcPr>
            <w:tcW w:w="976" w:type="dxa"/>
            <w:noWrap/>
            <w:hideMark/>
          </w:tcPr>
          <w:p w14:paraId="7E13381C" w14:textId="77777777" w:rsidR="00F55638" w:rsidRPr="00DB56CF" w:rsidRDefault="00F55638" w:rsidP="00142FD3">
            <w:pPr>
              <w:rPr>
                <w:color w:val="000000"/>
                <w:shd w:val="clear" w:color="auto" w:fill="FFFFFF"/>
              </w:rPr>
            </w:pPr>
            <w:r w:rsidRPr="00DB56CF">
              <w:rPr>
                <w:color w:val="000000"/>
                <w:shd w:val="clear" w:color="auto" w:fill="FFFFFF"/>
              </w:rPr>
              <w:t>1,123</w:t>
            </w:r>
          </w:p>
        </w:tc>
        <w:tc>
          <w:tcPr>
            <w:tcW w:w="976" w:type="dxa"/>
            <w:noWrap/>
            <w:hideMark/>
          </w:tcPr>
          <w:p w14:paraId="425C965D" w14:textId="77777777" w:rsidR="00F55638" w:rsidRPr="00DB56CF" w:rsidRDefault="00F55638" w:rsidP="00142FD3">
            <w:pPr>
              <w:rPr>
                <w:color w:val="000000"/>
                <w:shd w:val="clear" w:color="auto" w:fill="FFFFFF"/>
              </w:rPr>
            </w:pPr>
            <w:r w:rsidRPr="00DB56CF">
              <w:rPr>
                <w:color w:val="000000"/>
                <w:shd w:val="clear" w:color="auto" w:fill="FFFFFF"/>
              </w:rPr>
              <w:t>1,307</w:t>
            </w:r>
          </w:p>
        </w:tc>
        <w:tc>
          <w:tcPr>
            <w:tcW w:w="976" w:type="dxa"/>
            <w:noWrap/>
            <w:hideMark/>
          </w:tcPr>
          <w:p w14:paraId="750141ED" w14:textId="77777777" w:rsidR="00F55638" w:rsidRPr="00DB56CF" w:rsidRDefault="00F55638" w:rsidP="00142FD3">
            <w:pPr>
              <w:rPr>
                <w:color w:val="000000"/>
                <w:shd w:val="clear" w:color="auto" w:fill="FFFFFF"/>
              </w:rPr>
            </w:pPr>
            <w:r w:rsidRPr="00DB56CF">
              <w:rPr>
                <w:color w:val="000000"/>
                <w:shd w:val="clear" w:color="auto" w:fill="FFFFFF"/>
              </w:rPr>
              <w:t>1,446</w:t>
            </w:r>
          </w:p>
        </w:tc>
        <w:tc>
          <w:tcPr>
            <w:tcW w:w="970" w:type="dxa"/>
            <w:noWrap/>
            <w:hideMark/>
          </w:tcPr>
          <w:p w14:paraId="4C4B20A0" w14:textId="77777777" w:rsidR="00F55638" w:rsidRPr="00DB56CF" w:rsidRDefault="00F55638" w:rsidP="00142FD3">
            <w:pPr>
              <w:rPr>
                <w:color w:val="000000"/>
                <w:shd w:val="clear" w:color="auto" w:fill="FFFFFF"/>
              </w:rPr>
            </w:pPr>
            <w:r w:rsidRPr="00DB56CF">
              <w:rPr>
                <w:color w:val="000000"/>
                <w:shd w:val="clear" w:color="auto" w:fill="FFFFFF"/>
              </w:rPr>
              <w:t>323</w:t>
            </w:r>
          </w:p>
        </w:tc>
        <w:tc>
          <w:tcPr>
            <w:tcW w:w="976" w:type="dxa"/>
            <w:noWrap/>
            <w:hideMark/>
          </w:tcPr>
          <w:p w14:paraId="792F79F5" w14:textId="77777777" w:rsidR="00F55638" w:rsidRPr="00DB56CF" w:rsidRDefault="00F55638" w:rsidP="00142FD3">
            <w:pPr>
              <w:rPr>
                <w:color w:val="000000"/>
                <w:shd w:val="clear" w:color="auto" w:fill="FFFFFF"/>
              </w:rPr>
            </w:pPr>
            <w:r w:rsidRPr="00DB56CF">
              <w:rPr>
                <w:color w:val="000000"/>
                <w:shd w:val="clear" w:color="auto" w:fill="FFFFFF"/>
              </w:rPr>
              <w:t>29%</w:t>
            </w:r>
          </w:p>
        </w:tc>
      </w:tr>
      <w:tr w:rsidR="00F55638" w:rsidRPr="00DB56CF" w14:paraId="7F17BB19" w14:textId="77777777" w:rsidTr="00142FD3">
        <w:trPr>
          <w:trHeight w:val="320"/>
        </w:trPr>
        <w:tc>
          <w:tcPr>
            <w:tcW w:w="2552" w:type="dxa"/>
            <w:hideMark/>
          </w:tcPr>
          <w:p w14:paraId="52FE0C36" w14:textId="77777777" w:rsidR="00F55638" w:rsidRPr="00DB56CF" w:rsidRDefault="00F55638" w:rsidP="00142FD3">
            <w:pPr>
              <w:jc w:val="right"/>
              <w:rPr>
                <w:b/>
                <w:bCs/>
                <w:color w:val="000000"/>
                <w:shd w:val="clear" w:color="auto" w:fill="FFFFFF"/>
              </w:rPr>
            </w:pPr>
            <w:r w:rsidRPr="00DB56CF">
              <w:rPr>
                <w:b/>
                <w:bCs/>
                <w:color w:val="000000"/>
                <w:shd w:val="clear" w:color="auto" w:fill="FFFFFF"/>
              </w:rPr>
              <w:t>Transport</w:t>
            </w:r>
          </w:p>
        </w:tc>
        <w:tc>
          <w:tcPr>
            <w:tcW w:w="976" w:type="dxa"/>
            <w:noWrap/>
            <w:hideMark/>
          </w:tcPr>
          <w:p w14:paraId="77274762" w14:textId="77777777" w:rsidR="00F55638" w:rsidRPr="00DB56CF" w:rsidRDefault="00F55638" w:rsidP="00142FD3">
            <w:pPr>
              <w:rPr>
                <w:color w:val="000000"/>
                <w:shd w:val="clear" w:color="auto" w:fill="FFFFFF"/>
              </w:rPr>
            </w:pPr>
            <w:r w:rsidRPr="00DB56CF">
              <w:rPr>
                <w:color w:val="000000"/>
                <w:shd w:val="clear" w:color="auto" w:fill="FFFFFF"/>
              </w:rPr>
              <w:t>22,515</w:t>
            </w:r>
          </w:p>
        </w:tc>
        <w:tc>
          <w:tcPr>
            <w:tcW w:w="976" w:type="dxa"/>
            <w:noWrap/>
            <w:hideMark/>
          </w:tcPr>
          <w:p w14:paraId="38EA7DA7" w14:textId="77777777" w:rsidR="00F55638" w:rsidRPr="00DB56CF" w:rsidRDefault="00F55638" w:rsidP="00142FD3">
            <w:pPr>
              <w:rPr>
                <w:color w:val="000000"/>
                <w:shd w:val="clear" w:color="auto" w:fill="FFFFFF"/>
              </w:rPr>
            </w:pPr>
            <w:r w:rsidRPr="00DB56CF">
              <w:rPr>
                <w:color w:val="000000"/>
                <w:shd w:val="clear" w:color="auto" w:fill="FFFFFF"/>
              </w:rPr>
              <w:t>21,631</w:t>
            </w:r>
          </w:p>
        </w:tc>
        <w:tc>
          <w:tcPr>
            <w:tcW w:w="976" w:type="dxa"/>
            <w:noWrap/>
            <w:hideMark/>
          </w:tcPr>
          <w:p w14:paraId="16E33DAC" w14:textId="77777777" w:rsidR="00F55638" w:rsidRPr="00DB56CF" w:rsidRDefault="00F55638" w:rsidP="00142FD3">
            <w:pPr>
              <w:rPr>
                <w:color w:val="000000"/>
                <w:shd w:val="clear" w:color="auto" w:fill="FFFFFF"/>
              </w:rPr>
            </w:pPr>
            <w:r w:rsidRPr="00DB56CF">
              <w:rPr>
                <w:color w:val="000000"/>
                <w:shd w:val="clear" w:color="auto" w:fill="FFFFFF"/>
              </w:rPr>
              <w:t>20,638</w:t>
            </w:r>
          </w:p>
        </w:tc>
        <w:tc>
          <w:tcPr>
            <w:tcW w:w="970" w:type="dxa"/>
            <w:noWrap/>
            <w:hideMark/>
          </w:tcPr>
          <w:p w14:paraId="26C1A655" w14:textId="77777777" w:rsidR="00F55638" w:rsidRPr="00DB56CF" w:rsidRDefault="00F55638" w:rsidP="00142FD3">
            <w:pPr>
              <w:rPr>
                <w:color w:val="000000"/>
                <w:shd w:val="clear" w:color="auto" w:fill="FFFFFF"/>
              </w:rPr>
            </w:pPr>
            <w:r w:rsidRPr="00DB56CF">
              <w:rPr>
                <w:color w:val="000000"/>
                <w:shd w:val="clear" w:color="auto" w:fill="FFFFFF"/>
              </w:rPr>
              <w:t>-1,876</w:t>
            </w:r>
          </w:p>
        </w:tc>
        <w:tc>
          <w:tcPr>
            <w:tcW w:w="976" w:type="dxa"/>
            <w:noWrap/>
            <w:hideMark/>
          </w:tcPr>
          <w:p w14:paraId="6E16E338" w14:textId="77777777" w:rsidR="00F55638" w:rsidRPr="00DB56CF" w:rsidRDefault="00F55638" w:rsidP="00142FD3">
            <w:pPr>
              <w:rPr>
                <w:color w:val="000000"/>
                <w:shd w:val="clear" w:color="auto" w:fill="FFFFFF"/>
              </w:rPr>
            </w:pPr>
            <w:r w:rsidRPr="00DB56CF">
              <w:rPr>
                <w:color w:val="000000"/>
                <w:shd w:val="clear" w:color="auto" w:fill="FFFFFF"/>
              </w:rPr>
              <w:t>-8%</w:t>
            </w:r>
          </w:p>
        </w:tc>
      </w:tr>
      <w:tr w:rsidR="00F55638" w:rsidRPr="00DB56CF" w14:paraId="1EB1AB7B" w14:textId="77777777" w:rsidTr="00142FD3">
        <w:trPr>
          <w:trHeight w:val="320"/>
        </w:trPr>
        <w:tc>
          <w:tcPr>
            <w:tcW w:w="2552" w:type="dxa"/>
            <w:hideMark/>
          </w:tcPr>
          <w:p w14:paraId="4C71B3AE" w14:textId="77777777" w:rsidR="00F55638" w:rsidRPr="00DB56CF" w:rsidRDefault="00F55638" w:rsidP="00142FD3">
            <w:pPr>
              <w:jc w:val="right"/>
              <w:rPr>
                <w:b/>
                <w:bCs/>
                <w:color w:val="000000"/>
                <w:shd w:val="clear" w:color="auto" w:fill="FFFFFF"/>
              </w:rPr>
            </w:pPr>
            <w:r w:rsidRPr="00DB56CF">
              <w:rPr>
                <w:b/>
                <w:bCs/>
                <w:color w:val="000000"/>
                <w:shd w:val="clear" w:color="auto" w:fill="FFFFFF"/>
              </w:rPr>
              <w:lastRenderedPageBreak/>
              <w:t>Domestic</w:t>
            </w:r>
          </w:p>
        </w:tc>
        <w:tc>
          <w:tcPr>
            <w:tcW w:w="976" w:type="dxa"/>
            <w:noWrap/>
            <w:hideMark/>
          </w:tcPr>
          <w:p w14:paraId="4106EEF5" w14:textId="77777777" w:rsidR="00F55638" w:rsidRPr="00DB56CF" w:rsidRDefault="00F55638" w:rsidP="00142FD3">
            <w:pPr>
              <w:rPr>
                <w:color w:val="000000"/>
                <w:shd w:val="clear" w:color="auto" w:fill="FFFFFF"/>
              </w:rPr>
            </w:pPr>
            <w:r w:rsidRPr="00DB56CF">
              <w:rPr>
                <w:color w:val="000000"/>
                <w:shd w:val="clear" w:color="auto" w:fill="FFFFFF"/>
              </w:rPr>
              <w:t>48</w:t>
            </w:r>
          </w:p>
        </w:tc>
        <w:tc>
          <w:tcPr>
            <w:tcW w:w="976" w:type="dxa"/>
            <w:noWrap/>
            <w:hideMark/>
          </w:tcPr>
          <w:p w14:paraId="4209F130" w14:textId="77777777" w:rsidR="00F55638" w:rsidRPr="00DB56CF" w:rsidRDefault="00F55638" w:rsidP="00142FD3">
            <w:pPr>
              <w:rPr>
                <w:color w:val="000000"/>
                <w:shd w:val="clear" w:color="auto" w:fill="FFFFFF"/>
              </w:rPr>
            </w:pPr>
            <w:r w:rsidRPr="00DB56CF">
              <w:rPr>
                <w:color w:val="000000"/>
                <w:shd w:val="clear" w:color="auto" w:fill="FFFFFF"/>
              </w:rPr>
              <w:t>24</w:t>
            </w:r>
          </w:p>
        </w:tc>
        <w:tc>
          <w:tcPr>
            <w:tcW w:w="976" w:type="dxa"/>
            <w:noWrap/>
            <w:hideMark/>
          </w:tcPr>
          <w:p w14:paraId="1276A385" w14:textId="77777777" w:rsidR="00F55638" w:rsidRPr="00DB56CF" w:rsidRDefault="00F55638" w:rsidP="00142FD3">
            <w:pPr>
              <w:rPr>
                <w:color w:val="000000"/>
                <w:shd w:val="clear" w:color="auto" w:fill="FFFFFF"/>
              </w:rPr>
            </w:pPr>
            <w:r w:rsidRPr="00DB56CF">
              <w:rPr>
                <w:color w:val="000000"/>
                <w:shd w:val="clear" w:color="auto" w:fill="FFFFFF"/>
              </w:rPr>
              <w:t>44</w:t>
            </w:r>
          </w:p>
        </w:tc>
        <w:tc>
          <w:tcPr>
            <w:tcW w:w="970" w:type="dxa"/>
            <w:noWrap/>
            <w:hideMark/>
          </w:tcPr>
          <w:p w14:paraId="6C6BDA10" w14:textId="77777777" w:rsidR="00F55638" w:rsidRPr="00DB56CF" w:rsidRDefault="00F55638" w:rsidP="00142FD3">
            <w:pPr>
              <w:rPr>
                <w:color w:val="000000"/>
                <w:shd w:val="clear" w:color="auto" w:fill="FFFFFF"/>
              </w:rPr>
            </w:pPr>
            <w:r w:rsidRPr="00DB56CF">
              <w:rPr>
                <w:color w:val="000000"/>
                <w:shd w:val="clear" w:color="auto" w:fill="FFFFFF"/>
              </w:rPr>
              <w:t>-4</w:t>
            </w:r>
          </w:p>
        </w:tc>
        <w:tc>
          <w:tcPr>
            <w:tcW w:w="976" w:type="dxa"/>
            <w:noWrap/>
            <w:hideMark/>
          </w:tcPr>
          <w:p w14:paraId="00999339" w14:textId="77777777" w:rsidR="00F55638" w:rsidRPr="00DB56CF" w:rsidRDefault="00F55638" w:rsidP="00142FD3">
            <w:pPr>
              <w:rPr>
                <w:color w:val="000000"/>
                <w:shd w:val="clear" w:color="auto" w:fill="FFFFFF"/>
              </w:rPr>
            </w:pPr>
            <w:r w:rsidRPr="00DB56CF">
              <w:rPr>
                <w:color w:val="000000"/>
                <w:shd w:val="clear" w:color="auto" w:fill="FFFFFF"/>
              </w:rPr>
              <w:t>-9%</w:t>
            </w:r>
          </w:p>
        </w:tc>
      </w:tr>
      <w:tr w:rsidR="00F55638" w:rsidRPr="00DB56CF" w14:paraId="1B183F1F" w14:textId="77777777" w:rsidTr="00142FD3">
        <w:trPr>
          <w:trHeight w:val="320"/>
        </w:trPr>
        <w:tc>
          <w:tcPr>
            <w:tcW w:w="2552" w:type="dxa"/>
            <w:hideMark/>
          </w:tcPr>
          <w:p w14:paraId="210C42E3" w14:textId="77777777" w:rsidR="00F55638" w:rsidRPr="00DB56CF" w:rsidRDefault="00F55638" w:rsidP="00142FD3">
            <w:pPr>
              <w:jc w:val="right"/>
              <w:rPr>
                <w:b/>
                <w:bCs/>
                <w:color w:val="000000"/>
                <w:shd w:val="clear" w:color="auto" w:fill="FFFFFF"/>
              </w:rPr>
            </w:pPr>
            <w:r w:rsidRPr="00DB56CF">
              <w:rPr>
                <w:b/>
                <w:bCs/>
                <w:color w:val="000000"/>
                <w:shd w:val="clear" w:color="auto" w:fill="FFFFFF"/>
              </w:rPr>
              <w:t>Other final users</w:t>
            </w:r>
          </w:p>
        </w:tc>
        <w:tc>
          <w:tcPr>
            <w:tcW w:w="976" w:type="dxa"/>
            <w:noWrap/>
            <w:hideMark/>
          </w:tcPr>
          <w:p w14:paraId="6E6EBC17" w14:textId="77777777" w:rsidR="00F55638" w:rsidRPr="00DB56CF" w:rsidRDefault="00F55638" w:rsidP="00142FD3">
            <w:pPr>
              <w:rPr>
                <w:color w:val="000000"/>
                <w:shd w:val="clear" w:color="auto" w:fill="FFFFFF"/>
              </w:rPr>
            </w:pPr>
            <w:r w:rsidRPr="00DB56CF">
              <w:rPr>
                <w:color w:val="000000"/>
                <w:shd w:val="clear" w:color="auto" w:fill="FFFFFF"/>
              </w:rPr>
              <w:t>1,669</w:t>
            </w:r>
          </w:p>
        </w:tc>
        <w:tc>
          <w:tcPr>
            <w:tcW w:w="976" w:type="dxa"/>
            <w:noWrap/>
            <w:hideMark/>
          </w:tcPr>
          <w:p w14:paraId="2932BAB3" w14:textId="77777777" w:rsidR="00F55638" w:rsidRPr="00DB56CF" w:rsidRDefault="00F55638" w:rsidP="00142FD3">
            <w:pPr>
              <w:rPr>
                <w:color w:val="000000"/>
                <w:shd w:val="clear" w:color="auto" w:fill="FFFFFF"/>
              </w:rPr>
            </w:pPr>
            <w:r w:rsidRPr="00DB56CF">
              <w:rPr>
                <w:color w:val="000000"/>
                <w:shd w:val="clear" w:color="auto" w:fill="FFFFFF"/>
              </w:rPr>
              <w:t>1,608</w:t>
            </w:r>
          </w:p>
        </w:tc>
        <w:tc>
          <w:tcPr>
            <w:tcW w:w="976" w:type="dxa"/>
            <w:noWrap/>
            <w:hideMark/>
          </w:tcPr>
          <w:p w14:paraId="1A313C52" w14:textId="77777777" w:rsidR="00F55638" w:rsidRPr="00DB56CF" w:rsidRDefault="00F55638" w:rsidP="00142FD3">
            <w:pPr>
              <w:rPr>
                <w:color w:val="000000"/>
                <w:shd w:val="clear" w:color="auto" w:fill="FFFFFF"/>
              </w:rPr>
            </w:pPr>
            <w:r w:rsidRPr="00DB56CF">
              <w:rPr>
                <w:color w:val="000000"/>
                <w:shd w:val="clear" w:color="auto" w:fill="FFFFFF"/>
              </w:rPr>
              <w:t>1,270</w:t>
            </w:r>
          </w:p>
        </w:tc>
        <w:tc>
          <w:tcPr>
            <w:tcW w:w="970" w:type="dxa"/>
            <w:noWrap/>
            <w:hideMark/>
          </w:tcPr>
          <w:p w14:paraId="6DE3E0B7" w14:textId="77777777" w:rsidR="00F55638" w:rsidRPr="00DB56CF" w:rsidRDefault="00F55638" w:rsidP="00142FD3">
            <w:pPr>
              <w:rPr>
                <w:color w:val="000000"/>
                <w:shd w:val="clear" w:color="auto" w:fill="FFFFFF"/>
              </w:rPr>
            </w:pPr>
            <w:r w:rsidRPr="00DB56CF">
              <w:rPr>
                <w:color w:val="000000"/>
                <w:shd w:val="clear" w:color="auto" w:fill="FFFFFF"/>
              </w:rPr>
              <w:t>-398</w:t>
            </w:r>
          </w:p>
        </w:tc>
        <w:tc>
          <w:tcPr>
            <w:tcW w:w="976" w:type="dxa"/>
            <w:noWrap/>
            <w:hideMark/>
          </w:tcPr>
          <w:p w14:paraId="5A30BEE5" w14:textId="77777777" w:rsidR="00F55638" w:rsidRPr="00DB56CF" w:rsidRDefault="00F55638" w:rsidP="00142FD3">
            <w:pPr>
              <w:rPr>
                <w:color w:val="000000"/>
                <w:shd w:val="clear" w:color="auto" w:fill="FFFFFF"/>
              </w:rPr>
            </w:pPr>
            <w:r w:rsidRPr="00DB56CF">
              <w:rPr>
                <w:color w:val="000000"/>
                <w:shd w:val="clear" w:color="auto" w:fill="FFFFFF"/>
              </w:rPr>
              <w:t>-24%</w:t>
            </w:r>
          </w:p>
        </w:tc>
      </w:tr>
      <w:tr w:rsidR="00F55638" w:rsidRPr="00DB56CF" w14:paraId="63D7127F" w14:textId="77777777" w:rsidTr="00142FD3">
        <w:trPr>
          <w:trHeight w:val="320"/>
        </w:trPr>
        <w:tc>
          <w:tcPr>
            <w:tcW w:w="2552" w:type="dxa"/>
            <w:noWrap/>
            <w:hideMark/>
          </w:tcPr>
          <w:p w14:paraId="0C3A3945" w14:textId="77777777" w:rsidR="00F55638" w:rsidRPr="00DB56CF" w:rsidRDefault="00F55638" w:rsidP="00142FD3">
            <w:pPr>
              <w:rPr>
                <w:b/>
                <w:bCs/>
                <w:color w:val="000000"/>
                <w:shd w:val="clear" w:color="auto" w:fill="FFFFFF"/>
              </w:rPr>
            </w:pPr>
          </w:p>
        </w:tc>
        <w:tc>
          <w:tcPr>
            <w:tcW w:w="976" w:type="dxa"/>
            <w:noWrap/>
            <w:hideMark/>
          </w:tcPr>
          <w:p w14:paraId="30B3B79A" w14:textId="77777777" w:rsidR="00F55638" w:rsidRPr="00DB56CF" w:rsidRDefault="00F55638" w:rsidP="00142FD3">
            <w:pPr>
              <w:rPr>
                <w:b/>
                <w:bCs/>
                <w:color w:val="000000"/>
                <w:shd w:val="clear" w:color="auto" w:fill="FFFFFF"/>
              </w:rPr>
            </w:pPr>
          </w:p>
        </w:tc>
        <w:tc>
          <w:tcPr>
            <w:tcW w:w="976" w:type="dxa"/>
            <w:noWrap/>
            <w:hideMark/>
          </w:tcPr>
          <w:p w14:paraId="799756E0" w14:textId="77777777" w:rsidR="00F55638" w:rsidRPr="00DB56CF" w:rsidRDefault="00F55638" w:rsidP="00142FD3">
            <w:pPr>
              <w:rPr>
                <w:b/>
                <w:bCs/>
                <w:color w:val="000000"/>
                <w:shd w:val="clear" w:color="auto" w:fill="FFFFFF"/>
              </w:rPr>
            </w:pPr>
          </w:p>
        </w:tc>
        <w:tc>
          <w:tcPr>
            <w:tcW w:w="976" w:type="dxa"/>
            <w:noWrap/>
            <w:hideMark/>
          </w:tcPr>
          <w:p w14:paraId="3DECB79A" w14:textId="77777777" w:rsidR="00F55638" w:rsidRPr="00DB56CF" w:rsidRDefault="00F55638" w:rsidP="00142FD3">
            <w:pPr>
              <w:rPr>
                <w:b/>
                <w:bCs/>
                <w:color w:val="000000"/>
                <w:shd w:val="clear" w:color="auto" w:fill="FFFFFF"/>
              </w:rPr>
            </w:pPr>
          </w:p>
        </w:tc>
        <w:tc>
          <w:tcPr>
            <w:tcW w:w="970" w:type="dxa"/>
            <w:noWrap/>
            <w:hideMark/>
          </w:tcPr>
          <w:p w14:paraId="3D4C5BE6" w14:textId="77777777" w:rsidR="00F55638" w:rsidRPr="00DB56CF" w:rsidRDefault="00F55638" w:rsidP="00142FD3">
            <w:pPr>
              <w:rPr>
                <w:b/>
                <w:bCs/>
                <w:color w:val="000000"/>
                <w:shd w:val="clear" w:color="auto" w:fill="FFFFFF"/>
              </w:rPr>
            </w:pPr>
          </w:p>
        </w:tc>
        <w:tc>
          <w:tcPr>
            <w:tcW w:w="976" w:type="dxa"/>
            <w:noWrap/>
            <w:hideMark/>
          </w:tcPr>
          <w:p w14:paraId="356E4EF0" w14:textId="77777777" w:rsidR="00F55638" w:rsidRPr="00DB56CF" w:rsidRDefault="00F55638" w:rsidP="00142FD3">
            <w:pPr>
              <w:rPr>
                <w:b/>
                <w:bCs/>
                <w:color w:val="000000"/>
                <w:shd w:val="clear" w:color="auto" w:fill="FFFFFF"/>
              </w:rPr>
            </w:pPr>
          </w:p>
        </w:tc>
      </w:tr>
    </w:tbl>
    <w:p w14:paraId="4CED6CA6" w14:textId="77777777" w:rsidR="00F55638" w:rsidRDefault="00F55638" w:rsidP="00F55638">
      <w:pPr>
        <w:rPr>
          <w:b/>
          <w:bCs/>
          <w:color w:val="000000"/>
          <w:shd w:val="clear" w:color="auto" w:fill="FFFFFF"/>
        </w:rPr>
      </w:pPr>
    </w:p>
    <w:p w14:paraId="4B6E0654" w14:textId="77777777" w:rsidR="00F55638" w:rsidRDefault="00F55638" w:rsidP="00F55638">
      <w:pPr>
        <w:rPr>
          <w:rFonts w:eastAsia="Times New Roman" w:cs="Calibri"/>
          <w:lang w:eastAsia="en-GB"/>
        </w:rPr>
      </w:pPr>
      <w:r w:rsidRPr="00054FBA">
        <w:rPr>
          <w:rFonts w:eastAsia="Times New Roman" w:cs="Calibri"/>
          <w:lang w:eastAsia="en-GB"/>
        </w:rPr>
        <w:t xml:space="preserve">The data </w:t>
      </w:r>
      <w:r>
        <w:rPr>
          <w:rFonts w:eastAsia="Times New Roman" w:cs="Calibri"/>
          <w:lang w:eastAsia="en-GB"/>
        </w:rPr>
        <w:t xml:space="preserve">is </w:t>
      </w:r>
      <w:r w:rsidRPr="00054FBA">
        <w:rPr>
          <w:rFonts w:eastAsia="Times New Roman" w:cs="Calibri"/>
          <w:lang w:eastAsia="en-GB"/>
        </w:rPr>
        <w:t xml:space="preserve">taken from UK energy trends (March 2025) Table </w:t>
      </w:r>
      <w:proofErr w:type="gramStart"/>
      <w:r w:rsidRPr="00054FBA">
        <w:rPr>
          <w:rFonts w:eastAsia="Times New Roman" w:cs="Calibri"/>
          <w:lang w:eastAsia="en-GB"/>
        </w:rPr>
        <w:t>3.</w:t>
      </w:r>
      <w:r>
        <w:rPr>
          <w:rFonts w:eastAsia="Times New Roman" w:cs="Calibri"/>
          <w:lang w:eastAsia="en-GB"/>
        </w:rPr>
        <w:t xml:space="preserve">4 </w:t>
      </w:r>
      <w:r w:rsidRPr="00054FBA">
        <w:rPr>
          <w:rFonts w:eastAsia="Times New Roman" w:cs="Calibri"/>
          <w:lang w:eastAsia="en-GB"/>
        </w:rPr>
        <w:t xml:space="preserve"> </w:t>
      </w:r>
      <w:r w:rsidRPr="00DB56CF">
        <w:rPr>
          <w:rFonts w:eastAsia="Times New Roman" w:cs="Calibri"/>
          <w:lang w:eastAsia="en-GB"/>
        </w:rPr>
        <w:t>Supply</w:t>
      </w:r>
      <w:proofErr w:type="gramEnd"/>
      <w:r w:rsidRPr="00DB56CF">
        <w:rPr>
          <w:rFonts w:eastAsia="Times New Roman" w:cs="Calibri"/>
          <w:lang w:eastAsia="en-GB"/>
        </w:rPr>
        <w:t xml:space="preserve"> and use of petroleum </w:t>
      </w:r>
      <w:r>
        <w:rPr>
          <w:rFonts w:eastAsia="Times New Roman" w:cs="Calibri"/>
          <w:lang w:eastAsia="en-GB"/>
        </w:rPr>
        <w:t xml:space="preserve">products. It shows there is a significant increase in diesel for industrial purposes and a decline for transport purposes. </w:t>
      </w:r>
    </w:p>
    <w:p w14:paraId="56F59F2E" w14:textId="77777777" w:rsidR="00F55638" w:rsidRDefault="00F55638" w:rsidP="00F55638">
      <w:pPr>
        <w:rPr>
          <w:rFonts w:eastAsia="Times New Roman" w:cs="Calibri"/>
          <w:lang w:eastAsia="en-GB"/>
        </w:rPr>
      </w:pPr>
    </w:p>
    <w:p w14:paraId="27E8794F" w14:textId="77777777" w:rsidR="00F55638" w:rsidRPr="005E6A9D" w:rsidRDefault="00F55638" w:rsidP="00F55638">
      <w:pPr>
        <w:pStyle w:val="ListParagraph"/>
        <w:numPr>
          <w:ilvl w:val="0"/>
          <w:numId w:val="8"/>
        </w:numPr>
        <w:suppressAutoHyphens w:val="0"/>
        <w:autoSpaceDN/>
        <w:spacing w:after="160" w:line="278" w:lineRule="auto"/>
        <w:textAlignment w:val="auto"/>
        <w:rPr>
          <w:b/>
          <w:bCs/>
          <w:color w:val="000000"/>
          <w:shd w:val="clear" w:color="auto" w:fill="FFFFFF"/>
        </w:rPr>
      </w:pPr>
      <w:r>
        <w:rPr>
          <w:color w:val="000000"/>
          <w:shd w:val="clear" w:color="auto" w:fill="FFFFFF"/>
        </w:rPr>
        <w:t xml:space="preserve">Over the course of 2024, there is anecdotal evidence of significant shift in the use of HVO with announcements from </w:t>
      </w:r>
      <w:proofErr w:type="gramStart"/>
      <w:r>
        <w:rPr>
          <w:color w:val="000000"/>
          <w:shd w:val="clear" w:color="auto" w:fill="FFFFFF"/>
        </w:rPr>
        <w:t>a number of</w:t>
      </w:r>
      <w:proofErr w:type="gramEnd"/>
      <w:r>
        <w:rPr>
          <w:color w:val="000000"/>
          <w:shd w:val="clear" w:color="auto" w:fill="FFFFFF"/>
        </w:rPr>
        <w:t xml:space="preserve"> major airports (Gatwick and Birmingham and Belfast), major fleet operators (such as RAC, DHL), construction companies (such as Keir) and public organisations (such as local councils for refuse trucks) to name a few. As noted by the TRA “</w:t>
      </w:r>
      <w:r w:rsidRPr="00737B8D">
        <w:rPr>
          <w:color w:val="000000"/>
          <w:shd w:val="clear" w:color="auto" w:fill="FFFFFF"/>
        </w:rPr>
        <w:t>HVO can also be blended without any limits and can be used as a pure 100 product without causing damage to engines</w:t>
      </w:r>
      <w:r>
        <w:rPr>
          <w:color w:val="000000"/>
          <w:shd w:val="clear" w:color="auto" w:fill="FFFFFF"/>
        </w:rPr>
        <w:t xml:space="preserve">” which is undisputed by the </w:t>
      </w:r>
      <w:proofErr w:type="gramStart"/>
      <w:r>
        <w:rPr>
          <w:color w:val="000000"/>
          <w:shd w:val="clear" w:color="auto" w:fill="FFFFFF"/>
        </w:rPr>
        <w:t>applicant, and</w:t>
      </w:r>
      <w:proofErr w:type="gramEnd"/>
      <w:r>
        <w:rPr>
          <w:color w:val="000000"/>
          <w:shd w:val="clear" w:color="auto" w:fill="FFFFFF"/>
        </w:rPr>
        <w:t xml:space="preserve"> also acknowledges the limitations of FAME.</w:t>
      </w:r>
      <w:r w:rsidRPr="00737B8D">
        <w:t xml:space="preserve"> </w:t>
      </w:r>
      <w:r w:rsidRPr="00737B8D">
        <w:rPr>
          <w:color w:val="000000"/>
          <w:shd w:val="clear" w:color="auto" w:fill="FFFFFF"/>
        </w:rPr>
        <w:t xml:space="preserve">Many engines require retrofitting to successful employ high blend FAME based fuels, consequently HVO and FAME do not share the same </w:t>
      </w:r>
      <w:r>
        <w:rPr>
          <w:color w:val="000000"/>
          <w:shd w:val="clear" w:color="auto" w:fill="FFFFFF"/>
        </w:rPr>
        <w:t xml:space="preserve">fuel </w:t>
      </w:r>
      <w:r w:rsidRPr="00737B8D">
        <w:rPr>
          <w:color w:val="000000"/>
          <w:shd w:val="clear" w:color="auto" w:fill="FFFFFF"/>
        </w:rPr>
        <w:t>specifications (EN15940 – paraffinic Diesel vs EN 14214 – FAME) upon which OEMs throughout the supply chain base approvals and warranty guarantees</w:t>
      </w:r>
      <w:r>
        <w:rPr>
          <w:color w:val="000000"/>
          <w:shd w:val="clear" w:color="auto" w:fill="FFFFFF"/>
        </w:rPr>
        <w:t>.</w:t>
      </w:r>
    </w:p>
    <w:p w14:paraId="1C829E1F" w14:textId="77777777" w:rsidR="00F55638" w:rsidRPr="005E6A9D" w:rsidRDefault="00F55638" w:rsidP="00F55638">
      <w:pPr>
        <w:pStyle w:val="ListParagraph"/>
        <w:rPr>
          <w:b/>
          <w:bCs/>
          <w:color w:val="000000"/>
          <w:shd w:val="clear" w:color="auto" w:fill="FFFFFF"/>
        </w:rPr>
      </w:pPr>
    </w:p>
    <w:p w14:paraId="59F8DD9B" w14:textId="77777777" w:rsidR="00F55638" w:rsidRPr="00737B8D" w:rsidRDefault="00F55638" w:rsidP="00F55638">
      <w:pPr>
        <w:pStyle w:val="ListParagraph"/>
        <w:numPr>
          <w:ilvl w:val="0"/>
          <w:numId w:val="8"/>
        </w:numPr>
        <w:suppressAutoHyphens w:val="0"/>
        <w:autoSpaceDN/>
        <w:spacing w:after="160" w:line="278" w:lineRule="auto"/>
        <w:textAlignment w:val="auto"/>
        <w:rPr>
          <w:b/>
          <w:bCs/>
          <w:color w:val="000000"/>
          <w:shd w:val="clear" w:color="auto" w:fill="FFFFFF"/>
        </w:rPr>
      </w:pPr>
      <w:r>
        <w:rPr>
          <w:color w:val="000000"/>
          <w:shd w:val="clear" w:color="auto" w:fill="FFFFFF"/>
        </w:rPr>
        <w:t xml:space="preserve">There is also significant evidence of HVO being sold directly at forecourts and bunker sites with announcements in the last year by BP, Certas and UK Fuels among others totalling over 100 sites. </w:t>
      </w:r>
    </w:p>
    <w:p w14:paraId="3B5A750D" w14:textId="77777777" w:rsidR="00F55638" w:rsidRPr="00737B8D" w:rsidRDefault="00F55638" w:rsidP="00F55638">
      <w:pPr>
        <w:pStyle w:val="ListParagraph"/>
        <w:rPr>
          <w:b/>
          <w:bCs/>
          <w:color w:val="000000"/>
          <w:shd w:val="clear" w:color="auto" w:fill="FFFFFF"/>
        </w:rPr>
      </w:pPr>
    </w:p>
    <w:p w14:paraId="18494339" w14:textId="77777777" w:rsidR="00F55638" w:rsidRPr="00F1562E" w:rsidRDefault="00F55638" w:rsidP="00F55638">
      <w:pPr>
        <w:pStyle w:val="ListParagraph"/>
        <w:numPr>
          <w:ilvl w:val="0"/>
          <w:numId w:val="8"/>
        </w:numPr>
        <w:suppressAutoHyphens w:val="0"/>
        <w:autoSpaceDN/>
        <w:spacing w:after="160" w:line="278" w:lineRule="auto"/>
        <w:textAlignment w:val="auto"/>
        <w:rPr>
          <w:b/>
          <w:bCs/>
        </w:rPr>
      </w:pPr>
      <w:r w:rsidRPr="00F1562E">
        <w:rPr>
          <w:color w:val="000000"/>
          <w:shd w:val="clear" w:color="auto" w:fill="FFFFFF"/>
        </w:rPr>
        <w:t>Since the removal of antidumping measures, post TRA review, the US has reformed its taxation system, making the export of US HVO less attractive to producers</w:t>
      </w:r>
      <w:r>
        <w:rPr>
          <w:color w:val="000000"/>
          <w:shd w:val="clear" w:color="auto" w:fill="FFFFFF"/>
        </w:rPr>
        <w:t xml:space="preserve">. The new rules </w:t>
      </w:r>
      <w:r w:rsidRPr="00F1562E">
        <w:rPr>
          <w:color w:val="000000"/>
          <w:shd w:val="clear" w:color="auto" w:fill="FFFFFF"/>
        </w:rPr>
        <w:t xml:space="preserve">do not allow US producers to claim </w:t>
      </w:r>
      <w:r>
        <w:rPr>
          <w:color w:val="000000"/>
          <w:shd w:val="clear" w:color="auto" w:fill="FFFFFF"/>
        </w:rPr>
        <w:t xml:space="preserve">a </w:t>
      </w:r>
      <w:r w:rsidRPr="00F1562E">
        <w:rPr>
          <w:color w:val="000000"/>
          <w:shd w:val="clear" w:color="auto" w:fill="FFFFFF"/>
        </w:rPr>
        <w:t>tax credit</w:t>
      </w:r>
      <w:r>
        <w:rPr>
          <w:color w:val="000000"/>
          <w:shd w:val="clear" w:color="auto" w:fill="FFFFFF"/>
        </w:rPr>
        <w:t xml:space="preserve"> for</w:t>
      </w:r>
      <w:r w:rsidRPr="00F1562E">
        <w:rPr>
          <w:color w:val="000000"/>
          <w:shd w:val="clear" w:color="auto" w:fill="FFFFFF"/>
        </w:rPr>
        <w:t xml:space="preserve"> using imported used cooking oil (UCO), meaning US supply of UCO-based HVO could decrease or be reserved for the domestic market. </w:t>
      </w:r>
    </w:p>
    <w:p w14:paraId="4DA4B0D5" w14:textId="77777777" w:rsidR="00F55638" w:rsidRPr="00F1562E" w:rsidRDefault="00F55638" w:rsidP="00F55638">
      <w:pPr>
        <w:pStyle w:val="ListParagraph"/>
        <w:rPr>
          <w:b/>
          <w:bCs/>
        </w:rPr>
      </w:pPr>
    </w:p>
    <w:p w14:paraId="4220AE06" w14:textId="77777777" w:rsidR="00F55638" w:rsidRPr="00F1562E" w:rsidRDefault="00F55638" w:rsidP="00F55638">
      <w:pPr>
        <w:pStyle w:val="ListParagraph"/>
        <w:numPr>
          <w:ilvl w:val="0"/>
          <w:numId w:val="8"/>
        </w:numPr>
        <w:suppressAutoHyphens w:val="0"/>
        <w:autoSpaceDN/>
        <w:spacing w:after="160" w:line="278" w:lineRule="auto"/>
        <w:textAlignment w:val="auto"/>
        <w:rPr>
          <w:b/>
          <w:bCs/>
        </w:rPr>
      </w:pPr>
      <w:r>
        <w:t xml:space="preserve">Since the previous TRA adjudication the UK Government has announced new legislation within the Energy Act 2023 which allows for the introduction of a Renewable Liquid Heating Fuel Obligation. This will be similar in operation to the RTFO and will increase further the use of HVO as opposed to FAME. We also understand that the Department for Transport are consulting on increasing the RTFO obligation further. </w:t>
      </w:r>
    </w:p>
    <w:p w14:paraId="7AC1036D" w14:textId="77777777" w:rsidR="00F55638" w:rsidRPr="00F1562E" w:rsidRDefault="00F55638" w:rsidP="00F55638">
      <w:pPr>
        <w:pStyle w:val="ListParagraph"/>
        <w:rPr>
          <w:b/>
          <w:bCs/>
        </w:rPr>
      </w:pPr>
    </w:p>
    <w:p w14:paraId="59AD7856" w14:textId="77777777" w:rsidR="00F55638" w:rsidRPr="00F1562E" w:rsidRDefault="00F55638" w:rsidP="00F55638">
      <w:pPr>
        <w:rPr>
          <w:b/>
          <w:bCs/>
        </w:rPr>
      </w:pPr>
      <w:r w:rsidRPr="00F1562E">
        <w:rPr>
          <w:b/>
          <w:bCs/>
        </w:rPr>
        <w:t>Summary</w:t>
      </w:r>
    </w:p>
    <w:p w14:paraId="6EEE724D" w14:textId="77777777" w:rsidR="00F55638" w:rsidRDefault="00F55638" w:rsidP="00F55638">
      <w:pPr>
        <w:rPr>
          <w:rFonts w:eastAsia="Times New Roman" w:cs="Arial"/>
          <w:iCs/>
        </w:rPr>
      </w:pPr>
    </w:p>
    <w:p w14:paraId="4CA3E5DD" w14:textId="77777777" w:rsidR="00F55638" w:rsidRDefault="00F55638" w:rsidP="00F55638">
      <w:pPr>
        <w:rPr>
          <w:rFonts w:eastAsia="Times New Roman" w:cs="Arial"/>
          <w:iCs/>
        </w:rPr>
      </w:pPr>
      <w:r w:rsidRPr="00C136F2">
        <w:rPr>
          <w:rFonts w:eastAsia="Times New Roman" w:cs="Arial"/>
          <w:iCs/>
        </w:rPr>
        <w:t xml:space="preserve">The FAME market is largely limited to up to 7% physical blends in obligated Diesel fuel </w:t>
      </w:r>
      <w:r>
        <w:rPr>
          <w:rFonts w:eastAsia="Times New Roman" w:cs="Arial"/>
          <w:iCs/>
        </w:rPr>
        <w:t>which as shown by the statistics in this response is a declining market.</w:t>
      </w:r>
    </w:p>
    <w:p w14:paraId="46B62CB8" w14:textId="77777777" w:rsidR="00F55638" w:rsidRDefault="00F55638" w:rsidP="00F55638">
      <w:pPr>
        <w:rPr>
          <w:rFonts w:eastAsia="Times New Roman" w:cs="Arial"/>
          <w:iCs/>
        </w:rPr>
      </w:pPr>
    </w:p>
    <w:p w14:paraId="55DE7C17" w14:textId="77777777" w:rsidR="00F55638" w:rsidRDefault="00F55638" w:rsidP="00F55638">
      <w:pPr>
        <w:rPr>
          <w:rFonts w:eastAsia="Times New Roman" w:cs="Arial"/>
          <w:iCs/>
        </w:rPr>
      </w:pPr>
      <w:r>
        <w:rPr>
          <w:rFonts w:eastAsia="Times New Roman" w:cs="Arial"/>
          <w:iCs/>
        </w:rPr>
        <w:t xml:space="preserve">FAME </w:t>
      </w:r>
      <w:r w:rsidRPr="00C136F2">
        <w:rPr>
          <w:rFonts w:eastAsia="Times New Roman" w:cs="Arial"/>
          <w:iCs/>
        </w:rPr>
        <w:t xml:space="preserve">struggles to </w:t>
      </w:r>
      <w:r>
        <w:rPr>
          <w:rFonts w:eastAsia="Times New Roman" w:cs="Arial"/>
          <w:iCs/>
        </w:rPr>
        <w:t xml:space="preserve">make </w:t>
      </w:r>
      <w:r w:rsidRPr="00C136F2">
        <w:rPr>
          <w:rFonts w:eastAsia="Times New Roman" w:cs="Arial"/>
          <w:iCs/>
        </w:rPr>
        <w:t>any foothold as a high blend equivalent to Diesel fuel</w:t>
      </w:r>
      <w:r>
        <w:rPr>
          <w:rFonts w:eastAsia="Times New Roman" w:cs="Arial"/>
          <w:iCs/>
        </w:rPr>
        <w:t xml:space="preserve"> as is shown again by the data and the anecdotal evidence of consumer behaviour and contracting strategies. </w:t>
      </w:r>
    </w:p>
    <w:p w14:paraId="534B51C0" w14:textId="77777777" w:rsidR="00F55638" w:rsidRDefault="00F55638" w:rsidP="00F55638">
      <w:pPr>
        <w:rPr>
          <w:rFonts w:eastAsia="Times New Roman" w:cs="Arial"/>
          <w:iCs/>
        </w:rPr>
      </w:pPr>
    </w:p>
    <w:p w14:paraId="0B8C12F6" w14:textId="77777777" w:rsidR="00F55638" w:rsidRDefault="00F55638" w:rsidP="00F55638">
      <w:pPr>
        <w:rPr>
          <w:rFonts w:eastAsia="Times New Roman" w:cs="Arial"/>
          <w:iCs/>
        </w:rPr>
      </w:pPr>
      <w:r>
        <w:rPr>
          <w:rFonts w:eastAsia="Times New Roman" w:cs="Arial"/>
          <w:iCs/>
        </w:rPr>
        <w:t xml:space="preserve">We are therefore unsurprised that HVO usage has increased, and FAME usage declined. </w:t>
      </w:r>
    </w:p>
    <w:p w14:paraId="17C0238A" w14:textId="77777777" w:rsidR="00F55638" w:rsidRDefault="00F55638" w:rsidP="00F55638">
      <w:pPr>
        <w:rPr>
          <w:rFonts w:eastAsia="Times New Roman" w:cs="Arial"/>
          <w:iCs/>
        </w:rPr>
      </w:pPr>
    </w:p>
    <w:p w14:paraId="41201324" w14:textId="77777777" w:rsidR="00F55638" w:rsidRDefault="00F55638" w:rsidP="00F55638">
      <w:pPr>
        <w:rPr>
          <w:rFonts w:eastAsia="Times New Roman" w:cs="Arial"/>
          <w:iCs/>
        </w:rPr>
      </w:pPr>
      <w:r w:rsidRPr="00C136F2">
        <w:rPr>
          <w:rFonts w:eastAsia="Times New Roman" w:cs="Arial"/>
          <w:iCs/>
        </w:rPr>
        <w:t xml:space="preserve">In recent years, HVO usage has grown within the UK based on its clear technical advantages toward other renewable fuel solutions and has thus contributed greatly to the UK’s net zero objectives. </w:t>
      </w:r>
    </w:p>
    <w:p w14:paraId="068B13CA" w14:textId="77777777" w:rsidR="00F55638" w:rsidRDefault="00F55638" w:rsidP="00F55638">
      <w:pPr>
        <w:rPr>
          <w:rFonts w:eastAsia="Times New Roman" w:cs="Arial"/>
          <w:iCs/>
        </w:rPr>
      </w:pPr>
    </w:p>
    <w:p w14:paraId="2082D958" w14:textId="77777777" w:rsidR="00F55638" w:rsidRPr="00C136F2" w:rsidRDefault="00F55638" w:rsidP="00F55638">
      <w:pPr>
        <w:rPr>
          <w:rFonts w:eastAsia="Times New Roman" w:cs="Arial"/>
          <w:b/>
          <w:bCs/>
          <w:iCs/>
        </w:rPr>
      </w:pPr>
      <w:r w:rsidRPr="00C136F2">
        <w:rPr>
          <w:rFonts w:eastAsia="Times New Roman" w:cs="Arial"/>
          <w:b/>
          <w:bCs/>
          <w:iCs/>
        </w:rPr>
        <w:t>These gains are at risk should trade remedies be imposed once again.</w:t>
      </w:r>
    </w:p>
    <w:p w14:paraId="56D8B7D8" w14:textId="77777777" w:rsidR="00F55638" w:rsidRDefault="00F55638" w:rsidP="00F55638">
      <w:pPr>
        <w:snapToGrid w:val="0"/>
        <w:rPr>
          <w:color w:val="000000"/>
        </w:rPr>
      </w:pP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6" w:name="_Toc192874785"/>
      <w:r>
        <w:t>B</w:t>
      </w:r>
      <w:r w:rsidR="00B65089">
        <w:t>3</w:t>
      </w:r>
      <w:r>
        <w:t xml:space="preserve"> – E</w:t>
      </w:r>
      <w:r w:rsidR="481C946F">
        <w:t>conomic Interest Test</w:t>
      </w:r>
      <w:bookmarkEnd w:id="26"/>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7" w:name="_Toc192874786"/>
      <w:r>
        <w:t>B</w:t>
      </w:r>
      <w:r w:rsidR="00B65089">
        <w:t>4</w:t>
      </w:r>
      <w:r>
        <w:t xml:space="preserve"> – Anything else</w:t>
      </w:r>
      <w:bookmarkEnd w:id="27"/>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w:lastRenderedPageBreak/>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735029"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8"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735029"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 w:id="2">
    <w:p w14:paraId="5311C01F" w14:textId="77777777" w:rsidR="00F55638" w:rsidRDefault="00F55638" w:rsidP="00F55638">
      <w:pPr>
        <w:pStyle w:val="EndnoteText"/>
      </w:pPr>
      <w:r>
        <w:rPr>
          <w:rStyle w:val="EndnoteReference"/>
        </w:rPr>
        <w:endnoteRef/>
      </w:r>
      <w:r>
        <w:t xml:space="preserve"> </w:t>
      </w:r>
      <w:hyperlink r:id="rId1" w:history="1">
        <w:r w:rsidRPr="00426A79">
          <w:rPr>
            <w:rStyle w:val="Hyperlink"/>
          </w:rPr>
          <w:t>https://www.eia.gov/totalenergy/data/monthly/pdf/sec10_9.pdf</w:t>
        </w:r>
      </w:hyperlink>
    </w:p>
    <w:p w14:paraId="6B043941" w14:textId="77777777" w:rsidR="00F55638" w:rsidRDefault="00F55638" w:rsidP="00F55638">
      <w:pPr>
        <w:pStyle w:val="EndnoteText"/>
      </w:pPr>
    </w:p>
  </w:endnote>
  <w:endnote w:id="3">
    <w:p w14:paraId="1C156435" w14:textId="77777777" w:rsidR="00F55638" w:rsidRPr="00157DD0" w:rsidRDefault="00F55638" w:rsidP="00F55638">
      <w:pPr>
        <w:rPr>
          <w:rFonts w:ascii="Aptos Narrow" w:eastAsia="Times New Roman" w:hAnsi="Aptos Narrow"/>
          <w:color w:val="000000"/>
          <w:sz w:val="22"/>
          <w:lang w:eastAsia="en-GB"/>
        </w:rPr>
      </w:pPr>
      <w:r>
        <w:rPr>
          <w:rStyle w:val="EndnoteReference"/>
        </w:rPr>
        <w:endnoteRef/>
      </w:r>
      <w:r>
        <w:t xml:space="preserve"> </w:t>
      </w:r>
      <w:r w:rsidRPr="00157DD0">
        <w:rPr>
          <w:rFonts w:ascii="Aptos Narrow" w:eastAsia="Times New Roman" w:hAnsi="Aptos Narrow"/>
          <w:color w:val="000000"/>
          <w:sz w:val="22"/>
          <w:lang w:eastAsia="en-GB"/>
        </w:rPr>
        <w:t>https://www.eia.gov/dnav/pet/pet_move_impcus_a2_nus_EPOORDO_im0_mbbl_m.htm</w:t>
      </w:r>
    </w:p>
    <w:p w14:paraId="7BB206D0" w14:textId="77777777" w:rsidR="00F55638" w:rsidRDefault="00F55638" w:rsidP="00F55638">
      <w:pPr>
        <w:pStyle w:val="EndnoteText"/>
      </w:pPr>
    </w:p>
  </w:endnote>
  <w:endnote w:id="4">
    <w:p w14:paraId="77BC574A" w14:textId="77777777" w:rsidR="00F55638" w:rsidRDefault="00F55638" w:rsidP="00F55638">
      <w:pPr>
        <w:pStyle w:val="EndnoteText"/>
      </w:pPr>
      <w:r>
        <w:rPr>
          <w:rStyle w:val="EndnoteReference"/>
        </w:rPr>
        <w:endnoteRef/>
      </w:r>
      <w:r>
        <w:t xml:space="preserve"> </w:t>
      </w:r>
      <w:r w:rsidRPr="00157DD0">
        <w:t>https://biodieselmagazine.com/articles/eia-us-imports-of-renewable-diesel-increased-in-the-early-months-of-2024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8"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9" w:name="_Hlk43194575"/>
          <w:r w:rsidRPr="006B79D0">
            <w:rPr>
              <w:rFonts w:ascii="Arial" w:hAnsi="Arial" w:cs="Arial"/>
              <w:sz w:val="19"/>
              <w:szCs w:val="19"/>
            </w:rPr>
            <w:t>Trade Remedies Authority</w:t>
          </w:r>
        </w:p>
        <w:p w14:paraId="0AD6506D" w14:textId="4B75955F" w:rsidR="00263009" w:rsidRPr="006B79D0" w:rsidRDefault="00735029"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572138">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1"/>
                <w14:checkedState w14:val="2612" w14:font="MS Gothic"/>
                <w14:uncheckedState w14:val="2610" w14:font="MS Gothic"/>
              </w14:checkbox>
            </w:sdtPr>
            <w:sdtEndPr/>
            <w:sdtContent>
              <w:r w:rsidR="0057213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9"/>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8"/>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0517D"/>
    <w:multiLevelType w:val="hybridMultilevel"/>
    <w:tmpl w:val="BBBCC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C44D26"/>
    <w:multiLevelType w:val="hybridMultilevel"/>
    <w:tmpl w:val="F1CA6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0D2640"/>
    <w:multiLevelType w:val="hybridMultilevel"/>
    <w:tmpl w:val="74289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8"/>
  </w:num>
  <w:num w:numId="2" w16cid:durableId="1554735382">
    <w:abstractNumId w:val="2"/>
  </w:num>
  <w:num w:numId="3" w16cid:durableId="654144478">
    <w:abstractNumId w:val="4"/>
  </w:num>
  <w:num w:numId="4" w16cid:durableId="1404333971">
    <w:abstractNumId w:val="0"/>
  </w:num>
  <w:num w:numId="5" w16cid:durableId="52311182">
    <w:abstractNumId w:val="6"/>
  </w:num>
  <w:num w:numId="6" w16cid:durableId="2084253566">
    <w:abstractNumId w:val="3"/>
  </w:num>
  <w:num w:numId="7" w16cid:durableId="1686246560">
    <w:abstractNumId w:val="9"/>
  </w:num>
  <w:num w:numId="8" w16cid:durableId="1476333119">
    <w:abstractNumId w:val="5"/>
  </w:num>
  <w:num w:numId="9" w16cid:durableId="530920836">
    <w:abstractNumId w:val="7"/>
  </w:num>
  <w:num w:numId="10" w16cid:durableId="896280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72138"/>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17A50"/>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55638"/>
    <w:rsid w:val="00FB0516"/>
    <w:rsid w:val="00FD051D"/>
    <w:rsid w:val="00FD3AFD"/>
    <w:rsid w:val="00FE653C"/>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638"/>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 w:type="table" w:customStyle="1" w:styleId="TableGrid1">
    <w:name w:val="Table Grid1"/>
    <w:basedOn w:val="TableNormal"/>
    <w:next w:val="TableGrid"/>
    <w:uiPriority w:val="39"/>
    <w:rsid w:val="00F5563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55638"/>
    <w:pPr>
      <w:suppressAutoHyphens w:val="0"/>
      <w:autoSpaceDN/>
      <w:textAlignment w:val="auto"/>
    </w:pPr>
    <w:rPr>
      <w:rFonts w:asciiTheme="minorHAnsi" w:eastAsiaTheme="minorHAnsi" w:hAnsiTheme="minorHAnsi" w:cstheme="minorBidi"/>
      <w:kern w:val="2"/>
      <w:sz w:val="20"/>
      <w:szCs w:val="20"/>
      <w14:ligatures w14:val="standardContextual"/>
    </w:rPr>
  </w:style>
  <w:style w:type="character" w:customStyle="1" w:styleId="EndnoteTextChar">
    <w:name w:val="Endnote Text Char"/>
    <w:basedOn w:val="DefaultParagraphFont"/>
    <w:link w:val="EndnoteText"/>
    <w:uiPriority w:val="99"/>
    <w:semiHidden/>
    <w:rsid w:val="00F55638"/>
    <w:rPr>
      <w:kern w:val="2"/>
      <w:sz w:val="20"/>
      <w:szCs w:val="20"/>
      <w14:ligatures w14:val="standardContextual"/>
    </w:rPr>
  </w:style>
  <w:style w:type="character" w:styleId="EndnoteReference">
    <w:name w:val="endnote reference"/>
    <w:basedOn w:val="DefaultParagraphFont"/>
    <w:uiPriority w:val="99"/>
    <w:semiHidden/>
    <w:unhideWhenUsed/>
    <w:rsid w:val="00F55638"/>
    <w:rPr>
      <w:vertAlign w:val="superscript"/>
    </w:rPr>
  </w:style>
  <w:style w:type="character" w:customStyle="1" w:styleId="cf01">
    <w:name w:val="cf01"/>
    <w:basedOn w:val="DefaultParagraphFont"/>
    <w:rsid w:val="00F556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0" Type="http://schemas.openxmlformats.org/officeDocument/2006/relationships/fontTable" Target="fontTable.xml"/><Relationship Id="rId16" Type="http://schemas.openxmlformats.org/officeDocument/2006/relationships/hyperlink" Target="https://www.trade-remedies.service.gov.uk/public/case/AD006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eia.gov/totalenergy/data/monthly/pdf/sec10_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2.xml><?xml version="1.0" encoding="utf-8"?>
<ds:datastoreItem xmlns:ds="http://schemas.openxmlformats.org/officeDocument/2006/customXml" ds:itemID="{EB1F2BB1-481C-4595-ACEA-7C7DEA94519E}">
  <ds:schemaRefs>
    <ds:schemaRef ds:uri="Microsoft.SharePoint.Taxonomy.ContentTypeSync"/>
  </ds:schemaRefs>
</ds:datastoreItem>
</file>

<file path=customXml/itemProps3.xml><?xml version="1.0" encoding="utf-8"?>
<ds:datastoreItem xmlns:ds="http://schemas.openxmlformats.org/officeDocument/2006/customXml" ds:itemID="{6B620E49-5462-4AE6-8389-7410D39E202C}"/>
</file>

<file path=customXml/itemProps4.xml><?xml version="1.0" encoding="utf-8"?>
<ds:datastoreItem xmlns:ds="http://schemas.openxmlformats.org/officeDocument/2006/customXml" ds:itemID="{B2586ABD-0027-4C20-8639-8F775AD49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2727</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2025-04-04T14:32:00Z</dcterms:created>
  <dcterms:modified xsi:type="dcterms:W3CDTF">2025-04-04T14:32:00Z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