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CA705-E4ED-4D67-B200-2915BE77A179}"/>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