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9F24181E-0F41-43AB-9A36-94D0F2D09039}"/>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