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0819C33B-03D9-4B59-856F-40D68327E68F}"/>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