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878AA00-F11B-4DC8-8A00-4AD09C0DDDC3}"/>
</file>

<file path=customXml/itemProps2.xml><?xml version="1.0" encoding="utf-8"?>
<ds:datastoreItem xmlns:ds="http://schemas.openxmlformats.org/officeDocument/2006/customXml" ds:itemID="{75017782-8300-44CC-A9B3-11E9015C8FB8}"/>
</file>

<file path=customXml/itemProps3.xml><?xml version="1.0" encoding="utf-8"?>
<ds:datastoreItem xmlns:ds="http://schemas.openxmlformats.org/officeDocument/2006/customXml" ds:itemID="{276E1113-F174-4EED-AB42-781064C001ED}"/>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