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F6F409A-99A3-4F15-827B-AC52B9C50C03}"/>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