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428" w:rsidRPr="000C5603" w:rsidRDefault="00C40428" w:rsidP="00C40428">
      <w:pPr>
        <w:pStyle w:val="NoSpacing"/>
        <w:jc w:val="right"/>
        <w:rPr>
          <w:i/>
          <w:iCs/>
          <w:color w:val="000000" w:themeColor="text1"/>
          <w:sz w:val="16"/>
          <w:szCs w:val="16"/>
        </w:rPr>
      </w:pPr>
      <w:r w:rsidRPr="000C5603">
        <w:rPr>
          <w:i/>
          <w:iCs/>
          <w:color w:val="000000" w:themeColor="text1"/>
          <w:sz w:val="16"/>
          <w:szCs w:val="16"/>
        </w:rPr>
        <w:t>ISTA submi</w:t>
      </w:r>
      <w:r>
        <w:rPr>
          <w:i/>
          <w:iCs/>
          <w:color w:val="000000" w:themeColor="text1"/>
          <w:sz w:val="16"/>
          <w:szCs w:val="16"/>
        </w:rPr>
        <w:t>s</w:t>
      </w:r>
      <w:r w:rsidRPr="000C5603">
        <w:rPr>
          <w:i/>
          <w:iCs/>
          <w:color w:val="000000" w:themeColor="text1"/>
          <w:sz w:val="16"/>
          <w:szCs w:val="16"/>
        </w:rPr>
        <w:t>sion to TRA Feb 2023v3</w:t>
      </w:r>
      <w:r>
        <w:rPr>
          <w:i/>
          <w:iCs/>
          <w:color w:val="000000" w:themeColor="text1"/>
          <w:sz w:val="16"/>
          <w:szCs w:val="16"/>
        </w:rPr>
        <w:t xml:space="preserve"> </w:t>
      </w:r>
      <w:r>
        <w:rPr>
          <w:i/>
          <w:iCs/>
          <w:color w:val="000000" w:themeColor="text1"/>
          <w:sz w:val="16"/>
          <w:szCs w:val="16"/>
        </w:rPr>
        <w:t>non</w:t>
      </w:r>
      <w:r>
        <w:rPr>
          <w:i/>
          <w:iCs/>
          <w:color w:val="000000" w:themeColor="text1"/>
          <w:sz w:val="16"/>
          <w:szCs w:val="16"/>
        </w:rPr>
        <w:t>confidential</w:t>
      </w:r>
    </w:p>
    <w:p w:rsidR="00C40428" w:rsidRPr="00F26633" w:rsidRDefault="00C40428" w:rsidP="00C40428">
      <w:pPr>
        <w:pStyle w:val="NoSpacing"/>
        <w:rPr>
          <w:b/>
          <w:bCs/>
          <w:color w:val="000000" w:themeColor="text1"/>
          <w:u w:val="single"/>
        </w:rPr>
      </w:pPr>
      <w:r>
        <w:rPr>
          <w:b/>
          <w:bCs/>
          <w:color w:val="000000" w:themeColor="text1"/>
          <w:u w:val="single"/>
        </w:rPr>
        <w:t>NON-</w:t>
      </w:r>
      <w:r w:rsidRPr="00F26633">
        <w:rPr>
          <w:b/>
          <w:bCs/>
          <w:color w:val="000000" w:themeColor="text1"/>
          <w:u w:val="single"/>
        </w:rPr>
        <w:t>CONFIDENTIAL</w:t>
      </w:r>
    </w:p>
    <w:p w:rsidR="00C40428" w:rsidRDefault="00C40428" w:rsidP="00C40428">
      <w:pPr>
        <w:pStyle w:val="NoSpacing"/>
        <w:rPr>
          <w:b/>
          <w:bCs/>
          <w:color w:val="000000" w:themeColor="text1"/>
        </w:rPr>
      </w:pPr>
      <w:r>
        <w:rPr>
          <w:b/>
          <w:bCs/>
          <w:color w:val="000000" w:themeColor="text1"/>
        </w:rPr>
        <w:t>THE INTERNATIONAL STEEL TRADE ASSOCIATION</w:t>
      </w:r>
    </w:p>
    <w:p w:rsidR="00C40428" w:rsidRDefault="00C40428" w:rsidP="00C40428">
      <w:pPr>
        <w:pStyle w:val="NoSpacing"/>
        <w:rPr>
          <w:b/>
          <w:bCs/>
          <w:color w:val="000000" w:themeColor="text1"/>
        </w:rPr>
      </w:pPr>
      <w:r>
        <w:rPr>
          <w:b/>
          <w:bCs/>
          <w:color w:val="000000" w:themeColor="text1"/>
        </w:rPr>
        <w:t>83 Victoria Street, London SW1H 0HW</w:t>
      </w:r>
    </w:p>
    <w:p w:rsidR="00C40428" w:rsidRDefault="00C40428" w:rsidP="00C40428">
      <w:pPr>
        <w:pStyle w:val="NoSpacing"/>
        <w:rPr>
          <w:b/>
          <w:bCs/>
          <w:color w:val="000000" w:themeColor="text1"/>
        </w:rPr>
      </w:pPr>
    </w:p>
    <w:p w:rsidR="00C40428" w:rsidRDefault="00C40428" w:rsidP="00C40428">
      <w:pPr>
        <w:pStyle w:val="NoSpacing"/>
        <w:jc w:val="center"/>
        <w:rPr>
          <w:b/>
          <w:bCs/>
          <w:color w:val="000000" w:themeColor="text1"/>
        </w:rPr>
      </w:pPr>
    </w:p>
    <w:p w:rsidR="00C40428" w:rsidRPr="00142124" w:rsidRDefault="00C40428" w:rsidP="00C40428">
      <w:pPr>
        <w:pStyle w:val="NoSpacing"/>
        <w:rPr>
          <w:b/>
          <w:bCs/>
          <w:color w:val="000000" w:themeColor="text1"/>
        </w:rPr>
      </w:pPr>
      <w:r w:rsidRPr="00142124">
        <w:rPr>
          <w:b/>
          <w:bCs/>
          <w:color w:val="000000" w:themeColor="text1"/>
        </w:rPr>
        <w:t xml:space="preserve">TRA REVIEW OF TARIFF RATE QUOTA REVIEW OF DEVELOPING COUNTRY EXCEPTIONS – Review No. TQ0030 </w:t>
      </w:r>
    </w:p>
    <w:p w:rsidR="00C40428" w:rsidRPr="00142124" w:rsidRDefault="00C40428" w:rsidP="00C40428">
      <w:pPr>
        <w:pStyle w:val="NoSpacing"/>
        <w:rPr>
          <w:b/>
          <w:bCs/>
          <w:color w:val="000000" w:themeColor="text1"/>
        </w:rPr>
      </w:pPr>
    </w:p>
    <w:p w:rsidR="00C40428" w:rsidRDefault="00C40428" w:rsidP="00C40428">
      <w:pPr>
        <w:pStyle w:val="NoSpacing"/>
        <w:numPr>
          <w:ilvl w:val="0"/>
          <w:numId w:val="1"/>
        </w:numPr>
        <w:rPr>
          <w:color w:val="000000" w:themeColor="text1"/>
        </w:rPr>
      </w:pPr>
      <w:r w:rsidRPr="00FD3467">
        <w:rPr>
          <w:color w:val="000000" w:themeColor="text1"/>
        </w:rPr>
        <w:t>ISTA is pleased to have this opportunity to comment</w:t>
      </w:r>
      <w:r>
        <w:rPr>
          <w:color w:val="000000" w:themeColor="text1"/>
        </w:rPr>
        <w:t xml:space="preserve"> on this TRA review.</w:t>
      </w:r>
    </w:p>
    <w:p w:rsidR="00C40428" w:rsidRDefault="00C40428" w:rsidP="00C40428">
      <w:pPr>
        <w:pStyle w:val="NoSpacing"/>
      </w:pPr>
    </w:p>
    <w:p w:rsidR="00C40428" w:rsidRDefault="00C40428" w:rsidP="00C40428">
      <w:pPr>
        <w:pStyle w:val="NoSpacing"/>
        <w:numPr>
          <w:ilvl w:val="0"/>
          <w:numId w:val="1"/>
        </w:numPr>
      </w:pPr>
      <w:r>
        <w:t>ISTA would point out that for Rebar there is a substantial shortfall in UK production compared to UK demand:</w:t>
      </w:r>
    </w:p>
    <w:p w:rsidR="00C40428" w:rsidRPr="009B2CAC" w:rsidRDefault="00C40428" w:rsidP="00C40428">
      <w:pPr>
        <w:pStyle w:val="NoSpacing"/>
        <w:ind w:left="720"/>
      </w:pPr>
    </w:p>
    <w:p w:rsidR="00C40428" w:rsidRDefault="00C40428" w:rsidP="00C40428">
      <w:pPr>
        <w:pStyle w:val="NoSpacing"/>
        <w:ind w:left="720"/>
      </w:pPr>
      <w:r>
        <w:t>YEAR</w:t>
      </w:r>
      <w:r>
        <w:tab/>
        <w:t>UK Production</w:t>
      </w:r>
      <w:r>
        <w:tab/>
      </w:r>
      <w:r>
        <w:tab/>
        <w:t xml:space="preserve">UK Market   </w:t>
      </w:r>
    </w:p>
    <w:p w:rsidR="00C40428" w:rsidRDefault="00C40428" w:rsidP="00C40428">
      <w:pPr>
        <w:pStyle w:val="NoSpacing"/>
        <w:ind w:left="720"/>
        <w:rPr>
          <w:rFonts w:eastAsia="Times New Roman"/>
        </w:rPr>
      </w:pPr>
      <w:r>
        <w:rPr>
          <w:rFonts w:eastAsia="Times New Roman"/>
        </w:rPr>
        <w:t>2015</w:t>
      </w:r>
      <w:r>
        <w:rPr>
          <w:rStyle w:val="xapple-tab-span"/>
          <w:rFonts w:eastAsia="Times New Roman"/>
        </w:rPr>
        <w:t xml:space="preserve"> </w:t>
      </w:r>
      <w:r>
        <w:rPr>
          <w:rStyle w:val="xapple-tab-span"/>
          <w:rFonts w:eastAsia="Times New Roman"/>
        </w:rPr>
        <w:tab/>
      </w:r>
      <w:r>
        <w:rPr>
          <w:rFonts w:eastAsia="Times New Roman"/>
        </w:rPr>
        <w:t>300686</w:t>
      </w:r>
      <w:r>
        <w:rPr>
          <w:rStyle w:val="xapple-tab-span"/>
          <w:rFonts w:eastAsia="Times New Roman"/>
        </w:rPr>
        <w:t xml:space="preserve"> </w:t>
      </w:r>
      <w:r>
        <w:rPr>
          <w:rStyle w:val="xapple-tab-span"/>
          <w:rFonts w:eastAsia="Times New Roman"/>
        </w:rPr>
        <w:tab/>
      </w:r>
      <w:r>
        <w:rPr>
          <w:rStyle w:val="xapple-tab-span"/>
          <w:rFonts w:eastAsia="Times New Roman"/>
        </w:rPr>
        <w:tab/>
      </w:r>
      <w:r>
        <w:rPr>
          <w:rStyle w:val="xapple-tab-span"/>
          <w:rFonts w:eastAsia="Times New Roman"/>
        </w:rPr>
        <w:tab/>
      </w:r>
      <w:r>
        <w:rPr>
          <w:rFonts w:eastAsia="Times New Roman"/>
        </w:rPr>
        <w:t xml:space="preserve">803034 </w:t>
      </w:r>
    </w:p>
    <w:p w:rsidR="00C40428" w:rsidRDefault="00C40428" w:rsidP="00C40428">
      <w:pPr>
        <w:pStyle w:val="NoSpacing"/>
        <w:ind w:left="720"/>
        <w:rPr>
          <w:rFonts w:eastAsia="Times New Roman"/>
        </w:rPr>
      </w:pPr>
      <w:r>
        <w:rPr>
          <w:rFonts w:eastAsia="Times New Roman"/>
        </w:rPr>
        <w:t>2016</w:t>
      </w:r>
      <w:r>
        <w:rPr>
          <w:rStyle w:val="xapple-tab-span"/>
          <w:rFonts w:eastAsia="Times New Roman"/>
        </w:rPr>
        <w:tab/>
      </w:r>
      <w:r>
        <w:rPr>
          <w:rFonts w:eastAsia="Times New Roman"/>
        </w:rPr>
        <w:t>357954</w:t>
      </w:r>
      <w:r>
        <w:rPr>
          <w:rStyle w:val="xapple-tab-span"/>
          <w:rFonts w:eastAsia="Times New Roman"/>
        </w:rPr>
        <w:t xml:space="preserve"> </w:t>
      </w:r>
      <w:r>
        <w:rPr>
          <w:rStyle w:val="xapple-tab-span"/>
          <w:rFonts w:eastAsia="Times New Roman"/>
        </w:rPr>
        <w:tab/>
      </w:r>
      <w:r>
        <w:rPr>
          <w:rStyle w:val="xapple-tab-span"/>
          <w:rFonts w:eastAsia="Times New Roman"/>
        </w:rPr>
        <w:tab/>
      </w:r>
      <w:r>
        <w:rPr>
          <w:rStyle w:val="xapple-tab-span"/>
          <w:rFonts w:eastAsia="Times New Roman"/>
        </w:rPr>
        <w:tab/>
      </w:r>
      <w:r>
        <w:rPr>
          <w:rFonts w:eastAsia="Times New Roman"/>
        </w:rPr>
        <w:t>841499</w:t>
      </w:r>
    </w:p>
    <w:p w:rsidR="00C40428" w:rsidRDefault="00C40428" w:rsidP="00C40428">
      <w:pPr>
        <w:pStyle w:val="NoSpacing"/>
        <w:ind w:left="720"/>
        <w:rPr>
          <w:rFonts w:eastAsia="Times New Roman"/>
        </w:rPr>
      </w:pPr>
      <w:r>
        <w:rPr>
          <w:rFonts w:eastAsia="Times New Roman"/>
        </w:rPr>
        <w:t>2017</w:t>
      </w:r>
      <w:r>
        <w:rPr>
          <w:rStyle w:val="xapple-tab-span"/>
          <w:rFonts w:eastAsia="Times New Roman"/>
        </w:rPr>
        <w:t xml:space="preserve"> </w:t>
      </w:r>
      <w:r>
        <w:rPr>
          <w:rStyle w:val="xapple-tab-span"/>
          <w:rFonts w:eastAsia="Times New Roman"/>
        </w:rPr>
        <w:tab/>
      </w:r>
      <w:r>
        <w:rPr>
          <w:rFonts w:eastAsia="Times New Roman"/>
        </w:rPr>
        <w:t>320138</w:t>
      </w:r>
      <w:r>
        <w:rPr>
          <w:rStyle w:val="xapple-tab-span"/>
          <w:rFonts w:eastAsia="Times New Roman"/>
        </w:rPr>
        <w:t xml:space="preserve"> </w:t>
      </w:r>
      <w:r>
        <w:rPr>
          <w:rStyle w:val="xapple-tab-span"/>
          <w:rFonts w:eastAsia="Times New Roman"/>
        </w:rPr>
        <w:tab/>
      </w:r>
      <w:r>
        <w:rPr>
          <w:rStyle w:val="xapple-tab-span"/>
          <w:rFonts w:eastAsia="Times New Roman"/>
        </w:rPr>
        <w:tab/>
      </w:r>
      <w:r>
        <w:rPr>
          <w:rStyle w:val="xapple-tab-span"/>
          <w:rFonts w:eastAsia="Times New Roman"/>
        </w:rPr>
        <w:tab/>
      </w:r>
      <w:r>
        <w:rPr>
          <w:rFonts w:eastAsia="Times New Roman"/>
        </w:rPr>
        <w:t>721583</w:t>
      </w:r>
    </w:p>
    <w:p w:rsidR="00C40428" w:rsidRDefault="00C40428" w:rsidP="00C40428">
      <w:pPr>
        <w:pStyle w:val="NoSpacing"/>
        <w:ind w:left="720"/>
        <w:rPr>
          <w:rFonts w:eastAsia="Times New Roman"/>
        </w:rPr>
      </w:pPr>
      <w:r>
        <w:rPr>
          <w:rFonts w:eastAsia="Times New Roman"/>
        </w:rPr>
        <w:t>2018</w:t>
      </w:r>
      <w:r>
        <w:rPr>
          <w:rStyle w:val="xapple-tab-span"/>
          <w:rFonts w:eastAsia="Times New Roman"/>
        </w:rPr>
        <w:t xml:space="preserve"> </w:t>
      </w:r>
      <w:r>
        <w:rPr>
          <w:rStyle w:val="xapple-tab-span"/>
          <w:rFonts w:eastAsia="Times New Roman"/>
        </w:rPr>
        <w:tab/>
      </w:r>
      <w:r>
        <w:rPr>
          <w:rFonts w:eastAsia="Times New Roman"/>
        </w:rPr>
        <w:t>282557</w:t>
      </w:r>
      <w:r>
        <w:rPr>
          <w:rStyle w:val="xapple-tab-span"/>
          <w:rFonts w:eastAsia="Times New Roman"/>
        </w:rPr>
        <w:t xml:space="preserve"> </w:t>
      </w:r>
      <w:r>
        <w:rPr>
          <w:rStyle w:val="xapple-tab-span"/>
          <w:rFonts w:eastAsia="Times New Roman"/>
        </w:rPr>
        <w:tab/>
      </w:r>
      <w:r>
        <w:rPr>
          <w:rStyle w:val="xapple-tab-span"/>
          <w:rFonts w:eastAsia="Times New Roman"/>
        </w:rPr>
        <w:tab/>
      </w:r>
      <w:r>
        <w:rPr>
          <w:rStyle w:val="xapple-tab-span"/>
          <w:rFonts w:eastAsia="Times New Roman"/>
        </w:rPr>
        <w:tab/>
      </w:r>
      <w:r>
        <w:rPr>
          <w:rFonts w:eastAsia="Times New Roman"/>
        </w:rPr>
        <w:t>718024</w:t>
      </w:r>
    </w:p>
    <w:p w:rsidR="00C40428" w:rsidRDefault="00C40428" w:rsidP="00C40428">
      <w:pPr>
        <w:pStyle w:val="NoSpacing"/>
        <w:ind w:left="720"/>
        <w:rPr>
          <w:rFonts w:eastAsia="Times New Roman"/>
        </w:rPr>
      </w:pPr>
      <w:r>
        <w:rPr>
          <w:rFonts w:eastAsia="Times New Roman"/>
        </w:rPr>
        <w:t>2019</w:t>
      </w:r>
      <w:r>
        <w:rPr>
          <w:rStyle w:val="xapple-tab-span"/>
          <w:rFonts w:eastAsia="Times New Roman"/>
        </w:rPr>
        <w:t xml:space="preserve"> </w:t>
      </w:r>
      <w:r>
        <w:rPr>
          <w:rStyle w:val="xapple-tab-span"/>
          <w:rFonts w:eastAsia="Times New Roman"/>
        </w:rPr>
        <w:tab/>
      </w:r>
      <w:r>
        <w:rPr>
          <w:rFonts w:eastAsia="Times New Roman"/>
        </w:rPr>
        <w:t>320343</w:t>
      </w:r>
      <w:r>
        <w:rPr>
          <w:rStyle w:val="xapple-tab-span"/>
          <w:rFonts w:eastAsia="Times New Roman"/>
        </w:rPr>
        <w:t xml:space="preserve"> </w:t>
      </w:r>
      <w:r>
        <w:rPr>
          <w:rStyle w:val="xapple-tab-span"/>
          <w:rFonts w:eastAsia="Times New Roman"/>
        </w:rPr>
        <w:tab/>
      </w:r>
      <w:r>
        <w:rPr>
          <w:rStyle w:val="xapple-tab-span"/>
          <w:rFonts w:eastAsia="Times New Roman"/>
        </w:rPr>
        <w:tab/>
      </w:r>
      <w:r>
        <w:rPr>
          <w:rStyle w:val="xapple-tab-span"/>
          <w:rFonts w:eastAsia="Times New Roman"/>
        </w:rPr>
        <w:tab/>
      </w:r>
      <w:r>
        <w:rPr>
          <w:rFonts w:eastAsia="Times New Roman"/>
        </w:rPr>
        <w:t>706898</w:t>
      </w:r>
    </w:p>
    <w:p w:rsidR="00C40428" w:rsidRDefault="00C40428" w:rsidP="00C40428">
      <w:pPr>
        <w:pStyle w:val="NoSpacing"/>
        <w:ind w:left="720"/>
        <w:rPr>
          <w:rFonts w:eastAsia="Times New Roman"/>
        </w:rPr>
      </w:pPr>
      <w:r>
        <w:rPr>
          <w:rFonts w:eastAsia="Times New Roman"/>
        </w:rPr>
        <w:t>2020</w:t>
      </w:r>
      <w:r>
        <w:rPr>
          <w:rStyle w:val="xapple-tab-span"/>
          <w:rFonts w:eastAsia="Times New Roman"/>
        </w:rPr>
        <w:t xml:space="preserve"> </w:t>
      </w:r>
      <w:r>
        <w:rPr>
          <w:rStyle w:val="xapple-tab-span"/>
          <w:rFonts w:eastAsia="Times New Roman"/>
        </w:rPr>
        <w:tab/>
      </w:r>
      <w:r>
        <w:rPr>
          <w:rFonts w:eastAsia="Times New Roman"/>
        </w:rPr>
        <w:t>245427</w:t>
      </w:r>
      <w:r>
        <w:rPr>
          <w:rStyle w:val="xapple-tab-span"/>
          <w:rFonts w:eastAsia="Times New Roman"/>
        </w:rPr>
        <w:t xml:space="preserve"> </w:t>
      </w:r>
      <w:r>
        <w:rPr>
          <w:rStyle w:val="xapple-tab-span"/>
          <w:rFonts w:eastAsia="Times New Roman"/>
        </w:rPr>
        <w:tab/>
      </w:r>
      <w:r>
        <w:rPr>
          <w:rStyle w:val="xapple-tab-span"/>
          <w:rFonts w:eastAsia="Times New Roman"/>
        </w:rPr>
        <w:tab/>
      </w:r>
      <w:r>
        <w:rPr>
          <w:rStyle w:val="xapple-tab-span"/>
          <w:rFonts w:eastAsia="Times New Roman"/>
        </w:rPr>
        <w:tab/>
      </w:r>
      <w:r>
        <w:rPr>
          <w:rFonts w:eastAsia="Times New Roman"/>
        </w:rPr>
        <w:t>533552</w:t>
      </w:r>
    </w:p>
    <w:p w:rsidR="00C40428" w:rsidRDefault="00C40428" w:rsidP="00C40428">
      <w:pPr>
        <w:pStyle w:val="NoSpacing"/>
        <w:ind w:left="720"/>
        <w:rPr>
          <w:rFonts w:eastAsia="Times New Roman"/>
        </w:rPr>
      </w:pPr>
      <w:r>
        <w:rPr>
          <w:rFonts w:eastAsia="Times New Roman"/>
        </w:rPr>
        <w:t>2021</w:t>
      </w:r>
      <w:r>
        <w:rPr>
          <w:rStyle w:val="xapple-tab-span"/>
          <w:rFonts w:eastAsia="Times New Roman"/>
        </w:rPr>
        <w:t xml:space="preserve"> </w:t>
      </w:r>
      <w:r>
        <w:rPr>
          <w:rStyle w:val="xapple-tab-span"/>
          <w:rFonts w:eastAsia="Times New Roman"/>
        </w:rPr>
        <w:tab/>
      </w:r>
      <w:r>
        <w:rPr>
          <w:rFonts w:eastAsia="Times New Roman"/>
        </w:rPr>
        <w:t>339721</w:t>
      </w:r>
      <w:r>
        <w:rPr>
          <w:rStyle w:val="xapple-tab-span"/>
          <w:rFonts w:eastAsia="Times New Roman"/>
        </w:rPr>
        <w:t xml:space="preserve"> </w:t>
      </w:r>
      <w:r>
        <w:rPr>
          <w:rStyle w:val="xapple-tab-span"/>
          <w:rFonts w:eastAsia="Times New Roman"/>
        </w:rPr>
        <w:tab/>
      </w:r>
      <w:r>
        <w:rPr>
          <w:rStyle w:val="xapple-tab-span"/>
          <w:rFonts w:eastAsia="Times New Roman"/>
        </w:rPr>
        <w:tab/>
      </w:r>
      <w:r>
        <w:rPr>
          <w:rStyle w:val="xapple-tab-span"/>
          <w:rFonts w:eastAsia="Times New Roman"/>
        </w:rPr>
        <w:tab/>
      </w:r>
      <w:r>
        <w:rPr>
          <w:rFonts w:eastAsia="Times New Roman"/>
        </w:rPr>
        <w:t>684221</w:t>
      </w:r>
    </w:p>
    <w:p w:rsidR="00C40428" w:rsidRDefault="00C40428" w:rsidP="00C40428">
      <w:pPr>
        <w:pStyle w:val="NoSpacing"/>
        <w:ind w:left="720"/>
        <w:rPr>
          <w:rFonts w:eastAsia="Times New Roman"/>
        </w:rPr>
      </w:pPr>
    </w:p>
    <w:p w:rsidR="00C40428" w:rsidRDefault="00C40428" w:rsidP="00C40428">
      <w:pPr>
        <w:pStyle w:val="NoSpacing"/>
        <w:ind w:left="720"/>
        <w:rPr>
          <w:rFonts w:eastAsia="Times New Roman"/>
        </w:rPr>
      </w:pPr>
      <w:r>
        <w:rPr>
          <w:rFonts w:eastAsia="Times New Roman"/>
        </w:rPr>
        <w:t xml:space="preserve">Figures are for rebar in lengths only.  </w:t>
      </w:r>
      <w:r w:rsidRPr="00D7462B">
        <w:rPr>
          <w:color w:val="000000" w:themeColor="text1"/>
        </w:rPr>
        <w:t>(Source:  British Independent Reinforcement Fabricators Association)</w:t>
      </w:r>
      <w:r>
        <w:rPr>
          <w:color w:val="000000" w:themeColor="text1"/>
        </w:rPr>
        <w:t>.</w:t>
      </w:r>
    </w:p>
    <w:p w:rsidR="00C40428" w:rsidRPr="00D52E36" w:rsidRDefault="00C40428" w:rsidP="00C40428">
      <w:pPr>
        <w:pStyle w:val="NoSpacing"/>
        <w:rPr>
          <w:color w:val="000000" w:themeColor="text1"/>
        </w:rPr>
      </w:pPr>
    </w:p>
    <w:p w:rsidR="00C40428" w:rsidRPr="00D52E36" w:rsidRDefault="00C40428" w:rsidP="00C40428">
      <w:pPr>
        <w:pStyle w:val="NoSpacing"/>
        <w:rPr>
          <w:color w:val="000000" w:themeColor="text1"/>
        </w:rPr>
      </w:pPr>
      <w:r>
        <w:rPr>
          <w:color w:val="000000" w:themeColor="text1"/>
        </w:rPr>
        <w:t xml:space="preserve">      3      </w:t>
      </w:r>
      <w:r w:rsidRPr="00D52E36">
        <w:rPr>
          <w:color w:val="000000" w:themeColor="text1"/>
        </w:rPr>
        <w:t xml:space="preserve">A significant level of imports of rebar is essential to meet UK demand.  </w:t>
      </w:r>
    </w:p>
    <w:p w:rsidR="00C40428" w:rsidRDefault="00C40428" w:rsidP="00C40428">
      <w:pPr>
        <w:pStyle w:val="NoSpacing"/>
        <w:rPr>
          <w:b/>
          <w:bCs/>
          <w:color w:val="000000" w:themeColor="text1"/>
        </w:rPr>
      </w:pPr>
    </w:p>
    <w:p w:rsidR="00C40428" w:rsidRDefault="00C40428" w:rsidP="00C40428">
      <w:pPr>
        <w:pStyle w:val="NoSpacing"/>
        <w:ind w:left="720"/>
        <w:rPr>
          <w:color w:val="000000" w:themeColor="text1"/>
        </w:rPr>
      </w:pPr>
      <w:r w:rsidRPr="009B78F1">
        <w:rPr>
          <w:color w:val="000000" w:themeColor="text1"/>
        </w:rPr>
        <w:t>Whilst</w:t>
      </w:r>
      <w:r>
        <w:rPr>
          <w:color w:val="000000" w:themeColor="text1"/>
        </w:rPr>
        <w:t xml:space="preserve"> the domestic producer challenges this viewpoint, they acknowledge that there are customer preferences for a range of suppliers.  In their submission in respect of TF 0010 (Chinese AD Review), they state: “Periodically, this phantom argument of lack of capacity has been raised as if it should be necessary for the domestic producer to be able to supply 100% of the UK demand, taking no account of customer preferences for a range of suppliers”.</w:t>
      </w:r>
    </w:p>
    <w:p w:rsidR="00C40428" w:rsidRDefault="00C40428" w:rsidP="00C40428">
      <w:pPr>
        <w:pStyle w:val="NoSpacing"/>
        <w:ind w:left="720"/>
        <w:rPr>
          <w:color w:val="000000" w:themeColor="text1"/>
        </w:rPr>
      </w:pPr>
    </w:p>
    <w:p w:rsidR="00C40428" w:rsidRPr="009B78F1" w:rsidRDefault="00C40428" w:rsidP="00C40428">
      <w:pPr>
        <w:pStyle w:val="NoSpacing"/>
        <w:ind w:left="720"/>
        <w:rPr>
          <w:color w:val="000000" w:themeColor="text1"/>
        </w:rPr>
      </w:pPr>
      <w:r>
        <w:rPr>
          <w:color w:val="000000" w:themeColor="text1"/>
        </w:rPr>
        <w:t>Independent fabricators, and services required to support them, represent a large proportion of the UK steel rebar-related workforce.  They rely on their ability to buy not only UK rebar but to supplement their supply from the UK mill with imports.</w:t>
      </w:r>
    </w:p>
    <w:p w:rsidR="00C40428" w:rsidRDefault="00C40428" w:rsidP="00C40428">
      <w:pPr>
        <w:pStyle w:val="NoSpacing"/>
        <w:rPr>
          <w:b/>
          <w:bCs/>
          <w:color w:val="000000" w:themeColor="text1"/>
        </w:rPr>
      </w:pPr>
    </w:p>
    <w:p w:rsidR="00C40428" w:rsidRPr="00CE45D0" w:rsidRDefault="00C40428" w:rsidP="00C40428">
      <w:pPr>
        <w:pStyle w:val="ListParagraph"/>
        <w:numPr>
          <w:ilvl w:val="0"/>
          <w:numId w:val="2"/>
        </w:numPr>
        <w:rPr>
          <w:b/>
          <w:bCs/>
          <w:color w:val="000000" w:themeColor="text1"/>
        </w:rPr>
      </w:pPr>
      <w:r>
        <w:rPr>
          <w:color w:val="000000" w:themeColor="text1"/>
        </w:rPr>
        <w:t xml:space="preserve"> T</w:t>
      </w:r>
      <w:r w:rsidRPr="00CE45D0">
        <w:rPr>
          <w:color w:val="000000" w:themeColor="text1"/>
        </w:rPr>
        <w:t xml:space="preserve">he Review is being undertaken against a background whereby it is no longer possible to </w:t>
      </w:r>
      <w:r>
        <w:rPr>
          <w:color w:val="000000" w:themeColor="text1"/>
        </w:rPr>
        <w:t xml:space="preserve">  </w:t>
      </w:r>
    </w:p>
    <w:p w:rsidR="00C40428" w:rsidRPr="00CE45D0" w:rsidRDefault="00C40428" w:rsidP="00C40428">
      <w:pPr>
        <w:pStyle w:val="ListParagraph"/>
        <w:ind w:left="615"/>
        <w:rPr>
          <w:b/>
          <w:bCs/>
          <w:color w:val="000000" w:themeColor="text1"/>
        </w:rPr>
      </w:pPr>
      <w:r w:rsidRPr="00CE45D0">
        <w:rPr>
          <w:color w:val="000000" w:themeColor="text1"/>
        </w:rPr>
        <w:t>obtain this material from certain major historic international suppliers of Rebar, namely Belarus, Russia and Ukraine.</w:t>
      </w:r>
      <w:r>
        <w:rPr>
          <w:color w:val="000000" w:themeColor="text1"/>
        </w:rPr>
        <w:t xml:space="preserve">  Furthermore, China remains subject to anti-dumping requirements.</w:t>
      </w:r>
    </w:p>
    <w:p w:rsidR="00C40428" w:rsidRPr="000F266B" w:rsidRDefault="00C40428" w:rsidP="00C40428">
      <w:pPr>
        <w:pStyle w:val="ListParagraph"/>
        <w:rPr>
          <w:b/>
          <w:bCs/>
          <w:color w:val="000000" w:themeColor="text1"/>
        </w:rPr>
      </w:pPr>
    </w:p>
    <w:p w:rsidR="00C40428" w:rsidRPr="009B2CAC" w:rsidRDefault="00C40428" w:rsidP="00C40428">
      <w:pPr>
        <w:pStyle w:val="ListParagraph"/>
        <w:numPr>
          <w:ilvl w:val="0"/>
          <w:numId w:val="2"/>
        </w:numPr>
        <w:rPr>
          <w:b/>
          <w:bCs/>
          <w:color w:val="000000" w:themeColor="text1"/>
        </w:rPr>
      </w:pPr>
      <w:r>
        <w:rPr>
          <w:color w:val="000000" w:themeColor="text1"/>
        </w:rPr>
        <w:t xml:space="preserve">In view of this development, the UK decided that Rebar from </w:t>
      </w:r>
      <w:r w:rsidRPr="00CE45D0">
        <w:rPr>
          <w:color w:val="000000" w:themeColor="text1"/>
        </w:rPr>
        <w:t>Belarus, Russia and Ukraine.</w:t>
      </w:r>
      <w:r>
        <w:rPr>
          <w:color w:val="000000" w:themeColor="text1"/>
        </w:rPr>
        <w:t xml:space="preserve">  would be re-allocated as shown in ISTA ATTACHMENT A</w:t>
      </w:r>
    </w:p>
    <w:p w:rsidR="00C40428" w:rsidRPr="009B2CAC" w:rsidRDefault="00C40428" w:rsidP="00C40428">
      <w:pPr>
        <w:pStyle w:val="NoSpacing"/>
        <w:ind w:firstLine="720"/>
        <w:rPr>
          <w:b/>
          <w:bCs/>
        </w:rPr>
      </w:pPr>
      <w:r w:rsidRPr="009B2CAC">
        <w:rPr>
          <w:b/>
          <w:bCs/>
        </w:rPr>
        <w:t xml:space="preserve">Attached:  Import allocation for Rebar </w:t>
      </w:r>
    </w:p>
    <w:p w:rsidR="00C40428" w:rsidRDefault="00C40428" w:rsidP="00C40428">
      <w:pPr>
        <w:rPr>
          <w:b/>
          <w:bCs/>
          <w:color w:val="000000" w:themeColor="text1"/>
        </w:rPr>
      </w:pPr>
      <w:r>
        <w:rPr>
          <w:b/>
          <w:bCs/>
          <w:color w:val="000000" w:themeColor="text1"/>
        </w:rPr>
        <w:tab/>
        <w:t xml:space="preserve">      As at 30/9/</w:t>
      </w:r>
      <w:proofErr w:type="gramStart"/>
      <w:r>
        <w:rPr>
          <w:b/>
          <w:bCs/>
          <w:color w:val="000000" w:themeColor="text1"/>
        </w:rPr>
        <w:t>2020;  30</w:t>
      </w:r>
      <w:proofErr w:type="gramEnd"/>
      <w:r>
        <w:rPr>
          <w:b/>
          <w:bCs/>
          <w:color w:val="000000" w:themeColor="text1"/>
        </w:rPr>
        <w:t>/6/2021;   30/6/2022</w:t>
      </w:r>
    </w:p>
    <w:p w:rsidR="00C40428" w:rsidRDefault="00C40428" w:rsidP="00C40428">
      <w:pPr>
        <w:pStyle w:val="NoSpacing"/>
        <w:numPr>
          <w:ilvl w:val="0"/>
          <w:numId w:val="2"/>
        </w:numPr>
      </w:pPr>
      <w:r>
        <w:t xml:space="preserve">ISTA notes that the World Trade Organisation’s ‘De minimis import exemption’ (safeguard measures:  technical information) specifies that ‘a safeguard measure shall not be applied to </w:t>
      </w:r>
      <w:r>
        <w:lastRenderedPageBreak/>
        <w:t>low volume from developing country [WTO] Members’.  It goes on to detail the applicable 3% and 9% thresholds as follows:</w:t>
      </w:r>
    </w:p>
    <w:p w:rsidR="00C40428" w:rsidRDefault="00C40428" w:rsidP="00C40428">
      <w:pPr>
        <w:pStyle w:val="NoSpacing"/>
        <w:ind w:left="720"/>
      </w:pPr>
      <w:r>
        <w:t>“</w:t>
      </w:r>
      <w:proofErr w:type="gramStart"/>
      <w:r>
        <w:t>where</w:t>
      </w:r>
      <w:proofErr w:type="gramEnd"/>
      <w:r>
        <w:t xml:space="preserve"> imports from a single developing country Member account for no more than 3% of the total imports of the product concerned, and provided developing country Members below this threshold on an individual basis do not collectively account for more than 9% of those imports, such imports shall be excluded from the measures”.</w:t>
      </w:r>
    </w:p>
    <w:p w:rsidR="00C40428" w:rsidRDefault="00C40428" w:rsidP="00C40428">
      <w:pPr>
        <w:pStyle w:val="NoSpacing"/>
        <w:rPr>
          <w:b/>
          <w:bCs/>
          <w:color w:val="000000" w:themeColor="text1"/>
        </w:rPr>
      </w:pPr>
    </w:p>
    <w:p w:rsidR="00C40428" w:rsidRDefault="00C40428" w:rsidP="00C40428">
      <w:pPr>
        <w:pStyle w:val="NoSpacing"/>
        <w:numPr>
          <w:ilvl w:val="0"/>
          <w:numId w:val="2"/>
        </w:numPr>
        <w:rPr>
          <w:color w:val="000000" w:themeColor="text1"/>
        </w:rPr>
      </w:pPr>
      <w:r w:rsidRPr="00101743">
        <w:rPr>
          <w:color w:val="000000" w:themeColor="text1"/>
        </w:rPr>
        <w:t xml:space="preserve">ISTA </w:t>
      </w:r>
      <w:r>
        <w:rPr>
          <w:color w:val="000000" w:themeColor="text1"/>
        </w:rPr>
        <w:t>considers that whilst in general these percentages are accepted as WTO standards, there</w:t>
      </w:r>
    </w:p>
    <w:p w:rsidR="00C40428" w:rsidRPr="00101743" w:rsidRDefault="00C40428" w:rsidP="00C40428">
      <w:pPr>
        <w:pStyle w:val="NoSpacing"/>
        <w:ind w:left="615"/>
        <w:rPr>
          <w:color w:val="000000" w:themeColor="text1"/>
        </w:rPr>
      </w:pPr>
      <w:r>
        <w:rPr>
          <w:color w:val="000000" w:themeColor="text1"/>
        </w:rPr>
        <w:t>should be exceptions permitted where the 3% or 9% thresholds represent a small quantum of barely one or two appropriately-sized shipments.</w:t>
      </w:r>
    </w:p>
    <w:p w:rsidR="00C40428" w:rsidRDefault="00C40428" w:rsidP="00C40428">
      <w:pPr>
        <w:pStyle w:val="NoSpacing"/>
        <w:rPr>
          <w:b/>
          <w:bCs/>
          <w:color w:val="000000" w:themeColor="text1"/>
        </w:rPr>
      </w:pPr>
    </w:p>
    <w:p w:rsidR="00C40428" w:rsidRPr="00F77505" w:rsidRDefault="00C40428" w:rsidP="00C40428">
      <w:pPr>
        <w:pStyle w:val="NoSpacing"/>
        <w:numPr>
          <w:ilvl w:val="0"/>
          <w:numId w:val="2"/>
        </w:numPr>
        <w:rPr>
          <w:b/>
          <w:bCs/>
          <w:color w:val="000000" w:themeColor="text1"/>
        </w:rPr>
      </w:pPr>
      <w:r>
        <w:rPr>
          <w:color w:val="000000" w:themeColor="text1"/>
        </w:rPr>
        <w:t>ISTA understands that the underlying WTO ethos is to help developing countries whilst being as fair as possible to all.</w:t>
      </w:r>
    </w:p>
    <w:p w:rsidR="00C40428" w:rsidRDefault="00C40428" w:rsidP="00C40428">
      <w:pPr>
        <w:pStyle w:val="NoSpacing"/>
        <w:rPr>
          <w:color w:val="000000" w:themeColor="text1"/>
        </w:rPr>
      </w:pPr>
    </w:p>
    <w:p w:rsidR="00C40428" w:rsidRPr="008275B3" w:rsidRDefault="00C40428" w:rsidP="00C40428">
      <w:pPr>
        <w:pStyle w:val="NoSpacing"/>
        <w:numPr>
          <w:ilvl w:val="0"/>
          <w:numId w:val="2"/>
        </w:numPr>
        <w:rPr>
          <w:b/>
          <w:bCs/>
          <w:color w:val="000000" w:themeColor="text1"/>
        </w:rPr>
      </w:pPr>
      <w:r>
        <w:rPr>
          <w:color w:val="000000" w:themeColor="text1"/>
        </w:rPr>
        <w:t>Applying this principle to the current Review of Developing Country Exceptions and with particular reference to Rebar, it would seem to ISTA that it would be fair and reasonable to allow those developing countries which have exceeded their 3% either to have their own quotas or to increase the ‘other countries’ over and above the existing total rebar quota.</w:t>
      </w:r>
    </w:p>
    <w:p w:rsidR="00C40428" w:rsidRPr="00122109" w:rsidRDefault="00C40428" w:rsidP="00C40428">
      <w:pPr>
        <w:pStyle w:val="NoSpacing"/>
        <w:rPr>
          <w:b/>
          <w:bCs/>
          <w:color w:val="000000" w:themeColor="text1"/>
        </w:rPr>
      </w:pPr>
    </w:p>
    <w:p w:rsidR="00C40428" w:rsidRPr="00AD6C6F" w:rsidRDefault="00C40428" w:rsidP="00C40428">
      <w:pPr>
        <w:pStyle w:val="NoSpacing"/>
        <w:numPr>
          <w:ilvl w:val="0"/>
          <w:numId w:val="2"/>
        </w:numPr>
        <w:rPr>
          <w:b/>
          <w:bCs/>
          <w:color w:val="000000" w:themeColor="text1"/>
        </w:rPr>
      </w:pPr>
      <w:r w:rsidRPr="00AD6C6F">
        <w:rPr>
          <w:color w:val="000000" w:themeColor="text1"/>
        </w:rPr>
        <w:t>ISTA requests an oral hearing to comment on our views expressed above.</w:t>
      </w:r>
    </w:p>
    <w:p w:rsidR="00C40428" w:rsidRDefault="00C40428" w:rsidP="00C40428"/>
    <w:p w:rsidR="00C40428" w:rsidRPr="008275B3" w:rsidRDefault="00C40428" w:rsidP="00C40428">
      <w:pPr>
        <w:pStyle w:val="NoSpacing"/>
      </w:pPr>
    </w:p>
    <w:p w:rsidR="00B24996" w:rsidRDefault="00B24996"/>
    <w:sectPr w:rsidR="00B24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63310"/>
    <w:multiLevelType w:val="hybridMultilevel"/>
    <w:tmpl w:val="375C0EAE"/>
    <w:lvl w:ilvl="0" w:tplc="6CB60A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A4D1B"/>
    <w:multiLevelType w:val="hybridMultilevel"/>
    <w:tmpl w:val="6234C018"/>
    <w:lvl w:ilvl="0" w:tplc="49D00CE0">
      <w:start w:val="4"/>
      <w:numFmt w:val="decimal"/>
      <w:lvlText w:val="%1"/>
      <w:lvlJc w:val="left"/>
      <w:pPr>
        <w:ind w:left="615" w:hanging="360"/>
      </w:pPr>
      <w:rPr>
        <w:rFonts w:hint="default"/>
        <w:b w:val="0"/>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num w:numId="1" w16cid:durableId="1527907774">
    <w:abstractNumId w:val="0"/>
  </w:num>
  <w:num w:numId="2" w16cid:durableId="192494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28"/>
    <w:rsid w:val="00B24996"/>
    <w:rsid w:val="00C4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6FFA"/>
  <w15:chartTrackingRefBased/>
  <w15:docId w15:val="{81DAF808-FB6F-4D70-9D3E-4E234C3E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428"/>
    <w:pPr>
      <w:spacing w:after="0" w:line="240" w:lineRule="auto"/>
    </w:pPr>
  </w:style>
  <w:style w:type="paragraph" w:styleId="ListParagraph">
    <w:name w:val="List Paragraph"/>
    <w:basedOn w:val="Normal"/>
    <w:uiPriority w:val="34"/>
    <w:qFormat/>
    <w:rsid w:val="00C40428"/>
    <w:pPr>
      <w:ind w:left="720"/>
      <w:contextualSpacing/>
    </w:pPr>
  </w:style>
  <w:style w:type="character" w:customStyle="1" w:styleId="xapple-tab-span">
    <w:name w:val="x_apple-tab-span"/>
    <w:basedOn w:val="DefaultParagraphFont"/>
    <w:rsid w:val="00C40428"/>
  </w:style>
  <w:style w:type="character" w:styleId="Hyperlink">
    <w:name w:val="Hyperlink"/>
    <w:basedOn w:val="DefaultParagraphFont"/>
    <w:uiPriority w:val="99"/>
    <w:unhideWhenUsed/>
    <w:rsid w:val="00C40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4846193-286D-427D-BA22-19EA1FE22829}"/>
</file>

<file path=customXml/itemProps2.xml><?xml version="1.0" encoding="utf-8"?>
<ds:datastoreItem xmlns:ds="http://schemas.openxmlformats.org/officeDocument/2006/customXml" ds:itemID="{7B74D164-C5FD-4AD4-B537-272C4481C080}"/>
</file>

<file path=customXml/itemProps3.xml><?xml version="1.0" encoding="utf-8"?>
<ds:datastoreItem xmlns:ds="http://schemas.openxmlformats.org/officeDocument/2006/customXml" ds:itemID="{427D92F5-BED5-42B8-A7B7-875AF67F6010}"/>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bailey</dc:creator>
  <cp:keywords/>
  <dc:description/>
  <cp:lastModifiedBy>Hugh bailey</cp:lastModifiedBy>
  <cp:revision>1</cp:revision>
  <dcterms:created xsi:type="dcterms:W3CDTF">2023-02-06T16:29:00Z</dcterms:created>
  <dcterms:modified xsi:type="dcterms:W3CDTF">2023-02-06T16:30:00Z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