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FE5F1-1337-4FE6-B6D4-3590F3F04E11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