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2CA106B9-A1C0-4D8C-A503-6E9B69C717D9}"/>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