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Arial" w:cs="Arial"/>
                <w:color w:val="FF0000"/>
                <w:szCs w:val="24"/>
                <w:lang w:val="en-US"/>
              </w:rPr>
            </w:pPr>
            <w:r>
              <w:rPr>
                <w:rFonts w:hint="eastAsia" w:eastAsia="宋体" w:cs="Arial"/>
                <w:color w:val="FF0000"/>
                <w:sz w:val="24"/>
                <w:szCs w:val="24"/>
                <w:lang w:val="en-US" w:eastAsia="zh-CN"/>
              </w:rPr>
              <w:t>Wuyi Simino Industry and Trade Co., Ltd</w:t>
            </w:r>
            <w:r>
              <w:rPr>
                <w:rFonts w:hint="eastAsia" w:cs="Arial"/>
                <w:color w:val="FF0000"/>
                <w:sz w:val="24"/>
                <w:szCs w:val="24"/>
                <w:lang w:val="en-US" w:eastAsia="zh-CN"/>
              </w:rPr>
              <w:t>(Simino)</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Cs w:val="24"/>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Cs w:val="24"/>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eastAsia="宋体" w:cs="Arial"/>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57883045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Cs w:val="24"/>
              <w14:textFill>
                <w14:solidFill>
                  <w14:schemeClr w14:val="tx1"/>
                </w14:solidFill>
              </w14:textFill>
            </w:rPr>
            <w:t>☒</w:t>
          </w:r>
        </w:sdtContent>
      </w:sdt>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9525" b="952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b/>
                                <w:bCs/>
                                <w:iCs/>
                                <w:lang w:val="en-US"/>
                              </w:rPr>
                            </w:pPr>
                            <w:r>
                              <w:rPr>
                                <w:rFonts w:cs="Arial"/>
                                <w:b/>
                                <w:bCs/>
                                <w:iCs/>
                                <w:color w:val="0070C0"/>
                              </w:rPr>
                              <w:t>Not applicable.</w:t>
                            </w:r>
                            <w:r>
                              <w:rPr>
                                <w:rFonts w:cs="Arial"/>
                                <w:b/>
                                <w:bCs/>
                                <w:iCs/>
                                <w:color w:val="7F7F7F" w:themeColor="background1" w:themeShade="80"/>
                              </w:rPr>
                              <w:t xml:space="preserve"> </w:t>
                            </w:r>
                          </w:p>
                          <w:p>
                            <w:pPr>
                              <w:rPr>
                                <w:rFonts w:cs="Arial"/>
                              </w:rPr>
                            </w:pPr>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b/>
                          <w:bCs/>
                          <w:iCs/>
                          <w:lang w:val="en-US"/>
                        </w:rPr>
                      </w:pPr>
                      <w:r>
                        <w:rPr>
                          <w:rFonts w:cs="Arial"/>
                          <w:b/>
                          <w:bCs/>
                          <w:iCs/>
                          <w:color w:val="0070C0"/>
                        </w:rPr>
                        <w:t>Not applicable.</w:t>
                      </w:r>
                      <w:r>
                        <w:rPr>
                          <w:rFonts w:cs="Arial"/>
                          <w:b/>
                          <w:bCs/>
                          <w:iCs/>
                          <w:color w:val="7F7F7F" w:themeColor="background1" w:themeShade="80"/>
                        </w:rPr>
                        <w:t xml:space="preserve"> </w:t>
                      </w:r>
                    </w:p>
                    <w:p>
                      <w:pPr>
                        <w:rPr>
                          <w:rFonts w:cs="Arial"/>
                        </w:rPr>
                      </w:pPr>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cs="Arial"/>
                                <w:b/>
                                <w:bCs/>
                                <w:color w:val="0070C0"/>
                                <w:lang w:val="en-US"/>
                              </w:rPr>
                              <w:t>S</w:t>
                            </w:r>
                            <w:r>
                              <w:rPr>
                                <w:rFonts w:hint="eastAsia" w:cs="Arial"/>
                                <w:b/>
                                <w:bCs/>
                                <w:color w:val="0070C0"/>
                                <w:lang w:val="en-US" w:eastAsia="zh-CN"/>
                              </w:rPr>
                              <w:t>imino</w:t>
                            </w:r>
                            <w:r>
                              <w:rPr>
                                <w:rFonts w:cs="Arial"/>
                                <w:b/>
                                <w:bCs/>
                                <w:color w:val="0070C0"/>
                              </w:rPr>
                              <w:t xml:space="preserve"> </w:t>
                            </w:r>
                            <w:r>
                              <w:rPr>
                                <w:rFonts w:hint="eastAsia" w:cs="Arial"/>
                                <w:b/>
                                <w:bCs/>
                                <w:color w:val="0070C0"/>
                                <w:lang w:eastAsia="zh-CN"/>
                              </w:rPr>
                              <w:t>pro</w:t>
                            </w:r>
                            <w:r>
                              <w:rPr>
                                <w:rFonts w:cs="Arial"/>
                                <w:b/>
                                <w:bCs/>
                                <w:color w:val="0070C0"/>
                                <w:lang w:val="en-US" w:eastAsia="zh-CN"/>
                              </w:rPr>
                              <w:t>duced and exported the product subject to review to the UK during the POI.</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r>
                        <w:rPr>
                          <w:rFonts w:cs="Arial"/>
                          <w:b/>
                          <w:bCs/>
                          <w:color w:val="0070C0"/>
                          <w:lang w:val="en-US"/>
                        </w:rPr>
                        <w:t>S</w:t>
                      </w:r>
                      <w:r>
                        <w:rPr>
                          <w:rFonts w:hint="eastAsia" w:cs="Arial"/>
                          <w:b/>
                          <w:bCs/>
                          <w:color w:val="0070C0"/>
                          <w:lang w:val="en-US" w:eastAsia="zh-CN"/>
                        </w:rPr>
                        <w:t>imino</w:t>
                      </w:r>
                      <w:r>
                        <w:rPr>
                          <w:rFonts w:cs="Arial"/>
                          <w:b/>
                          <w:bCs/>
                          <w:color w:val="0070C0"/>
                        </w:rPr>
                        <w:t xml:space="preserve"> </w:t>
                      </w:r>
                      <w:r>
                        <w:rPr>
                          <w:rFonts w:hint="eastAsia" w:cs="Arial"/>
                          <w:b/>
                          <w:bCs/>
                          <w:color w:val="0070C0"/>
                          <w:lang w:eastAsia="zh-CN"/>
                        </w:rPr>
                        <w:t>pro</w:t>
                      </w:r>
                      <w:r>
                        <w:rPr>
                          <w:rFonts w:cs="Arial"/>
                          <w:b/>
                          <w:bCs/>
                          <w:color w:val="0070C0"/>
                          <w:lang w:val="en-US" w:eastAsia="zh-CN"/>
                        </w:rPr>
                        <w:t>duced and exported the product subject to review to the UK during the POI.</w:t>
                      </w: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701" w:type="dxa"/>
            <w:vAlign w:val="top"/>
          </w:tcPr>
          <w:p>
            <w:pPr>
              <w:spacing w:after="0" w:line="22" w:lineRule="atLeast"/>
              <w:rPr>
                <w:rFonts w:eastAsia="Arial" w:cs="Arial"/>
                <w:i/>
                <w:iCs/>
                <w:szCs w:val="24"/>
              </w:rPr>
            </w:pPr>
          </w:p>
          <w:p>
            <w:pPr>
              <w:spacing w:after="0" w:line="22" w:lineRule="atLeast"/>
              <w:rPr>
                <w:rFonts w:eastAsia="Arial" w:cs="Arial"/>
                <w:i/>
                <w:iCs/>
                <w:szCs w:val="24"/>
              </w:rPr>
            </w:pPr>
            <w:r>
              <w:rPr>
                <w:rFonts w:hint="eastAsia" w:eastAsia="宋体" w:cs="Arial"/>
                <w:szCs w:val="24"/>
                <w:lang w:val="en-US" w:eastAsia="zh-CN"/>
              </w:rPr>
              <w:t>ROODOG LTD</w:t>
            </w:r>
          </w:p>
        </w:tc>
        <w:tc>
          <w:tcPr>
            <w:tcW w:w="1844" w:type="dxa"/>
            <w:vAlign w:val="top"/>
          </w:tcPr>
          <w:p>
            <w:pPr>
              <w:spacing w:after="0" w:line="22" w:lineRule="atLeast"/>
              <w:rPr>
                <w:rFonts w:eastAsia="Arial" w:cs="Arial"/>
                <w:szCs w:val="24"/>
              </w:rPr>
            </w:pPr>
          </w:p>
          <w:p>
            <w:pPr>
              <w:spacing w:after="0" w:line="22" w:lineRule="atLeast"/>
              <w:rPr>
                <w:rFonts w:eastAsia="Arial" w:cs="Arial"/>
                <w:szCs w:val="24"/>
              </w:rPr>
            </w:pPr>
            <w:r>
              <w:rPr>
                <w:rFonts w:hint="eastAsia" w:eastAsia="宋体" w:cs="Arial"/>
                <w:szCs w:val="24"/>
                <w:lang w:val="en-US" w:eastAsia="zh-CN"/>
              </w:rPr>
              <w:t>UK</w:t>
            </w:r>
          </w:p>
        </w:tc>
        <w:tc>
          <w:tcPr>
            <w:tcW w:w="1418" w:type="dxa"/>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Bike sale</w:t>
            </w:r>
          </w:p>
          <w:p>
            <w:pPr>
              <w:spacing w:after="0" w:line="22" w:lineRule="atLeast"/>
              <w:rPr>
                <w:rFonts w:eastAsia="Arial" w:cs="Arial"/>
                <w:szCs w:val="24"/>
              </w:rPr>
            </w:pPr>
          </w:p>
        </w:tc>
        <w:tc>
          <w:tcPr>
            <w:tcW w:w="1840" w:type="dxa"/>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customer</w:t>
            </w:r>
          </w:p>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300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5"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 xml:space="preserve">[commercially sensitive data: non-confidential range: </w:t>
            </w:r>
            <w:r>
              <w:rPr>
                <w:rFonts w:hint="eastAsia" w:eastAsia="宋体" w:cs="Arial"/>
                <w:szCs w:val="24"/>
                <w:lang w:val="en-US" w:eastAsia="zh-CN"/>
              </w:rPr>
              <w:t>21</w:t>
            </w:r>
            <w:r>
              <w:rPr>
                <w:rFonts w:eastAsia="宋体" w:cs="Arial"/>
                <w:szCs w:val="24"/>
                <w:lang w:val="en-US" w:eastAsia="zh-CN"/>
              </w:rPr>
              <w:t>0,</w:t>
            </w:r>
            <w:r>
              <w:rPr>
                <w:rFonts w:hint="eastAsia" w:eastAsia="宋体" w:cs="Arial"/>
                <w:szCs w:val="24"/>
                <w:lang w:val="en-US" w:eastAsia="zh-CN"/>
              </w:rPr>
              <w:t>0</w:t>
            </w:r>
            <w:r>
              <w:rPr>
                <w:rFonts w:eastAsia="宋体" w:cs="Arial"/>
                <w:szCs w:val="24"/>
                <w:lang w:val="en-US" w:eastAsia="zh-CN"/>
              </w:rPr>
              <w:t>00-</w:t>
            </w:r>
            <w:r>
              <w:rPr>
                <w:rFonts w:hint="eastAsia" w:eastAsia="宋体" w:cs="Arial"/>
                <w:szCs w:val="24"/>
                <w:lang w:val="en-US" w:eastAsia="zh-CN"/>
              </w:rPr>
              <w:t>26</w:t>
            </w:r>
            <w:r>
              <w:rPr>
                <w:rFonts w:eastAsia="宋体" w:cs="Arial"/>
                <w:szCs w:val="24"/>
                <w:lang w:val="en-US" w:eastAsia="zh-CN"/>
              </w:rPr>
              <w:t>0</w:t>
            </w:r>
            <w:r>
              <w:rPr>
                <w:rFonts w:hint="eastAsia" w:eastAsia="宋体" w:cs="Arial"/>
                <w:szCs w:val="24"/>
                <w:lang w:val="en-US" w:eastAsia="zh-CN"/>
              </w:rPr>
              <w:t>,</w:t>
            </w:r>
            <w:r>
              <w:rPr>
                <w:rFonts w:eastAsia="宋体" w:cs="Arial"/>
                <w:szCs w:val="24"/>
                <w:lang w:val="en-US" w:eastAsia="zh-CN"/>
              </w:rPr>
              <w:t>000]</w:t>
            </w:r>
          </w:p>
        </w:tc>
        <w:tc>
          <w:tcPr>
            <w:tcW w:w="1665"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 xml:space="preserve">[commercially sensitive data: non-confidential range: </w:t>
            </w:r>
            <w:r>
              <w:rPr>
                <w:rFonts w:hint="eastAsia" w:eastAsia="宋体" w:cs="Arial"/>
                <w:szCs w:val="24"/>
                <w:lang w:val="en-US" w:eastAsia="zh-CN"/>
              </w:rPr>
              <w:t>6,5</w:t>
            </w:r>
            <w:r>
              <w:rPr>
                <w:rFonts w:eastAsia="宋体" w:cs="Arial"/>
                <w:szCs w:val="24"/>
                <w:lang w:val="en-US" w:eastAsia="zh-CN"/>
              </w:rPr>
              <w:t>00-</w:t>
            </w:r>
            <w:r>
              <w:rPr>
                <w:rFonts w:hint="eastAsia" w:eastAsia="宋体" w:cs="Arial"/>
                <w:szCs w:val="24"/>
                <w:lang w:val="en-US" w:eastAsia="zh-CN"/>
              </w:rPr>
              <w:t>7,</w:t>
            </w:r>
            <w:r>
              <w:rPr>
                <w:rFonts w:eastAsia="宋体" w:cs="Arial"/>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ascii="Arial" w:hAnsi="Arial" w:eastAsia="宋体" w:cs="Arial"/>
                <w:szCs w:val="24"/>
                <w:lang w:val="en-US" w:eastAsia="zh-CN"/>
              </w:rPr>
              <w:t>(commercially sensitive data: non-confidential range:</w:t>
            </w:r>
            <w:r>
              <w:rPr>
                <w:rFonts w:ascii="Arial" w:hAnsi="Arial" w:eastAsia="宋体" w:cs="Arial"/>
                <w:szCs w:val="24"/>
                <w:lang w:val="en-US" w:eastAsia="zh-CN"/>
              </w:rPr>
              <w:t>5</w:t>
            </w:r>
            <w:r>
              <w:rPr>
                <w:rFonts w:hint="eastAsia" w:ascii="Arial" w:hAnsi="Arial" w:eastAsia="宋体" w:cs="Arial"/>
                <w:szCs w:val="24"/>
                <w:lang w:val="en-US" w:eastAsia="zh-CN"/>
              </w:rPr>
              <w:t>2</w:t>
            </w:r>
            <w:r>
              <w:rPr>
                <w:rFonts w:ascii="Arial" w:hAnsi="Arial" w:eastAsia="宋体" w:cs="Arial"/>
                <w:szCs w:val="24"/>
                <w:lang w:val="en-US" w:eastAsia="zh-CN"/>
              </w:rPr>
              <w:t>0,</w:t>
            </w:r>
            <w:r>
              <w:rPr>
                <w:rFonts w:hint="eastAsia" w:ascii="Arial" w:hAnsi="Arial" w:eastAsia="宋体" w:cs="Arial"/>
                <w:szCs w:val="24"/>
                <w:lang w:val="en-US" w:eastAsia="zh-CN"/>
              </w:rPr>
              <w:t>0</w:t>
            </w:r>
            <w:r>
              <w:rPr>
                <w:rFonts w:ascii="Arial" w:hAnsi="Arial" w:eastAsia="宋体" w:cs="Arial"/>
                <w:szCs w:val="24"/>
                <w:lang w:val="en-US" w:eastAsia="zh-CN"/>
              </w:rPr>
              <w:t>00-</w:t>
            </w:r>
            <w:r>
              <w:rPr>
                <w:rFonts w:hint="eastAsia" w:ascii="Arial" w:hAnsi="Arial" w:eastAsia="宋体" w:cs="Arial"/>
                <w:szCs w:val="24"/>
                <w:lang w:val="en-US" w:eastAsia="zh-CN"/>
              </w:rPr>
              <w:t>58</w:t>
            </w:r>
            <w:r>
              <w:rPr>
                <w:rFonts w:ascii="Arial" w:hAnsi="Arial" w:eastAsia="宋体" w:cs="Arial"/>
                <w:szCs w:val="24"/>
                <w:lang w:val="en-US" w:eastAsia="zh-CN"/>
              </w:rPr>
              <w:t>0</w:t>
            </w:r>
            <w:r>
              <w:rPr>
                <w:rFonts w:hint="eastAsia" w:ascii="Arial" w:hAnsi="Arial" w:eastAsia="宋体" w:cs="Arial"/>
                <w:szCs w:val="24"/>
                <w:lang w:val="en-US" w:eastAsia="zh-CN"/>
              </w:rPr>
              <w:t>,</w:t>
            </w:r>
            <w:r>
              <w:rPr>
                <w:rFonts w:ascii="Arial" w:hAnsi="Arial" w:eastAsia="宋体" w:cs="Arial"/>
                <w:szCs w:val="24"/>
                <w:lang w:val="en-US" w:eastAsia="zh-CN"/>
              </w:rPr>
              <w:t>000]</w:t>
            </w:r>
          </w:p>
        </w:tc>
        <w:tc>
          <w:tcPr>
            <w:tcW w:w="1665"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[commercially sensitive data: non-confidential range: 1</w:t>
            </w:r>
            <w:r>
              <w:rPr>
                <w:rFonts w:hint="eastAsia" w:cs="Arial"/>
                <w:szCs w:val="24"/>
                <w:lang w:val="en-US" w:eastAsia="zh-CN"/>
              </w:rPr>
              <w:t>4</w:t>
            </w:r>
            <w:r>
              <w:rPr>
                <w:rFonts w:eastAsia="宋体" w:cs="Arial"/>
                <w:szCs w:val="24"/>
                <w:lang w:val="en-US" w:eastAsia="zh-CN"/>
              </w:rPr>
              <w:t>,</w:t>
            </w:r>
            <w:r>
              <w:rPr>
                <w:rFonts w:hint="eastAsia" w:eastAsia="宋体" w:cs="Arial"/>
                <w:szCs w:val="24"/>
                <w:lang w:val="en-US" w:eastAsia="zh-CN"/>
              </w:rPr>
              <w:t>0</w:t>
            </w:r>
            <w:r>
              <w:rPr>
                <w:rFonts w:eastAsia="宋体" w:cs="Arial"/>
                <w:szCs w:val="24"/>
                <w:lang w:val="en-US" w:eastAsia="zh-CN"/>
              </w:rPr>
              <w:t>00-</w:t>
            </w:r>
            <w:r>
              <w:rPr>
                <w:rFonts w:hint="eastAsia" w:cs="Arial"/>
                <w:szCs w:val="24"/>
                <w:lang w:val="en-US" w:eastAsia="zh-CN"/>
              </w:rPr>
              <w:t>18</w:t>
            </w:r>
            <w:bookmarkStart w:id="38" w:name="_GoBack"/>
            <w:bookmarkEnd w:id="38"/>
            <w:r>
              <w:rPr>
                <w:rFonts w:hint="eastAsia" w:eastAsia="宋体" w:cs="Arial"/>
                <w:szCs w:val="24"/>
                <w:lang w:val="en-US" w:eastAsia="zh-CN"/>
              </w:rPr>
              <w:t>,</w:t>
            </w:r>
            <w:r>
              <w:rPr>
                <w:rFonts w:eastAsia="宋体" w:cs="Arial"/>
                <w:szCs w:val="24"/>
                <w:lang w:val="en-US" w:eastAsia="zh-CN"/>
              </w:rPr>
              <w:t>000]</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2"/>
        <w:gridCol w:w="1876"/>
        <w:gridCol w:w="187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pct"/>
            <w:shd w:val="clear" w:color="auto" w:fill="D8D8D8" w:themeFill="background1" w:themeFillShade="D9"/>
            <w:vAlign w:val="center"/>
          </w:tcPr>
          <w:p>
            <w:pPr>
              <w:keepNext/>
              <w:keepLines/>
              <w:spacing w:after="0" w:line="22" w:lineRule="atLeast"/>
              <w:rPr>
                <w:rFonts w:cs="Arial"/>
                <w:szCs w:val="24"/>
                <w:u w:val="single"/>
              </w:rPr>
            </w:pPr>
          </w:p>
        </w:tc>
        <w:tc>
          <w:tcPr>
            <w:tcW w:w="1015"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15"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1015"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831" w:type="dxa"/>
            <w:vAlign w:val="top"/>
          </w:tcPr>
          <w:p>
            <w:pPr>
              <w:keepNext/>
              <w:keepLines/>
              <w:spacing w:after="0" w:line="22" w:lineRule="atLeast"/>
              <w:rPr>
                <w:rFonts w:cs="Arial"/>
                <w:szCs w:val="24"/>
                <w:highlight w:val="yellow"/>
              </w:rPr>
            </w:pPr>
            <w:r>
              <w:rPr>
                <w:rFonts w:eastAsia="宋体" w:cs="Arial"/>
                <w:szCs w:val="24"/>
                <w:lang w:val="en-US" w:eastAsia="zh-CN"/>
              </w:rPr>
              <w:t xml:space="preserve">[commercially sensitive data: non-confidential range: </w:t>
            </w:r>
            <w:r>
              <w:rPr>
                <w:rFonts w:hint="eastAsia" w:eastAsia="宋体" w:cs="Arial"/>
                <w:szCs w:val="24"/>
                <w:lang w:val="en-US" w:eastAsia="zh-CN"/>
              </w:rPr>
              <w:t>5000</w:t>
            </w:r>
            <w:r>
              <w:rPr>
                <w:rFonts w:eastAsia="宋体" w:cs="Arial"/>
                <w:szCs w:val="24"/>
                <w:lang w:val="en-US" w:eastAsia="zh-CN"/>
              </w:rPr>
              <w:t>-</w:t>
            </w:r>
            <w:r>
              <w:rPr>
                <w:rFonts w:hint="eastAsia" w:eastAsia="宋体" w:cs="Arial"/>
                <w:szCs w:val="24"/>
                <w:lang w:val="en-US" w:eastAsia="zh-CN"/>
              </w:rPr>
              <w:t>6</w:t>
            </w:r>
            <w:r>
              <w:rPr>
                <w:rFonts w:eastAsia="宋体" w:cs="Arial"/>
                <w:szCs w:val="24"/>
                <w:lang w:val="en-US" w:eastAsia="zh-CN"/>
              </w:rPr>
              <w:t>,000]</w:t>
            </w:r>
          </w:p>
        </w:tc>
        <w:tc>
          <w:tcPr>
            <w:tcW w:w="1831" w:type="dxa"/>
            <w:vAlign w:val="top"/>
          </w:tcPr>
          <w:p>
            <w:pPr>
              <w:keepNext/>
              <w:keepLines/>
              <w:spacing w:after="0" w:line="22" w:lineRule="atLeast"/>
              <w:rPr>
                <w:rFonts w:cs="Arial"/>
                <w:szCs w:val="24"/>
                <w:u w:val="single"/>
              </w:rPr>
            </w:pPr>
            <w:r>
              <w:rPr>
                <w:rFonts w:eastAsia="宋体" w:cs="Arial"/>
                <w:szCs w:val="24"/>
                <w:lang w:val="en-US" w:eastAsia="zh-CN"/>
              </w:rPr>
              <w:t xml:space="preserve">[commercially sensitive data: non-confidential range: </w:t>
            </w:r>
            <w:r>
              <w:rPr>
                <w:rFonts w:hint="eastAsia" w:eastAsia="宋体" w:cs="Arial"/>
                <w:szCs w:val="24"/>
                <w:lang w:val="en-US" w:eastAsia="zh-CN"/>
              </w:rPr>
              <w:t>150</w:t>
            </w:r>
            <w:r>
              <w:rPr>
                <w:rFonts w:eastAsia="宋体" w:cs="Arial"/>
                <w:szCs w:val="24"/>
                <w:lang w:val="en-US" w:eastAsia="zh-CN"/>
              </w:rPr>
              <w:t>-</w:t>
            </w:r>
            <w:r>
              <w:rPr>
                <w:rFonts w:hint="eastAsia" w:eastAsia="宋体" w:cs="Arial"/>
                <w:szCs w:val="24"/>
                <w:lang w:val="en-US" w:eastAsia="zh-CN"/>
              </w:rPr>
              <w:t>200</w:t>
            </w:r>
            <w:r>
              <w:rPr>
                <w:rFonts w:eastAsia="宋体" w:cs="Arial"/>
                <w:szCs w:val="24"/>
                <w:lang w:val="en-US" w:eastAsia="zh-CN"/>
              </w:rPr>
              <w:t>]</w:t>
            </w:r>
          </w:p>
        </w:tc>
        <w:tc>
          <w:tcPr>
            <w:tcW w:w="1831" w:type="dxa"/>
            <w:vAlign w:val="top"/>
          </w:tcPr>
          <w:p>
            <w:pPr>
              <w:keepNext/>
              <w:keepLines/>
              <w:spacing w:after="0" w:line="22" w:lineRule="atLeast"/>
              <w:rPr>
                <w:rFonts w:cs="Arial"/>
                <w:szCs w:val="24"/>
                <w:u w:val="single"/>
              </w:rPr>
            </w:pPr>
            <w:r>
              <w:rPr>
                <w:rFonts w:eastAsia="宋体" w:cs="Arial"/>
                <w:szCs w:val="24"/>
                <w:lang w:val="en-US" w:eastAsia="zh-CN"/>
              </w:rPr>
              <w:t xml:space="preserve">[commercially sensitive data: non-confidential range: </w:t>
            </w:r>
            <w:r>
              <w:rPr>
                <w:rFonts w:hint="eastAsia" w:eastAsia="宋体" w:cs="Arial"/>
                <w:szCs w:val="24"/>
                <w:lang w:val="en-US" w:eastAsia="zh-CN"/>
              </w:rPr>
              <w:t>40,000</w:t>
            </w:r>
            <w:r>
              <w:rPr>
                <w:rFonts w:eastAsia="宋体" w:cs="Arial"/>
                <w:szCs w:val="24"/>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831"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831" w:type="dxa"/>
            <w:vAlign w:val="top"/>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p>
            <w:pPr>
              <w:keepNext/>
              <w:keepLines/>
              <w:spacing w:after="0" w:line="22" w:lineRule="atLeast"/>
              <w:rPr>
                <w:rFonts w:cs="Arial"/>
                <w:szCs w:val="24"/>
                <w:highlight w:val="yellow"/>
              </w:rPr>
            </w:pP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831"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831"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cs="Arial"/>
                                <w:b/>
                                <w:bCs/>
                                <w:iCs/>
                                <w:color w:val="0070C0"/>
                                <w:lang w:eastAsia="zh-CN"/>
                              </w:rPr>
                              <w:t>The</w:t>
                            </w:r>
                            <w:r>
                              <w:rPr>
                                <w:rFonts w:cs="Arial"/>
                                <w:b/>
                                <w:bCs/>
                                <w:iCs/>
                                <w:color w:val="0070C0"/>
                                <w:lang w:val="en-US" w:eastAsia="zh-CN"/>
                              </w:rPr>
                              <w:t xml:space="preserve"> commodity code is </w:t>
                            </w:r>
                            <w:r>
                              <w:rPr>
                                <w:rFonts w:eastAsia="楷体" w:cs="Arial"/>
                                <w:b/>
                                <w:bCs/>
                                <w:iCs/>
                                <w:color w:val="0070C0"/>
                                <w:lang w:val="en-US" w:eastAsia="zh-CN"/>
                              </w:rPr>
                              <w:t>8711600010.</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Fonts w:cs="Arial"/>
                          <w:b/>
                          <w:bCs/>
                          <w:iCs/>
                          <w:color w:val="0070C0"/>
                          <w:lang w:eastAsia="zh-CN"/>
                        </w:rPr>
                        <w:t>The</w:t>
                      </w:r>
                      <w:r>
                        <w:rPr>
                          <w:rFonts w:cs="Arial"/>
                          <w:b/>
                          <w:bCs/>
                          <w:iCs/>
                          <w:color w:val="0070C0"/>
                          <w:lang w:val="en-US" w:eastAsia="zh-CN"/>
                        </w:rPr>
                        <w:t xml:space="preserve"> commodity code is </w:t>
                      </w:r>
                      <w:r>
                        <w:rPr>
                          <w:rFonts w:eastAsia="楷体" w:cs="Arial"/>
                          <w:b/>
                          <w:bCs/>
                          <w:iCs/>
                          <w:color w:val="0070C0"/>
                          <w:lang w:val="en-US" w:eastAsia="zh-CN"/>
                        </w:rPr>
                        <w:t>8711600010.</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10433995"/>
      <w:bookmarkStart w:id="24" w:name="_Toc13563961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p>
      <w:pPr>
        <w:keepNext/>
        <w:keepLines/>
        <w:spacing w:before="40" w:after="0" w:line="240" w:lineRule="auto"/>
        <w:outlineLvl w:val="2"/>
        <w:rPr>
          <w:b/>
          <w:bCs/>
          <w:color w:val="0070C0"/>
          <w:szCs w:val="24"/>
          <w:lang w:eastAsia="zh-CN"/>
        </w:rPr>
      </w:pPr>
      <w:r>
        <w:rPr>
          <w:rFonts w:hint="eastAsia"/>
          <w:b/>
          <w:bCs/>
          <w:color w:val="0070C0"/>
          <w:szCs w:val="24"/>
          <w:lang w:eastAsia="zh-CN"/>
        </w:rPr>
        <w:t>N</w:t>
      </w:r>
      <w:r>
        <w:rPr>
          <w:b/>
          <w:bCs/>
          <w:color w:val="0070C0"/>
          <w:szCs w:val="24"/>
          <w:lang w:eastAsia="zh-CN"/>
        </w:rPr>
        <w:t>one.</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35639616"/>
      <w:bookmarkStart w:id="26" w:name="_Toc110433997"/>
      <w:bookmarkStart w:id="27" w:name="_Toc9892516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hint="eastAsia" w:ascii="MS Gothic" w:hAnsi="MS Gothic" w:eastAsia="MS Gothic" w:cs="Arial"/>
              <w:szCs w:val="24"/>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cs="Arial"/>
                                <w:b/>
                                <w:bCs/>
                                <w:iCs/>
                                <w:color w:val="0070C0"/>
                                <w:szCs w:val="24"/>
                                <w:lang w:val="en-US"/>
                              </w:rPr>
                              <w:t>Not applicable.</w:t>
                            </w:r>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r>
                        <w:rPr>
                          <w:rFonts w:cs="Arial"/>
                          <w:b/>
                          <w:bCs/>
                          <w:iCs/>
                          <w:color w:val="0070C0"/>
                          <w:szCs w:val="24"/>
                          <w:lang w:val="en-US"/>
                        </w:rPr>
                        <w:t>Not applicable.</w:t>
                      </w:r>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110433998"/>
      <w:bookmarkStart w:id="29" w:name="_Toc98925167"/>
      <w:bookmarkStart w:id="30" w:name="_Toc13563961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cs="Arial"/>
                          <w:sz w:val="22"/>
                        </w:rPr>
                      </w:pP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35639618"/>
      <w:bookmarkStart w:id="32" w:name="_Toc98925169"/>
      <w:bookmarkStart w:id="33" w:name="_Toc110434000"/>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
        <w:gridCol w:w="1542"/>
        <w:gridCol w:w="1640"/>
        <w:gridCol w:w="2680"/>
        <w:gridCol w:w="165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0" w:type="auto"/>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0" w:type="auto"/>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0" w:type="auto"/>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0" w:type="auto"/>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0" w:type="auto"/>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b/>
                                <w:bCs/>
                                <w:iCs/>
                                <w:color w:val="0070C0"/>
                                <w:szCs w:val="24"/>
                                <w:lang w:val="en-US"/>
                              </w:rPr>
                            </w:pPr>
                            <w:r>
                              <w:rPr>
                                <w:rFonts w:cs="Arial"/>
                                <w:b/>
                                <w:bCs/>
                                <w:iCs/>
                                <w:color w:val="0070C0"/>
                                <w:szCs w:val="24"/>
                                <w:lang w:val="en-US"/>
                              </w:rPr>
                              <w:t>None.</w:t>
                            </w:r>
                          </w:p>
                          <w:p>
                            <w:pPr>
                              <w:rPr>
                                <w:rFonts w:cs="Arial"/>
                                <w:sz w:val="22"/>
                                <w:lang w:eastAsia="zh-CN"/>
                              </w:rPr>
                            </w:pP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cs="Arial"/>
                          <w:b/>
                          <w:bCs/>
                          <w:iCs/>
                          <w:color w:val="0070C0"/>
                          <w:szCs w:val="24"/>
                          <w:lang w:val="en-US"/>
                        </w:rPr>
                      </w:pPr>
                      <w:r>
                        <w:rPr>
                          <w:rFonts w:cs="Arial"/>
                          <w:b/>
                          <w:bCs/>
                          <w:iCs/>
                          <w:color w:val="0070C0"/>
                          <w:szCs w:val="24"/>
                          <w:lang w:val="en-US"/>
                        </w:rPr>
                        <w:t>None.</w:t>
                      </w:r>
                    </w:p>
                    <w:p>
                      <w:pPr>
                        <w:rPr>
                          <w:rFonts w:cs="Arial"/>
                          <w:sz w:val="22"/>
                          <w:lang w:eastAsia="zh-CN"/>
                        </w:rPr>
                      </w:pP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OWQzYmY4YzJlMDkzYWU4ZjI0NGVkYTI5ZWQ0ZGEifQ=="/>
  </w:docVars>
  <w:rsids>
    <w:rsidRoot w:val="007F2D27"/>
    <w:rsid w:val="000207E8"/>
    <w:rsid w:val="00024173"/>
    <w:rsid w:val="00035691"/>
    <w:rsid w:val="0004724A"/>
    <w:rsid w:val="0005290C"/>
    <w:rsid w:val="00073215"/>
    <w:rsid w:val="00090223"/>
    <w:rsid w:val="000A1EAE"/>
    <w:rsid w:val="000C7C63"/>
    <w:rsid w:val="000E39AC"/>
    <w:rsid w:val="000F0F1F"/>
    <w:rsid w:val="000F4737"/>
    <w:rsid w:val="00103196"/>
    <w:rsid w:val="00121A75"/>
    <w:rsid w:val="00123C06"/>
    <w:rsid w:val="0013284A"/>
    <w:rsid w:val="00143A9E"/>
    <w:rsid w:val="00145C55"/>
    <w:rsid w:val="00156539"/>
    <w:rsid w:val="00162641"/>
    <w:rsid w:val="00183521"/>
    <w:rsid w:val="001850F5"/>
    <w:rsid w:val="00193F62"/>
    <w:rsid w:val="001A7C67"/>
    <w:rsid w:val="001B2A69"/>
    <w:rsid w:val="001E481C"/>
    <w:rsid w:val="001F6AAC"/>
    <w:rsid w:val="00234F2E"/>
    <w:rsid w:val="0028719D"/>
    <w:rsid w:val="00292C9B"/>
    <w:rsid w:val="002C79C0"/>
    <w:rsid w:val="00313665"/>
    <w:rsid w:val="00384077"/>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B0235"/>
    <w:rsid w:val="004D42E3"/>
    <w:rsid w:val="004E15CA"/>
    <w:rsid w:val="004F0329"/>
    <w:rsid w:val="004F1818"/>
    <w:rsid w:val="004F5D95"/>
    <w:rsid w:val="0051125A"/>
    <w:rsid w:val="00511818"/>
    <w:rsid w:val="00523190"/>
    <w:rsid w:val="0053079A"/>
    <w:rsid w:val="00556B60"/>
    <w:rsid w:val="005A357E"/>
    <w:rsid w:val="005C21CF"/>
    <w:rsid w:val="005C2E03"/>
    <w:rsid w:val="005C6CB4"/>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0FC6"/>
    <w:rsid w:val="008F163D"/>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340BB"/>
    <w:rsid w:val="00C403FD"/>
    <w:rsid w:val="00C579C1"/>
    <w:rsid w:val="00C67E5E"/>
    <w:rsid w:val="00C7517A"/>
    <w:rsid w:val="00C921B0"/>
    <w:rsid w:val="00CC3218"/>
    <w:rsid w:val="00CC46D0"/>
    <w:rsid w:val="00CD17D8"/>
    <w:rsid w:val="00CE56FD"/>
    <w:rsid w:val="00CF7758"/>
    <w:rsid w:val="00D120C7"/>
    <w:rsid w:val="00D13CD0"/>
    <w:rsid w:val="00D24D32"/>
    <w:rsid w:val="00D36BBD"/>
    <w:rsid w:val="00D4450E"/>
    <w:rsid w:val="00D94F3D"/>
    <w:rsid w:val="00D9750D"/>
    <w:rsid w:val="00DB0E2C"/>
    <w:rsid w:val="00DC27E2"/>
    <w:rsid w:val="00DE49CA"/>
    <w:rsid w:val="00DF7993"/>
    <w:rsid w:val="00E0281E"/>
    <w:rsid w:val="00E04FCB"/>
    <w:rsid w:val="00E059A5"/>
    <w:rsid w:val="00E22706"/>
    <w:rsid w:val="00E41F43"/>
    <w:rsid w:val="00E4529F"/>
    <w:rsid w:val="00E474A9"/>
    <w:rsid w:val="00E508DB"/>
    <w:rsid w:val="00E70A64"/>
    <w:rsid w:val="00EA43F8"/>
    <w:rsid w:val="00EB248F"/>
    <w:rsid w:val="00EB3365"/>
    <w:rsid w:val="00EC629B"/>
    <w:rsid w:val="00EC7AAD"/>
    <w:rsid w:val="00ED3B6D"/>
    <w:rsid w:val="00F00F09"/>
    <w:rsid w:val="00F90A6D"/>
    <w:rsid w:val="00F94BC2"/>
    <w:rsid w:val="00FA437E"/>
    <w:rsid w:val="00FB2051"/>
    <w:rsid w:val="00FB354E"/>
    <w:rsid w:val="00FB7DC3"/>
    <w:rsid w:val="00FE0026"/>
    <w:rsid w:val="00FF1D93"/>
    <w:rsid w:val="0AB70D48"/>
    <w:rsid w:val="21E09F87"/>
    <w:rsid w:val="38DE4C66"/>
    <w:rsid w:val="484B99C3"/>
    <w:rsid w:val="4EA40390"/>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宋体"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标题 1 字符"/>
    <w:basedOn w:val="16"/>
    <w:link w:val="2"/>
    <w:qFormat/>
    <w:uiPriority w:val="9"/>
    <w:rPr>
      <w:rFonts w:ascii="Arial" w:hAnsi="Arial" w:eastAsiaTheme="majorEastAsia" w:cstheme="majorBidi"/>
      <w:b/>
      <w:sz w:val="36"/>
      <w:szCs w:val="32"/>
    </w:rPr>
  </w:style>
  <w:style w:type="character" w:customStyle="1" w:styleId="21">
    <w:name w:val="标题 2 字符"/>
    <w:basedOn w:val="16"/>
    <w:link w:val="3"/>
    <w:qFormat/>
    <w:uiPriority w:val="9"/>
    <w:rPr>
      <w:rFonts w:ascii="Arial" w:hAnsi="Arial" w:eastAsiaTheme="majorEastAsia" w:cstheme="majorBidi"/>
      <w:b/>
      <w:sz w:val="32"/>
      <w:szCs w:val="26"/>
    </w:rPr>
  </w:style>
  <w:style w:type="character" w:customStyle="1" w:styleId="22">
    <w:name w:val="标题 3 字符"/>
    <w:basedOn w:val="16"/>
    <w:link w:val="4"/>
    <w:qFormat/>
    <w:uiPriority w:val="9"/>
    <w:rPr>
      <w:rFonts w:ascii="Arial" w:hAnsi="Arial" w:eastAsiaTheme="majorEastAsia" w:cstheme="majorBidi"/>
      <w:b/>
      <w:sz w:val="28"/>
      <w:szCs w:val="24"/>
    </w:rPr>
  </w:style>
  <w:style w:type="character" w:customStyle="1" w:styleId="23">
    <w:name w:val="批注文字 字符"/>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批注框文本 字符"/>
    <w:basedOn w:val="16"/>
    <w:link w:val="7"/>
    <w:semiHidden/>
    <w:qFormat/>
    <w:uiPriority w:val="99"/>
    <w:rPr>
      <w:rFonts w:ascii="Segoe UI" w:hAnsi="Segoe UI" w:cs="Segoe UI"/>
      <w:sz w:val="18"/>
      <w:szCs w:val="18"/>
    </w:rPr>
  </w:style>
  <w:style w:type="character" w:customStyle="1" w:styleId="26">
    <w:name w:val="批注主题 字符"/>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eastAsia="宋体" w:cs="Times New Roman"/>
      <w:color w:val="000000"/>
      <w:sz w:val="24"/>
      <w:szCs w:val="24"/>
      <w:lang w:val="en-GB" w:eastAsia="en-US" w:bidi="ar-SA"/>
    </w:rPr>
  </w:style>
  <w:style w:type="paragraph" w:customStyle="1" w:styleId="28">
    <w:name w:val="Revision"/>
    <w:hidden/>
    <w:semiHidden/>
    <w:uiPriority w:val="99"/>
    <w:pPr>
      <w:spacing w:after="0" w:line="240" w:lineRule="auto"/>
    </w:pPr>
    <w:rPr>
      <w:rFonts w:eastAsia="宋体" w:asciiTheme="minorHAnsi" w:hAnsiTheme="minorHAnsi" w:cstheme="minorBidi"/>
      <w:sz w:val="22"/>
      <w:szCs w:val="22"/>
      <w:lang w:val="en-GB" w:eastAsia="en-US" w:bidi="ar-SA"/>
    </w:rPr>
  </w:style>
  <w:style w:type="character" w:customStyle="1" w:styleId="29">
    <w:name w:val="Mention"/>
    <w:basedOn w:val="16"/>
    <w:semiHidden/>
    <w:unhideWhenUsed/>
    <w:uiPriority w:val="99"/>
    <w:rPr>
      <w:color w:val="2B579A"/>
      <w:shd w:val="clear" w:color="auto" w:fill="E6E6E6"/>
    </w:rPr>
  </w:style>
  <w:style w:type="character" w:customStyle="1" w:styleId="30">
    <w:name w:val="页眉 字符"/>
    <w:basedOn w:val="16"/>
    <w:link w:val="9"/>
    <w:qFormat/>
    <w:uiPriority w:val="99"/>
    <w:rPr>
      <w:rFonts w:ascii="Arial" w:hAnsi="Arial"/>
      <w:sz w:val="24"/>
    </w:rPr>
  </w:style>
  <w:style w:type="character" w:customStyle="1" w:styleId="31">
    <w:name w:val="页脚 字符"/>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eastAsia="宋体" w:asciiTheme="minorHAnsi" w:hAnsi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30F72-7417-48E6-AE0C-1B81CF923EE9}">
  <ds:schemaRefs/>
</ds:datastoreItem>
</file>

<file path=customXml/itemProps3.xml><?xml version="1.0" encoding="utf-8"?>
<ds:datastoreItem xmlns:ds="http://schemas.openxmlformats.org/officeDocument/2006/customXml" ds:itemID="{FB7B7C74-D0C3-433A-8D0D-DB2DE94CCECD}">
  <ds:schemaRefs/>
</ds:datastoreItem>
</file>

<file path=customXml/itemProps4.xml><?xml version="1.0" encoding="utf-8"?>
<ds:datastoreItem xmlns:ds="http://schemas.openxmlformats.org/officeDocument/2006/customXml" ds:itemID="{77031060-4A8E-4745-8E93-1055D6FF401F}">
  <ds:schemaRefs/>
</ds:datastoreItem>
</file>

<file path=customXml/itemProps5.xml><?xml version="1.0" encoding="utf-8"?>
<ds:datastoreItem xmlns:ds="http://schemas.openxmlformats.org/officeDocument/2006/customXml" ds:itemID="{C335C7F7-67E5-416F-9134-53661C7E9B99}"/>
</file>

<file path=docProps/app.xml><?xml version="1.0" encoding="utf-8"?>
<Properties xmlns="http://schemas.openxmlformats.org/officeDocument/2006/extended-properties" xmlns:vt="http://schemas.openxmlformats.org/officeDocument/2006/docPropsVTypes">
  <Template>Normal.dotm</Template>
  <Pages>16</Pages>
  <Words>2148</Words>
  <Characters>11527</Characters>
  <Lines>118</Lines>
  <Paragraphs>33</Paragraphs>
  <TotalTime>1</TotalTime>
  <ScaleCrop>false</ScaleCrop>
  <LinksUpToDate>false</LinksUpToDate>
  <CharactersWithSpaces>13511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2023-06-13T01:53:49Z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6CBD3E67F09B4A5D922B53A646E06C32_12</vt:lpwstr>
  </property>
</Properties>
</file>