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6FAB-F595-49C0-97F6-4F36A524D0C2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