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789E-6DE3-42A4-A4BB-6E4A65331EBE}"/>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