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1FC67-5589-4010-96A0-5CC5A01ED1C3}"/>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