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582F7-4C79-4F2B-832D-83981796B553}"/>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