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12"/>
        <w:gridCol w:w="1413"/>
        <w:gridCol w:w="2194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3CCFB7F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4CAD4578" w:rsidR="00A26DFE" w:rsidRPr="00260013" w:rsidRDefault="009C6A38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22/06/2021</w:t>
            </w: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25F75BE" w:rsidR="00A26DFE" w:rsidRPr="00260013" w:rsidRDefault="009C6A38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28/06/2021</w:t>
            </w: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55F7CDB2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1E9B09B2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6674B0F9" w:rsidR="004C4067" w:rsidRPr="00260013" w:rsidRDefault="009C6A38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Community</w:t>
            </w: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3EFE65A7" w:rsidR="004C4067" w:rsidRPr="00260013" w:rsidRDefault="009C6A38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TD0011</w:t>
            </w: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067CF51A" w:rsidR="000F19D1" w:rsidRPr="00260013" w:rsidRDefault="00021B5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cs="Arial"/>
              </w:rPr>
              <w:t>M</w:t>
            </w:r>
            <w:r w:rsidR="009C6A38">
              <w:rPr>
                <w:rFonts w:cs="Arial"/>
              </w:rPr>
              <w:t>ultiple deadlines in UK trade defence investigations, as well as responding to the decision on the steel safeguards</w:t>
            </w:r>
            <w:r>
              <w:rPr>
                <w:rFonts w:cs="Arial"/>
              </w:rPr>
              <w:t xml:space="preserve"> that impact our membership across the steel industry.</w:t>
            </w: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4F7F97" w:rsidR="00AA1E80" w:rsidRPr="00260013" w:rsidRDefault="009C6A38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cs="Arial"/>
              </w:rPr>
              <w:t>Due to the increase in workload, and as a small policy team we have limited resources and capacity to prepare a response in full to the TD0011 questionnaire.</w:t>
            </w: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1372A086" w:rsidR="00862F2F" w:rsidRPr="00260013" w:rsidRDefault="009C6A38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 July 2021</w:t>
            </w: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49F001B9" w:rsidR="00C93122" w:rsidRPr="00260013" w:rsidRDefault="009C6A38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This will enable us to prepare a detailed and full response to the questionnaire, consult with stakeholders and give time for our internal sign off processes.</w:t>
            </w: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2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E863" w14:textId="77777777" w:rsidR="00997B52" w:rsidRDefault="00997B52">
      <w:r>
        <w:separator/>
      </w:r>
    </w:p>
  </w:endnote>
  <w:endnote w:type="continuationSeparator" w:id="0">
    <w:p w14:paraId="72D32431" w14:textId="77777777" w:rsidR="00997B52" w:rsidRDefault="0099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610F" w14:textId="77777777" w:rsidR="00997B52" w:rsidRDefault="00997B52">
      <w:r>
        <w:separator/>
      </w:r>
    </w:p>
  </w:footnote>
  <w:footnote w:type="continuationSeparator" w:id="0">
    <w:p w14:paraId="499FB274" w14:textId="77777777" w:rsidR="00997B52" w:rsidRDefault="00997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1B5E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2B4"/>
    <w:rsid w:val="001809DF"/>
    <w:rsid w:val="001963C4"/>
    <w:rsid w:val="001A5EE9"/>
    <w:rsid w:val="001B724F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E1C3D"/>
    <w:rsid w:val="007E721E"/>
    <w:rsid w:val="007E775D"/>
    <w:rsid w:val="007F1D8F"/>
    <w:rsid w:val="007F5C5F"/>
    <w:rsid w:val="00807BBD"/>
    <w:rsid w:val="00821CBE"/>
    <w:rsid w:val="0082412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97B52"/>
    <w:rsid w:val="009A782F"/>
    <w:rsid w:val="009C6A38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28DF"/>
    <w:rsid w:val="00B55031"/>
    <w:rsid w:val="00B6429F"/>
    <w:rsid w:val="00B652D5"/>
    <w:rsid w:val="00B67D25"/>
    <w:rsid w:val="00B7692E"/>
    <w:rsid w:val="00BA454B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DB718A05-2900-4F64-A995-768B8C6E0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FC7DEA-AB6F-42F1-BB8F-E5ABE7488BF9}"/>
</file>

<file path=customXml/itemProps3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3084C-A23E-4885-88FB-0F1A31A523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>Hamish MacLellan</dc:creator>
  <cp:keywords>letter</cp:keywords>
  <dc:description/>
  <cp:lastModifiedBy>Kate DEARDEN</cp:lastModifiedBy>
  <cp:revision>4</cp:revision>
  <cp:lastPrinted>2011-03-30T12:28:00Z</cp:lastPrinted>
  <dcterms:created xsi:type="dcterms:W3CDTF">2021-06-22T12:29:00Z</dcterms:created>
  <dcterms:modified xsi:type="dcterms:W3CDTF">2021-06-22T16:29:00Z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