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D13D" w14:textId="33D56BC9" w:rsidR="00DD5B1C" w:rsidRDefault="00DD5B1C" w:rsidP="004F2C8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NOTICE OF INITIATION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EA068EF" w14:textId="4709B774" w:rsidR="006C198E" w:rsidRPr="00460126" w:rsidRDefault="00460126" w:rsidP="004F2C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01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Hydrotreated vegetable oil (HVO)</w:t>
      </w:r>
    </w:p>
    <w:p w14:paraId="0DF0911F" w14:textId="507D87DF" w:rsidR="00DD5B1C" w:rsidRPr="00DD5B1C" w:rsidRDefault="00033045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</w:t>
      </w:r>
      <w:r w:rsidR="00DD5B1C"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mported into the United Kingdom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originating </w:t>
      </w:r>
      <w:r w:rsidR="00DD5B1C"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from </w:t>
      </w:r>
      <w:r w:rsidR="000116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United States of America (US)</w:t>
      </w:r>
      <w:r w:rsidR="00011610" w:rsidRPr="00C35807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0FBFD58" w14:textId="77777777" w:rsidR="00DD5B1C" w:rsidRPr="00DD5B1C" w:rsidRDefault="00DD5B1C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Initiation of an Investigation into Alleged Dumping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E3303D1" w14:textId="003D9B2D" w:rsidR="00DD5B1C" w:rsidRPr="00DD5B1C" w:rsidRDefault="00DD5B1C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Investigation No. </w:t>
      </w:r>
      <w:r w:rsidR="000330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F2526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</w:t>
      </w:r>
      <w:r w:rsidR="000330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00</w:t>
      </w:r>
      <w:r w:rsidR="00FF58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0501C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6264384" w14:textId="77777777" w:rsidR="00DD5B1C" w:rsidRPr="00DD5B1C" w:rsidRDefault="00DD5B1C" w:rsidP="007976E3">
      <w:pPr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F8E995" w14:textId="77777777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The Trade Remedies Authority (TRA) makes the following Notice under paragraph 9(5) of Schedule 4 to the Taxation (Cross-border Trade) Act 2018 (the Act) to initiate an investigation into alleged dumping. </w:t>
      </w:r>
    </w:p>
    <w:p w14:paraId="1C25CFAC" w14:textId="28368911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date of initiation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of the investigation is </w:t>
      </w:r>
      <w:r w:rsidR="000B6D69">
        <w:rPr>
          <w:rFonts w:ascii="Arial" w:eastAsia="Times New Roman" w:hAnsi="Arial" w:cs="Arial"/>
          <w:sz w:val="24"/>
          <w:szCs w:val="24"/>
          <w:lang w:eastAsia="en-GB"/>
        </w:rPr>
        <w:t>17 March 2025</w:t>
      </w:r>
      <w:r w:rsidR="00E9492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361668" w14:textId="058B3799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decision to initiate the investigation follows an application lodged by 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Renewable Transport Fuel Association (RTFA</w:t>
      </w:r>
      <w:proofErr w:type="gram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)</w:t>
      </w:r>
      <w:r w:rsidR="0002436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 w:rsidR="0002436A">
        <w:rPr>
          <w:rFonts w:ascii="Arial" w:hAnsi="Arial" w:cs="Arial"/>
          <w:color w:val="000000" w:themeColor="text1"/>
          <w:sz w:val="24"/>
          <w:szCs w:val="24"/>
        </w:rPr>
        <w:t xml:space="preserve">Company number </w:t>
      </w:r>
      <w:r w:rsidR="001A204B">
        <w:rPr>
          <w:rFonts w:ascii="Arial" w:hAnsi="Arial" w:cs="Arial"/>
          <w:color w:val="000000" w:themeColor="text1"/>
          <w:sz w:val="24"/>
          <w:szCs w:val="24"/>
        </w:rPr>
        <w:t>13028135</w:t>
      </w:r>
      <w:r w:rsidR="009009A5">
        <w:rPr>
          <w:rFonts w:ascii="Arial" w:hAnsi="Arial" w:cs="Arial"/>
          <w:color w:val="000000" w:themeColor="text1"/>
          <w:sz w:val="24"/>
          <w:szCs w:val="24"/>
        </w:rPr>
        <w:t>)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Greenergy</w:t>
      </w:r>
      <w:proofErr w:type="spellEnd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 Fuels Limited</w:t>
      </w:r>
      <w:r w:rsidR="00E37576">
        <w:rPr>
          <w:rFonts w:ascii="Arial" w:hAnsi="Arial" w:cs="Arial"/>
          <w:color w:val="000000" w:themeColor="text1"/>
          <w:sz w:val="24"/>
          <w:szCs w:val="24"/>
        </w:rPr>
        <w:t xml:space="preserve"> (Company number 04058825)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, Argent Energy Limited</w:t>
      </w:r>
      <w:r w:rsidR="0069032E" w:rsidRPr="006903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32E">
        <w:rPr>
          <w:rFonts w:ascii="Arial" w:hAnsi="Arial" w:cs="Arial"/>
          <w:color w:val="000000" w:themeColor="text1"/>
          <w:sz w:val="24"/>
          <w:szCs w:val="24"/>
        </w:rPr>
        <w:t>(Company number</w:t>
      </w:r>
      <w:r w:rsidR="00622EA9">
        <w:rPr>
          <w:rFonts w:ascii="Arial" w:hAnsi="Arial" w:cs="Arial"/>
          <w:color w:val="000000" w:themeColor="text1"/>
          <w:sz w:val="24"/>
          <w:szCs w:val="24"/>
        </w:rPr>
        <w:t xml:space="preserve"> 05455240</w:t>
      </w:r>
      <w:r w:rsidR="0069032E">
        <w:rPr>
          <w:rFonts w:ascii="Arial" w:hAnsi="Arial" w:cs="Arial"/>
          <w:color w:val="000000" w:themeColor="text1"/>
          <w:sz w:val="24"/>
          <w:szCs w:val="24"/>
        </w:rPr>
        <w:t>)</w:t>
      </w:r>
      <w:r w:rsidR="0069032E" w:rsidRPr="00806C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proofErr w:type="spell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Olleco</w:t>
      </w:r>
      <w:proofErr w:type="spellEnd"/>
      <w:r w:rsidR="00903154">
        <w:rPr>
          <w:rFonts w:ascii="Arial" w:hAnsi="Arial" w:cs="Arial"/>
          <w:color w:val="000000" w:themeColor="text1"/>
          <w:sz w:val="24"/>
          <w:szCs w:val="24"/>
        </w:rPr>
        <w:t xml:space="preserve"> (Company number 05878742)</w:t>
      </w:r>
      <w:r w:rsidR="002B7EF5" w:rsidRPr="00806C1A">
        <w:rPr>
          <w:rFonts w:ascii="Arial" w:hAnsi="Arial" w:cs="Arial"/>
          <w:color w:val="000000" w:themeColor="text1"/>
          <w:sz w:val="24"/>
          <w:szCs w:val="24"/>
        </w:rPr>
        <w:t xml:space="preserve">, represented by </w:t>
      </w:r>
      <w:proofErr w:type="spellStart"/>
      <w:r w:rsidR="00984633" w:rsidRPr="00806C1A">
        <w:rPr>
          <w:rFonts w:ascii="Arial" w:hAnsi="Arial" w:cs="Arial"/>
          <w:color w:val="000000" w:themeColor="text1"/>
          <w:sz w:val="24"/>
          <w:szCs w:val="24"/>
        </w:rPr>
        <w:t>Fieldfisher</w:t>
      </w:r>
      <w:proofErr w:type="spellEnd"/>
      <w:r w:rsidR="00984633" w:rsidRPr="00806C1A">
        <w:rPr>
          <w:rFonts w:ascii="Arial" w:hAnsi="Arial" w:cs="Arial"/>
          <w:color w:val="000000" w:themeColor="text1"/>
          <w:sz w:val="24"/>
          <w:szCs w:val="24"/>
        </w:rPr>
        <w:t xml:space="preserve"> LLP, Riverbank House, 2 Swan Lane, London, EC4R 3TT</w:t>
      </w:r>
      <w:r w:rsidR="00261E81" w:rsidRPr="00806C1A">
        <w:rPr>
          <w:rFonts w:ascii="Arial" w:hAnsi="Arial" w:cs="Arial"/>
          <w:sz w:val="24"/>
          <w:szCs w:val="24"/>
        </w:rPr>
        <w:t xml:space="preserve"> </w:t>
      </w:r>
      <w:r w:rsidR="00984633" w:rsidRPr="00806C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Pr="00806C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Application).  </w:t>
      </w:r>
    </w:p>
    <w:p w14:paraId="61065198" w14:textId="54826343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Application was made on behalf of the U</w:t>
      </w:r>
      <w:r w:rsidR="00373B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nited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</w:t>
      </w:r>
      <w:r w:rsidR="00373B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ingdom (UK) i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ndustry </w:t>
      </w:r>
      <w:r w:rsidR="008645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biodiesel</w:t>
      </w:r>
      <w:r w:rsidR="000107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production</w:t>
      </w:r>
      <w:r w:rsidR="002E49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D816BDF" w14:textId="373FC9FA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non-confidential copy of the </w:t>
      </w:r>
      <w:hyperlink r:id="rId8" w:anchor="public-file" w:history="1">
        <w:r w:rsidRPr="00790EF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Application</w:t>
        </w:r>
      </w:hyperlink>
      <w:r w:rsidRPr="00790E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 available on our public file relating to this investigation. </w:t>
      </w:r>
    </w:p>
    <w:p w14:paraId="047C7633" w14:textId="26ADA90E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 TO TAKE PART IN THE INVESTIGATION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5CF3302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Registration period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8E49B35" w14:textId="3ECE4BC3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Anyone who wants to participate in the investigation can register their interest through the Trade Remedies Service at </w:t>
      </w:r>
      <w:hyperlink r:id="rId9" w:history="1">
        <w:r w:rsidR="004726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https://www.trade-remedies.service.gov.uk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0501CF">
        <w:rPr>
          <w:rFonts w:ascii="Arial" w:eastAsia="Times New Roman" w:hAnsi="Arial" w:cs="Arial"/>
          <w:sz w:val="24"/>
          <w:szCs w:val="24"/>
          <w:lang w:eastAsia="en-GB"/>
        </w:rPr>
        <w:t>1 April</w:t>
      </w:r>
      <w:r w:rsidR="00731C62">
        <w:rPr>
          <w:rFonts w:ascii="Arial" w:eastAsia="Times New Roman" w:hAnsi="Arial" w:cs="Arial"/>
          <w:sz w:val="24"/>
          <w:szCs w:val="24"/>
          <w:lang w:eastAsia="en-GB"/>
        </w:rPr>
        <w:t xml:space="preserve"> 2025.</w:t>
      </w:r>
    </w:p>
    <w:p w14:paraId="25232509" w14:textId="411A0E0D" w:rsidR="00DD5B1C" w:rsidRPr="006C198E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Please contact </w:t>
      </w:r>
      <w:r w:rsidR="00CF631B" w:rsidRPr="006C198E">
        <w:rPr>
          <w:rFonts w:ascii="Arial" w:eastAsia="Times New Roman" w:hAnsi="Arial" w:cs="Arial"/>
          <w:sz w:val="24"/>
          <w:szCs w:val="24"/>
          <w:lang w:eastAsia="en-GB"/>
        </w:rPr>
        <w:t>AD00</w:t>
      </w:r>
      <w:r w:rsidR="00FF5804" w:rsidRPr="006C198E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7B1633" w:rsidRPr="006C198E"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Pr="006C198E">
        <w:rPr>
          <w:rFonts w:ascii="Arial" w:eastAsia="Times New Roman" w:hAnsi="Arial" w:cs="Arial"/>
          <w:sz w:val="24"/>
          <w:szCs w:val="24"/>
          <w:lang w:eastAsia="en-GB"/>
        </w:rPr>
        <w:t>@traderemedies.gov.uk if you have any difficulties using this service. </w:t>
      </w:r>
    </w:p>
    <w:p w14:paraId="50508982" w14:textId="73C3901E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198E">
        <w:rPr>
          <w:rFonts w:ascii="Arial" w:eastAsia="Times New Roman" w:hAnsi="Arial" w:cs="Arial"/>
          <w:sz w:val="24"/>
          <w:szCs w:val="24"/>
          <w:lang w:eastAsia="en-GB"/>
        </w:rPr>
        <w:t xml:space="preserve">Anyone registering their interest after </w:t>
      </w:r>
      <w:r w:rsidR="008B6A32" w:rsidRPr="006C198E">
        <w:rPr>
          <w:rFonts w:ascii="Arial" w:eastAsia="Times New Roman" w:hAnsi="Arial" w:cs="Arial"/>
          <w:sz w:val="24"/>
          <w:szCs w:val="24"/>
          <w:lang w:eastAsia="en-GB"/>
        </w:rPr>
        <w:t>1 April</w:t>
      </w:r>
      <w:r w:rsidR="00731C62" w:rsidRPr="006C198E">
        <w:rPr>
          <w:rFonts w:ascii="Arial" w:eastAsia="Times New Roman" w:hAnsi="Arial" w:cs="Arial"/>
          <w:sz w:val="24"/>
          <w:szCs w:val="24"/>
          <w:lang w:eastAsia="en-GB"/>
        </w:rPr>
        <w:t xml:space="preserve"> 2025 </w:t>
      </w:r>
      <w:r w:rsidRPr="006C198E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not be able to participate fully in the investigation process.  </w:t>
      </w:r>
    </w:p>
    <w:p w14:paraId="3CB825C1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F8D3BAB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Interested parties and contributors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837182A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Once registered, interested parties and contributors can submit comments on any issues relevant to the investigation through the Trade Remedies Service. </w:t>
      </w:r>
    </w:p>
    <w:p w14:paraId="24A6E5A4" w14:textId="77777777" w:rsidR="00DD5B1C" w:rsidRPr="00DD5B1C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Interested parties may include: </w:t>
      </w:r>
    </w:p>
    <w:p w14:paraId="31C48B03" w14:textId="3EAEE905" w:rsidR="00DD5B1C" w:rsidRPr="00976136" w:rsidRDefault="00DD5B1C" w:rsidP="00976136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76136">
        <w:rPr>
          <w:rFonts w:ascii="Arial" w:eastAsia="Times New Roman" w:hAnsi="Arial" w:cs="Arial"/>
          <w:sz w:val="24"/>
          <w:szCs w:val="24"/>
          <w:lang w:eastAsia="en-GB"/>
        </w:rPr>
        <w:t>the government</w:t>
      </w:r>
      <w:r w:rsidR="00976136" w:rsidRPr="00976136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proofErr w:type="gramStart"/>
      <w:r w:rsidR="00976136" w:rsidRPr="00976136">
        <w:rPr>
          <w:rFonts w:ascii="Arial" w:eastAsia="Times New Roman" w:hAnsi="Arial" w:cs="Arial"/>
          <w:sz w:val="24"/>
          <w:szCs w:val="24"/>
          <w:lang w:eastAsia="en-GB"/>
        </w:rPr>
        <w:t>US;</w:t>
      </w:r>
      <w:proofErr w:type="gramEnd"/>
    </w:p>
    <w:p w14:paraId="5C15C209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any overseas exporter or importer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9C1CC34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 overseas producer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AC3C72D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 trade or business association of overseas producers, overseas exporters or importers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3BCCC7C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producer of the like goods in the UK; and </w:t>
      </w:r>
    </w:p>
    <w:p w14:paraId="6CFD814B" w14:textId="77777777" w:rsidR="00DD5B1C" w:rsidRPr="00DD5B1C" w:rsidRDefault="00DD5B1C" w:rsidP="00976136">
      <w:pPr>
        <w:numPr>
          <w:ilvl w:val="0"/>
          <w:numId w:val="13"/>
        </w:numPr>
        <w:spacing w:after="2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trade or business association of UK producers of the like goods. </w:t>
      </w:r>
    </w:p>
    <w:p w14:paraId="545608B1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Contributors are those, other than interested parties, who have notified us that they would like to participate in the investigation.</w:t>
      </w: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0298EFD3" w14:textId="3FA3A112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SUMMARY OF THE INVESTIGATION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0352B92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>The Goods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2D5698A" w14:textId="77777777" w:rsidR="00DD5B1C" w:rsidRDefault="00DD5B1C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goods subject to investigation (the Goods Concerned) are: </w:t>
      </w:r>
    </w:p>
    <w:p w14:paraId="5C1F5202" w14:textId="24102943" w:rsidR="00CC3670" w:rsidRDefault="00CC3670" w:rsidP="00CC3670">
      <w:pPr>
        <w:ind w:left="60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Biodiesel (or paraffinic diesel fuel / gasoil) obtained from synthesis or hydrotreatment of oils and fats of non-fossil origin, in pure form or as included in a blend, originating in the United States of America (US). </w:t>
      </w:r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This biodiesel is commonly known as hydrotreated (hydrogenated) vegetable oil diesel (HVO), renewable diesel or green diesel. Synthetic paraffinic kerosene (also known as sustainable aviation </w:t>
      </w:r>
      <w:proofErr w:type="gramStart"/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>fuel</w:t>
      </w:r>
      <w:r w:rsidR="00742F67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proofErr w:type="gramEnd"/>
      <w:r w:rsidR="00742F67">
        <w:rPr>
          <w:rFonts w:ascii="Arial" w:hAnsi="Arial" w:cs="Arial"/>
          <w:i/>
          <w:iCs/>
          <w:color w:val="000000" w:themeColor="text1"/>
          <w:sz w:val="24"/>
          <w:szCs w:val="24"/>
        </w:rPr>
        <w:t>SAF)</w:t>
      </w:r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>) is excluded from this description of biodiesel.</w:t>
      </w:r>
    </w:p>
    <w:p w14:paraId="47905623" w14:textId="77777777" w:rsidR="00325A26" w:rsidRDefault="00325A26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8126FA" w14:textId="50785570" w:rsidR="00DD5B1C" w:rsidRPr="00AB7D00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Goods Concerned are subject to the following commodity code</w:t>
      </w:r>
      <w:r w:rsidRPr="00AB7D00">
        <w:rPr>
          <w:rFonts w:ascii="Arial" w:eastAsia="Times New Roman" w:hAnsi="Arial" w:cs="Arial"/>
          <w:sz w:val="24"/>
          <w:szCs w:val="24"/>
          <w:lang w:eastAsia="en-GB"/>
        </w:rPr>
        <w:t>s: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43C78" w:rsidRPr="00943C78" w14:paraId="3BA3A29B" w14:textId="77777777" w:rsidTr="001060B1">
        <w:tc>
          <w:tcPr>
            <w:tcW w:w="1803" w:type="dxa"/>
          </w:tcPr>
          <w:p w14:paraId="5F1BC94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1516209821</w:t>
            </w:r>
          </w:p>
        </w:tc>
        <w:tc>
          <w:tcPr>
            <w:tcW w:w="1803" w:type="dxa"/>
          </w:tcPr>
          <w:p w14:paraId="48055513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1518009923</w:t>
            </w:r>
          </w:p>
        </w:tc>
        <w:tc>
          <w:tcPr>
            <w:tcW w:w="1803" w:type="dxa"/>
          </w:tcPr>
          <w:p w14:paraId="0F9DA12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2710194429</w:t>
            </w:r>
          </w:p>
        </w:tc>
        <w:tc>
          <w:tcPr>
            <w:tcW w:w="1803" w:type="dxa"/>
          </w:tcPr>
          <w:p w14:paraId="2D3C3A8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2710194810</w:t>
            </w:r>
          </w:p>
        </w:tc>
        <w:tc>
          <w:tcPr>
            <w:tcW w:w="1804" w:type="dxa"/>
          </w:tcPr>
          <w:p w14:paraId="7A9EDD7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2710201699</w:t>
            </w:r>
          </w:p>
        </w:tc>
      </w:tr>
      <w:tr w:rsidR="00943C78" w:rsidRPr="00943C78" w14:paraId="2E888475" w14:textId="77777777" w:rsidTr="001060B1">
        <w:tc>
          <w:tcPr>
            <w:tcW w:w="1803" w:type="dxa"/>
          </w:tcPr>
          <w:p w14:paraId="0FA1F5F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1516209823</w:t>
            </w:r>
          </w:p>
        </w:tc>
        <w:tc>
          <w:tcPr>
            <w:tcW w:w="1803" w:type="dxa"/>
          </w:tcPr>
          <w:p w14:paraId="5364EC0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1518009929</w:t>
            </w:r>
          </w:p>
        </w:tc>
        <w:tc>
          <w:tcPr>
            <w:tcW w:w="1803" w:type="dxa"/>
          </w:tcPr>
          <w:p w14:paraId="61BF9B56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2710194432</w:t>
            </w:r>
          </w:p>
        </w:tc>
        <w:tc>
          <w:tcPr>
            <w:tcW w:w="1803" w:type="dxa"/>
          </w:tcPr>
          <w:p w14:paraId="0EB7276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2710194890</w:t>
            </w:r>
          </w:p>
        </w:tc>
        <w:tc>
          <w:tcPr>
            <w:tcW w:w="1804" w:type="dxa"/>
          </w:tcPr>
          <w:p w14:paraId="2370841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3824999210</w:t>
            </w:r>
          </w:p>
        </w:tc>
      </w:tr>
      <w:tr w:rsidR="00943C78" w:rsidRPr="00943C78" w14:paraId="1C1BB9D7" w14:textId="77777777" w:rsidTr="001060B1">
        <w:tc>
          <w:tcPr>
            <w:tcW w:w="1803" w:type="dxa"/>
          </w:tcPr>
          <w:p w14:paraId="464E3A0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1516209829</w:t>
            </w:r>
          </w:p>
        </w:tc>
        <w:tc>
          <w:tcPr>
            <w:tcW w:w="1803" w:type="dxa"/>
          </w:tcPr>
          <w:p w14:paraId="4214B08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1518009932</w:t>
            </w:r>
          </w:p>
        </w:tc>
        <w:tc>
          <w:tcPr>
            <w:tcW w:w="1803" w:type="dxa"/>
          </w:tcPr>
          <w:p w14:paraId="2EC4F54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2710194439</w:t>
            </w:r>
          </w:p>
        </w:tc>
        <w:tc>
          <w:tcPr>
            <w:tcW w:w="1803" w:type="dxa"/>
          </w:tcPr>
          <w:p w14:paraId="55033EA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2710201121</w:t>
            </w:r>
          </w:p>
        </w:tc>
        <w:tc>
          <w:tcPr>
            <w:tcW w:w="1804" w:type="dxa"/>
          </w:tcPr>
          <w:p w14:paraId="7888330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3824999213</w:t>
            </w:r>
          </w:p>
        </w:tc>
      </w:tr>
      <w:tr w:rsidR="00943C78" w:rsidRPr="00943C78" w14:paraId="1476244B" w14:textId="77777777" w:rsidTr="001060B1">
        <w:tc>
          <w:tcPr>
            <w:tcW w:w="1803" w:type="dxa"/>
          </w:tcPr>
          <w:p w14:paraId="6EB53C7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1516209832</w:t>
            </w:r>
          </w:p>
        </w:tc>
        <w:tc>
          <w:tcPr>
            <w:tcW w:w="1803" w:type="dxa"/>
          </w:tcPr>
          <w:p w14:paraId="39DD15B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1518009939</w:t>
            </w:r>
          </w:p>
        </w:tc>
        <w:tc>
          <w:tcPr>
            <w:tcW w:w="1803" w:type="dxa"/>
          </w:tcPr>
          <w:p w14:paraId="71960256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2710194621</w:t>
            </w:r>
          </w:p>
        </w:tc>
        <w:tc>
          <w:tcPr>
            <w:tcW w:w="1803" w:type="dxa"/>
          </w:tcPr>
          <w:p w14:paraId="22E491A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2710201123</w:t>
            </w:r>
          </w:p>
        </w:tc>
        <w:tc>
          <w:tcPr>
            <w:tcW w:w="1804" w:type="dxa"/>
          </w:tcPr>
          <w:p w14:paraId="35B5A48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3824999214</w:t>
            </w:r>
          </w:p>
        </w:tc>
      </w:tr>
      <w:tr w:rsidR="00943C78" w:rsidRPr="00943C78" w14:paraId="747264B4" w14:textId="77777777" w:rsidTr="001060B1">
        <w:tc>
          <w:tcPr>
            <w:tcW w:w="1803" w:type="dxa"/>
          </w:tcPr>
          <w:p w14:paraId="135B02C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1516209839</w:t>
            </w:r>
          </w:p>
        </w:tc>
        <w:tc>
          <w:tcPr>
            <w:tcW w:w="1803" w:type="dxa"/>
          </w:tcPr>
          <w:p w14:paraId="2586423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2710194221</w:t>
            </w:r>
          </w:p>
        </w:tc>
        <w:tc>
          <w:tcPr>
            <w:tcW w:w="1803" w:type="dxa"/>
          </w:tcPr>
          <w:p w14:paraId="2AA815F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2710194629</w:t>
            </w:r>
          </w:p>
        </w:tc>
        <w:tc>
          <w:tcPr>
            <w:tcW w:w="1803" w:type="dxa"/>
          </w:tcPr>
          <w:p w14:paraId="0D5FB5F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2710201129</w:t>
            </w:r>
          </w:p>
        </w:tc>
        <w:tc>
          <w:tcPr>
            <w:tcW w:w="1804" w:type="dxa"/>
          </w:tcPr>
          <w:p w14:paraId="2BD3B92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3824999216</w:t>
            </w:r>
          </w:p>
        </w:tc>
      </w:tr>
      <w:tr w:rsidR="00943C78" w:rsidRPr="00943C78" w14:paraId="7375A214" w14:textId="77777777" w:rsidTr="001060B1">
        <w:tc>
          <w:tcPr>
            <w:tcW w:w="1803" w:type="dxa"/>
          </w:tcPr>
          <w:p w14:paraId="638E4A4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1518009121</w:t>
            </w:r>
          </w:p>
        </w:tc>
        <w:tc>
          <w:tcPr>
            <w:tcW w:w="1803" w:type="dxa"/>
          </w:tcPr>
          <w:p w14:paraId="64C517A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2710194223</w:t>
            </w:r>
          </w:p>
        </w:tc>
        <w:tc>
          <w:tcPr>
            <w:tcW w:w="1803" w:type="dxa"/>
          </w:tcPr>
          <w:p w14:paraId="78295DE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2710194623</w:t>
            </w:r>
          </w:p>
        </w:tc>
        <w:tc>
          <w:tcPr>
            <w:tcW w:w="1803" w:type="dxa"/>
          </w:tcPr>
          <w:p w14:paraId="6604208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2710201132</w:t>
            </w:r>
          </w:p>
        </w:tc>
        <w:tc>
          <w:tcPr>
            <w:tcW w:w="1804" w:type="dxa"/>
          </w:tcPr>
          <w:p w14:paraId="47611BD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3824999219</w:t>
            </w:r>
          </w:p>
        </w:tc>
      </w:tr>
      <w:tr w:rsidR="00943C78" w:rsidRPr="00943C78" w14:paraId="52E4B217" w14:textId="77777777" w:rsidTr="001060B1">
        <w:tc>
          <w:tcPr>
            <w:tcW w:w="1803" w:type="dxa"/>
          </w:tcPr>
          <w:p w14:paraId="02D7C21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1518009123</w:t>
            </w:r>
          </w:p>
        </w:tc>
        <w:tc>
          <w:tcPr>
            <w:tcW w:w="1803" w:type="dxa"/>
          </w:tcPr>
          <w:p w14:paraId="2A3DCAB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2710194229</w:t>
            </w:r>
          </w:p>
        </w:tc>
        <w:tc>
          <w:tcPr>
            <w:tcW w:w="1803" w:type="dxa"/>
          </w:tcPr>
          <w:p w14:paraId="1F95B61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2710194632</w:t>
            </w:r>
          </w:p>
        </w:tc>
        <w:tc>
          <w:tcPr>
            <w:tcW w:w="1803" w:type="dxa"/>
          </w:tcPr>
          <w:p w14:paraId="4D76FC93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2710201139</w:t>
            </w:r>
          </w:p>
        </w:tc>
        <w:tc>
          <w:tcPr>
            <w:tcW w:w="1804" w:type="dxa"/>
          </w:tcPr>
          <w:p w14:paraId="68C46F0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3826009011</w:t>
            </w:r>
          </w:p>
        </w:tc>
      </w:tr>
      <w:tr w:rsidR="00943C78" w:rsidRPr="00943C78" w14:paraId="263B7BA6" w14:textId="77777777" w:rsidTr="001060B1">
        <w:tc>
          <w:tcPr>
            <w:tcW w:w="1803" w:type="dxa"/>
          </w:tcPr>
          <w:p w14:paraId="2A9105E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1518009129</w:t>
            </w:r>
          </w:p>
        </w:tc>
        <w:tc>
          <w:tcPr>
            <w:tcW w:w="1803" w:type="dxa"/>
          </w:tcPr>
          <w:p w14:paraId="189D52A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2710194321</w:t>
            </w:r>
          </w:p>
        </w:tc>
        <w:tc>
          <w:tcPr>
            <w:tcW w:w="1803" w:type="dxa"/>
          </w:tcPr>
          <w:p w14:paraId="6679A12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2710194639</w:t>
            </w:r>
          </w:p>
        </w:tc>
        <w:tc>
          <w:tcPr>
            <w:tcW w:w="1803" w:type="dxa"/>
          </w:tcPr>
          <w:p w14:paraId="6328E52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2710201621</w:t>
            </w:r>
          </w:p>
        </w:tc>
        <w:tc>
          <w:tcPr>
            <w:tcW w:w="1804" w:type="dxa"/>
          </w:tcPr>
          <w:p w14:paraId="32EC170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3826009019</w:t>
            </w:r>
          </w:p>
        </w:tc>
      </w:tr>
      <w:tr w:rsidR="00943C78" w:rsidRPr="00943C78" w14:paraId="21D63335" w14:textId="77777777" w:rsidTr="001060B1">
        <w:tc>
          <w:tcPr>
            <w:tcW w:w="1803" w:type="dxa"/>
          </w:tcPr>
          <w:p w14:paraId="53035390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1518009132</w:t>
            </w:r>
          </w:p>
        </w:tc>
        <w:tc>
          <w:tcPr>
            <w:tcW w:w="1803" w:type="dxa"/>
          </w:tcPr>
          <w:p w14:paraId="41A9A75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2710194329</w:t>
            </w:r>
          </w:p>
        </w:tc>
        <w:tc>
          <w:tcPr>
            <w:tcW w:w="1803" w:type="dxa"/>
          </w:tcPr>
          <w:p w14:paraId="24864B6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2710194721</w:t>
            </w:r>
          </w:p>
        </w:tc>
        <w:tc>
          <w:tcPr>
            <w:tcW w:w="1803" w:type="dxa"/>
          </w:tcPr>
          <w:p w14:paraId="4F07F6E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2710201623</w:t>
            </w:r>
          </w:p>
        </w:tc>
        <w:tc>
          <w:tcPr>
            <w:tcW w:w="1804" w:type="dxa"/>
          </w:tcPr>
          <w:p w14:paraId="7F98BEA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3826009039</w:t>
            </w:r>
          </w:p>
        </w:tc>
      </w:tr>
      <w:tr w:rsidR="00943C78" w:rsidRPr="00943C78" w14:paraId="7A778AA3" w14:textId="77777777" w:rsidTr="001060B1">
        <w:tc>
          <w:tcPr>
            <w:tcW w:w="1803" w:type="dxa"/>
          </w:tcPr>
          <w:p w14:paraId="3177308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1518009139</w:t>
            </w:r>
          </w:p>
        </w:tc>
        <w:tc>
          <w:tcPr>
            <w:tcW w:w="1803" w:type="dxa"/>
          </w:tcPr>
          <w:p w14:paraId="448D6E5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2710194339</w:t>
            </w:r>
          </w:p>
        </w:tc>
        <w:tc>
          <w:tcPr>
            <w:tcW w:w="1803" w:type="dxa"/>
          </w:tcPr>
          <w:p w14:paraId="00CE6AB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2710194723</w:t>
            </w:r>
          </w:p>
        </w:tc>
        <w:tc>
          <w:tcPr>
            <w:tcW w:w="1803" w:type="dxa"/>
          </w:tcPr>
          <w:p w14:paraId="09E03B3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2710201629</w:t>
            </w:r>
          </w:p>
        </w:tc>
        <w:tc>
          <w:tcPr>
            <w:tcW w:w="1804" w:type="dxa"/>
          </w:tcPr>
          <w:p w14:paraId="7A4D16FB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2469BB16" w14:textId="77777777" w:rsidTr="001060B1">
        <w:tc>
          <w:tcPr>
            <w:tcW w:w="1803" w:type="dxa"/>
          </w:tcPr>
          <w:p w14:paraId="570E839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1518009511</w:t>
            </w:r>
          </w:p>
        </w:tc>
        <w:tc>
          <w:tcPr>
            <w:tcW w:w="1803" w:type="dxa"/>
          </w:tcPr>
          <w:p w14:paraId="62DAA20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2710194390</w:t>
            </w:r>
          </w:p>
        </w:tc>
        <w:tc>
          <w:tcPr>
            <w:tcW w:w="1803" w:type="dxa"/>
          </w:tcPr>
          <w:p w14:paraId="7887AC0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2710194729</w:t>
            </w:r>
          </w:p>
        </w:tc>
        <w:tc>
          <w:tcPr>
            <w:tcW w:w="1803" w:type="dxa"/>
          </w:tcPr>
          <w:p w14:paraId="07DF8A8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2710201632</w:t>
            </w:r>
          </w:p>
        </w:tc>
        <w:tc>
          <w:tcPr>
            <w:tcW w:w="1804" w:type="dxa"/>
          </w:tcPr>
          <w:p w14:paraId="25D2D608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2A738E82" w14:textId="77777777" w:rsidTr="001060B1">
        <w:tc>
          <w:tcPr>
            <w:tcW w:w="1803" w:type="dxa"/>
          </w:tcPr>
          <w:p w14:paraId="073B0E1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1518009519</w:t>
            </w:r>
          </w:p>
        </w:tc>
        <w:tc>
          <w:tcPr>
            <w:tcW w:w="1803" w:type="dxa"/>
          </w:tcPr>
          <w:p w14:paraId="7F984CB0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2710194421</w:t>
            </w:r>
          </w:p>
        </w:tc>
        <w:tc>
          <w:tcPr>
            <w:tcW w:w="1803" w:type="dxa"/>
          </w:tcPr>
          <w:p w14:paraId="10C2EEF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2710194732</w:t>
            </w:r>
          </w:p>
        </w:tc>
        <w:tc>
          <w:tcPr>
            <w:tcW w:w="1803" w:type="dxa"/>
          </w:tcPr>
          <w:p w14:paraId="2155D99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2710201639</w:t>
            </w:r>
          </w:p>
        </w:tc>
        <w:tc>
          <w:tcPr>
            <w:tcW w:w="1804" w:type="dxa"/>
          </w:tcPr>
          <w:p w14:paraId="75892C40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513B7E4A" w14:textId="77777777" w:rsidTr="001060B1">
        <w:tc>
          <w:tcPr>
            <w:tcW w:w="1803" w:type="dxa"/>
          </w:tcPr>
          <w:p w14:paraId="2E2EE36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1518009921</w:t>
            </w:r>
          </w:p>
        </w:tc>
        <w:tc>
          <w:tcPr>
            <w:tcW w:w="1803" w:type="dxa"/>
          </w:tcPr>
          <w:p w14:paraId="57D78A0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2710194423</w:t>
            </w:r>
          </w:p>
        </w:tc>
        <w:tc>
          <w:tcPr>
            <w:tcW w:w="1803" w:type="dxa"/>
          </w:tcPr>
          <w:p w14:paraId="02D7796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2710194739</w:t>
            </w:r>
          </w:p>
        </w:tc>
        <w:tc>
          <w:tcPr>
            <w:tcW w:w="1803" w:type="dxa"/>
          </w:tcPr>
          <w:p w14:paraId="1F58264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2710201692</w:t>
            </w:r>
          </w:p>
        </w:tc>
        <w:tc>
          <w:tcPr>
            <w:tcW w:w="1804" w:type="dxa"/>
          </w:tcPr>
          <w:p w14:paraId="13C03EF2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</w:tbl>
    <w:p w14:paraId="7CE010CE" w14:textId="77777777" w:rsidR="00A319FE" w:rsidRDefault="00A319FE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A2038C2" w14:textId="0B103549" w:rsidR="00DD5B1C" w:rsidRPr="00DD5B1C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applicant considers that the following are Like Goods for the purposes of this investigation: </w:t>
      </w:r>
    </w:p>
    <w:p w14:paraId="193FB327" w14:textId="361BDD4C" w:rsidR="008E3D06" w:rsidRPr="001565B4" w:rsidRDefault="008E3D06" w:rsidP="008E3D06">
      <w:pPr>
        <w:spacing w:after="240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Fatty-acid mono-</w:t>
      </w:r>
      <w:proofErr w:type="spellStart"/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alkylesters</w:t>
      </w:r>
      <w:proofErr w:type="spellEnd"/>
      <w:r w:rsidR="00704670"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(FAME)</w:t>
      </w: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FA6891"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from</w:t>
      </w: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non-fossil origin, in pure form or as included in a blend, excluding sustainable aviation fuel.</w:t>
      </w:r>
    </w:p>
    <w:p w14:paraId="51B8203C" w14:textId="1FB98AE5" w:rsidR="00F272CE" w:rsidRDefault="00F272CE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br w:type="page"/>
      </w:r>
    </w:p>
    <w:p w14:paraId="575B9836" w14:textId="624557A1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lastRenderedPageBreak/>
        <w:t>Allegations of dumping and injury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FEB2987" w14:textId="1A77473E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The Application alleges that the Goods Concerned have been imported into the </w:t>
      </w:r>
      <w:r w:rsidR="00373BA6">
        <w:rPr>
          <w:rFonts w:ascii="Arial" w:eastAsia="Times New Roman" w:hAnsi="Arial" w:cs="Arial"/>
          <w:sz w:val="24"/>
          <w:szCs w:val="24"/>
          <w:lang w:eastAsia="en-GB"/>
        </w:rPr>
        <w:t>UK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from 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>the US</w:t>
      </w:r>
      <w:r w:rsidR="00A33F5D">
        <w:rPr>
          <w:rFonts w:ascii="Arial" w:eastAsia="Times New Roman" w:hAnsi="Arial" w:cs="Arial"/>
          <w:sz w:val="24"/>
          <w:szCs w:val="24"/>
          <w:lang w:eastAsia="en-GB"/>
        </w:rPr>
        <w:t>, and that the export price is less than the normal value</w:t>
      </w:r>
      <w:r w:rsidR="00EC13E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681459">
        <w:rPr>
          <w:rFonts w:ascii="Arial" w:eastAsia="Times New Roman" w:hAnsi="Arial" w:cs="Arial"/>
          <w:sz w:val="24"/>
          <w:szCs w:val="24"/>
          <w:lang w:eastAsia="en-GB"/>
        </w:rPr>
        <w:t>The applicant claims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that the alleged dumping has caused injury to industry in the </w:t>
      </w:r>
      <w:r w:rsidR="00373BA6">
        <w:rPr>
          <w:rFonts w:ascii="Arial" w:eastAsia="Times New Roman" w:hAnsi="Arial" w:cs="Arial"/>
          <w:sz w:val="24"/>
          <w:szCs w:val="24"/>
          <w:lang w:eastAsia="en-GB"/>
        </w:rPr>
        <w:t>UK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through: </w:t>
      </w:r>
    </w:p>
    <w:p w14:paraId="23645B1E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Actual and potential decline </w:t>
      </w:r>
      <w:proofErr w:type="gramStart"/>
      <w:r w:rsidRPr="009134C8">
        <w:rPr>
          <w:rFonts w:ascii="Arial" w:hAnsi="Arial" w:cs="Arial"/>
          <w:sz w:val="24"/>
          <w:szCs w:val="24"/>
        </w:rPr>
        <w:t>in:</w:t>
      </w:r>
      <w:proofErr w:type="gramEnd"/>
      <w:r w:rsidRPr="009134C8">
        <w:rPr>
          <w:rFonts w:ascii="Arial" w:hAnsi="Arial" w:cs="Arial"/>
          <w:sz w:val="24"/>
          <w:szCs w:val="24"/>
        </w:rPr>
        <w:t xml:space="preserve"> production, production capacity, capacity utilisation, value of production, domestic sales, export sales, market share and profitability;</w:t>
      </w:r>
    </w:p>
    <w:p w14:paraId="5C08560E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Actual and potential negative effects </w:t>
      </w:r>
      <w:proofErr w:type="gramStart"/>
      <w:r w:rsidRPr="009134C8">
        <w:rPr>
          <w:rFonts w:ascii="Arial" w:hAnsi="Arial" w:cs="Arial"/>
          <w:sz w:val="24"/>
          <w:szCs w:val="24"/>
        </w:rPr>
        <w:t>on:</w:t>
      </w:r>
      <w:proofErr w:type="gramEnd"/>
      <w:r w:rsidRPr="009134C8">
        <w:rPr>
          <w:rFonts w:ascii="Arial" w:hAnsi="Arial" w:cs="Arial"/>
          <w:sz w:val="24"/>
          <w:szCs w:val="24"/>
        </w:rPr>
        <w:t xml:space="preserve"> stocks, investments and return on investments ("ROI") and employment and productivity; </w:t>
      </w:r>
    </w:p>
    <w:p w14:paraId="46DA2DDA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Factors affecting domestic prices of the goods; and </w:t>
      </w:r>
    </w:p>
    <w:p w14:paraId="3B1DEB13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>The magnitude of the margin of dumping and the amount of subsidy.</w:t>
      </w:r>
    </w:p>
    <w:p w14:paraId="4DD7B77A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SUMMARY OF THE INVESTIGATION PROCESS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7A6AA6B" w14:textId="732F7E4D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The period of investigation is 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>1 January 2024 to 31 December 2024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. 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 order to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assess injury, we will </w:t>
      </w:r>
      <w:r w:rsidR="0064474F">
        <w:rPr>
          <w:rFonts w:ascii="Arial" w:eastAsia="Times New Roman" w:hAnsi="Arial" w:cs="Arial"/>
          <w:sz w:val="24"/>
          <w:szCs w:val="24"/>
          <w:lang w:eastAsia="en-GB"/>
        </w:rPr>
        <w:t>also take into account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the period from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134F">
        <w:rPr>
          <w:rFonts w:ascii="Arial" w:eastAsia="Times New Roman" w:hAnsi="Arial" w:cs="Arial"/>
          <w:sz w:val="24"/>
          <w:szCs w:val="24"/>
          <w:lang w:eastAsia="en-GB"/>
        </w:rPr>
        <w:t>1 January 202</w:t>
      </w:r>
      <w:r w:rsidR="00B53479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73134F">
        <w:rPr>
          <w:rFonts w:ascii="Arial" w:eastAsia="Times New Roman" w:hAnsi="Arial" w:cs="Arial"/>
          <w:sz w:val="24"/>
          <w:szCs w:val="24"/>
          <w:lang w:eastAsia="en-GB"/>
        </w:rPr>
        <w:t xml:space="preserve"> to 31 December 202</w:t>
      </w:r>
      <w:r w:rsidR="005A672F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7FE4C8AC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The investigation will involve the following process: </w:t>
      </w:r>
    </w:p>
    <w:p w14:paraId="06F36DB7" w14:textId="77777777" w:rsidR="00DD5B1C" w:rsidRPr="00DD5B1C" w:rsidRDefault="00DD5B1C" w:rsidP="00116DEE">
      <w:pPr>
        <w:numPr>
          <w:ilvl w:val="0"/>
          <w:numId w:val="4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inviting parties to register their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3C4C971" w14:textId="77777777" w:rsidR="00DD5B1C" w:rsidRPr="00DD5B1C" w:rsidRDefault="00DD5B1C" w:rsidP="00116DEE">
      <w:pPr>
        <w:numPr>
          <w:ilvl w:val="0"/>
          <w:numId w:val="5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issuing questionnaires, where practicable, to: </w:t>
      </w:r>
    </w:p>
    <w:p w14:paraId="6F70C439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all interested parties (other than the government of the foreign country or territory) who have registered an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424A62F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all contributors who have registered an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D082D12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all UK producers, importers, and overseas exporters and overseas producers identified in the Application; and </w:t>
      </w:r>
    </w:p>
    <w:p w14:paraId="5DB5D6C4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trade or business association of UK producers, importers and overseas exporters identified in the Application. </w:t>
      </w:r>
    </w:p>
    <w:p w14:paraId="23FD0521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carrying out verification visits to further assess and examine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information;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3CBA9A5B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analysing information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gathered;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5DC066F4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determining whether goods are being dumped and the dumping is causing injury to UK </w:t>
      </w:r>
      <w:proofErr w:type="gramStart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industry;</w:t>
      </w:r>
      <w:proofErr w:type="gramEnd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93A8CF0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determining an amount adequate to remove the </w:t>
      </w:r>
      <w:proofErr w:type="gramStart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injury;</w:t>
      </w:r>
      <w:proofErr w:type="gramEnd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163D950D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considering whether applying an anti-dumping amount would be in the economic interests of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UK;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8BE099" w14:textId="77777777" w:rsidR="00DD5B1C" w:rsidRPr="00DD5B1C" w:rsidRDefault="00DD5B1C" w:rsidP="00116DEE">
      <w:pPr>
        <w:numPr>
          <w:ilvl w:val="0"/>
          <w:numId w:val="8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publishing a Statement of Essential Facts. On publication, we will set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a period of time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, which will be no longer than 30 days, during which parties will be able to comment on the Statement of Essential Facts; and </w:t>
      </w:r>
    </w:p>
    <w:p w14:paraId="3834355C" w14:textId="21E1C85A" w:rsidR="00DD5B1C" w:rsidRPr="00DD5B1C" w:rsidRDefault="00DD5B1C" w:rsidP="00116DEE">
      <w:pPr>
        <w:numPr>
          <w:ilvl w:val="0"/>
          <w:numId w:val="8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at the end of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we will make a recommendation to the Secretary of State for </w:t>
      </w:r>
      <w:r w:rsidR="004E7E03">
        <w:rPr>
          <w:rFonts w:ascii="Arial" w:eastAsia="Times New Roman" w:hAnsi="Arial" w:cs="Arial"/>
          <w:sz w:val="24"/>
          <w:szCs w:val="24"/>
          <w:lang w:eastAsia="en-GB"/>
        </w:rPr>
        <w:t>Business and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Trade (the Secretary of State) which may include provision for an anti-dumping amount to be applied.  The Secretary of State will then decide whether to accept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reject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 or request </w:t>
      </w:r>
      <w:r w:rsidR="004D64D8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E141BB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TRA reassess the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recommendation. </w:t>
      </w:r>
    </w:p>
    <w:p w14:paraId="1C9F2C56" w14:textId="236ECB5F" w:rsidR="00DD5B1C" w:rsidRPr="00DD5B1C" w:rsidRDefault="00DD5B1C" w:rsidP="00077DE7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hyperlink r:id="rId10" w:tgtFrame="_blank" w:history="1">
        <w:r w:rsidRPr="00DD5B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Trade Remedies Guidance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provides more information about the investigations process. </w:t>
      </w:r>
    </w:p>
    <w:p w14:paraId="2174A66D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Provisional Affirmative Determination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13216C82" w14:textId="0BD8FB35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If, at any time during the investigation, we are satisfied that there are sufficient grounds for recommending imposition of an anti-dumping amount, we may make a provisional affirmative determination under paragraph 11 of Schedule 4 to the Act and make a recommendation to the Secretary of State under paragraph 13 of that Schedule that importers of the goods concerned are required to give a guarantee in respect of an estimated anti-dumping amount. We will only require a guarantee where we are satisfied that it is necessary to prevent injury being caused during the investigation to UK industry in the relevant goods. </w:t>
      </w:r>
    </w:p>
    <w:p w14:paraId="01223E87" w14:textId="60549FBF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Parties are invited to comment on the issue of a making a provisional affirmative determination and requiring a guarantee throughout the investigation. </w:t>
      </w:r>
    </w:p>
    <w:p w14:paraId="19C560F7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Sampling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25A5BE" w14:textId="77777777" w:rsidR="00DD5B1C" w:rsidRPr="00DD5B1C" w:rsidRDefault="00DD5B1C" w:rsidP="00F622FF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Depending on the number of parties registering an interest in the investigation, we may consider it appropriate to limit examination to a sample of: </w:t>
      </w:r>
    </w:p>
    <w:p w14:paraId="73545056" w14:textId="77777777" w:rsidR="00DD5B1C" w:rsidRPr="00DD5B1C" w:rsidRDefault="00DD5B1C" w:rsidP="00F622FF">
      <w:pPr>
        <w:numPr>
          <w:ilvl w:val="0"/>
          <w:numId w:val="9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overseas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exporters;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9AE164" w14:textId="77777777" w:rsidR="00DD5B1C" w:rsidRPr="00DD5B1C" w:rsidRDefault="00DD5B1C" w:rsidP="00F622FF">
      <w:pPr>
        <w:numPr>
          <w:ilvl w:val="0"/>
          <w:numId w:val="9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overseas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producers;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C56D67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importers;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502EB79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categories of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goods;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105FBE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UK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producers;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B35CD3F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transactions for the purchase of the like goods in the UK; or </w:t>
      </w:r>
    </w:p>
    <w:p w14:paraId="3A0FBFD5" w14:textId="77777777" w:rsidR="00DD5B1C" w:rsidRPr="00DD5B1C" w:rsidRDefault="00DD5B1C" w:rsidP="00F622FF">
      <w:pPr>
        <w:numPr>
          <w:ilvl w:val="0"/>
          <w:numId w:val="10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anything else we consider it appropriate to sample.</w:t>
      </w:r>
      <w:r w:rsidRPr="00DD5B1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2E0999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Hearings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83313B1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Interested parties can request a hearing by using the Trade Remedies Service at </w:t>
      </w:r>
      <w:hyperlink r:id="rId11" w:tgtFrame="_blank" w:history="1">
        <w:r w:rsidRPr="00DD5B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https://www.trade-remedies.service.gov.uk/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>.   </w:t>
      </w:r>
    </w:p>
    <w:p w14:paraId="3F572911" w14:textId="79289A2F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For further information about hearings during an investigation, please see our </w:t>
      </w:r>
      <w:hyperlink r:id="rId12" w:anchor="Meetings">
        <w:r w:rsidRPr="0E07E5F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Meetings, Hearings and Visits Guidance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0DCF3D62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lastRenderedPageBreak/>
        <w:t>Confidential information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27281A9" w14:textId="77777777" w:rsidR="00DD5B1C" w:rsidRPr="00DD5B1C" w:rsidRDefault="00DD5B1C" w:rsidP="00D655EC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Information provided during an investigation may be treated as confidential. Anyone requesting that information be treated as confidential must demonstrate why and provide: </w:t>
      </w:r>
    </w:p>
    <w:p w14:paraId="5DE51EEA" w14:textId="77777777" w:rsidR="00DD5B1C" w:rsidRPr="00DD5B1C" w:rsidRDefault="00DD5B1C" w:rsidP="00D655EC">
      <w:pPr>
        <w:numPr>
          <w:ilvl w:val="0"/>
          <w:numId w:val="11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 non-confidential summary of that information; or </w:t>
      </w:r>
    </w:p>
    <w:p w14:paraId="39DFCDC7" w14:textId="77777777" w:rsidR="00DD5B1C" w:rsidRPr="00DD5B1C" w:rsidRDefault="00DD5B1C" w:rsidP="00D655EC">
      <w:pPr>
        <w:numPr>
          <w:ilvl w:val="0"/>
          <w:numId w:val="11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where that is not possible, a statement of reasons explaining why the information should be treated as confidential, and why it cannot be summarised. </w:t>
      </w:r>
    </w:p>
    <w:p w14:paraId="695FC6BC" w14:textId="1CB0FF24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FURTHER INFORMATION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A57FF87" w14:textId="73AB3E66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hyperlink r:id="rId13" w:anchor="transition-reviews">
        <w:r w:rsidRPr="0E07E5F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Trade Remedies Guidance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 provides more information about the investigations process, including our requirements for </w:t>
      </w:r>
      <w:hyperlink r:id="rId14" w:anchor="questionnaires-and-information-gathering">
        <w:r w:rsidRPr="0E07E5F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submitting and summarising confidential information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3CF2A0BB" w14:textId="77777777" w:rsidR="00DD5B1C" w:rsidRPr="00DD5B1C" w:rsidRDefault="00DD5B1C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30CF2BC" w14:textId="2DD4F88D" w:rsidR="00DD5B1C" w:rsidRDefault="00DC1412" w:rsidP="007976E3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Sarah Milum </w:t>
      </w:r>
    </w:p>
    <w:p w14:paraId="62C8F71A" w14:textId="1D726098" w:rsidR="00DD5B1C" w:rsidRPr="00DD5B1C" w:rsidRDefault="00DC1412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On behalf of the </w:t>
      </w:r>
      <w:r w:rsidR="00DD5B1C" w:rsidRPr="00DD5B1C">
        <w:rPr>
          <w:rFonts w:ascii="Arial" w:eastAsia="Times New Roman" w:hAnsi="Arial" w:cs="Arial"/>
          <w:sz w:val="24"/>
          <w:szCs w:val="24"/>
          <w:lang w:eastAsia="en-GB"/>
        </w:rPr>
        <w:t>Chief Executive Officer </w:t>
      </w:r>
    </w:p>
    <w:p w14:paraId="52BC945C" w14:textId="77777777" w:rsidR="00DD5B1C" w:rsidRPr="00DD5B1C" w:rsidRDefault="00DD5B1C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Trade Remedies Authority </w:t>
      </w:r>
    </w:p>
    <w:p w14:paraId="16AF0679" w14:textId="77777777" w:rsidR="00077DE7" w:rsidRPr="00077DE7" w:rsidRDefault="00DD5B1C" w:rsidP="00077DE7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D4C98BE" w14:textId="7BB937AE" w:rsidR="00872FD4" w:rsidRPr="00077DE7" w:rsidRDefault="005E50C1" w:rsidP="00077DE7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17 March</w:t>
      </w:r>
      <w:r w:rsidR="00077DE7" w:rsidRPr="00077DE7">
        <w:rPr>
          <w:rFonts w:ascii="Arial" w:eastAsia="Times New Roman" w:hAnsi="Arial" w:cs="Arial"/>
          <w:sz w:val="24"/>
          <w:szCs w:val="24"/>
          <w:lang w:eastAsia="en-GB"/>
        </w:rPr>
        <w:t xml:space="preserve"> 2025</w:t>
      </w:r>
      <w:r w:rsidR="00DD5B1C" w:rsidRPr="00077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                                               </w:t>
      </w:r>
      <w:r w:rsidR="00DD5B1C" w:rsidRPr="00077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</w:r>
    </w:p>
    <w:sectPr w:rsidR="00872FD4" w:rsidRPr="00077DE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916" w14:textId="77777777" w:rsidR="0088096E" w:rsidRDefault="0088096E">
      <w:pPr>
        <w:spacing w:after="0" w:line="240" w:lineRule="auto"/>
      </w:pPr>
      <w:r>
        <w:separator/>
      </w:r>
    </w:p>
  </w:endnote>
  <w:endnote w:type="continuationSeparator" w:id="0">
    <w:p w14:paraId="5091E803" w14:textId="77777777" w:rsidR="0088096E" w:rsidRDefault="0088096E">
      <w:pPr>
        <w:spacing w:after="0" w:line="240" w:lineRule="auto"/>
      </w:pPr>
      <w:r>
        <w:continuationSeparator/>
      </w:r>
    </w:p>
  </w:endnote>
  <w:endnote w:type="continuationNotice" w:id="1">
    <w:p w14:paraId="798932A0" w14:textId="77777777" w:rsidR="0088096E" w:rsidRDefault="00880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50F4D" w14:paraId="56BA3166" w14:textId="77777777" w:rsidTr="49950F4D">
      <w:tc>
        <w:tcPr>
          <w:tcW w:w="3005" w:type="dxa"/>
        </w:tcPr>
        <w:p w14:paraId="0B88335A" w14:textId="7791FE55" w:rsidR="49950F4D" w:rsidRDefault="49950F4D" w:rsidP="49950F4D">
          <w:pPr>
            <w:pStyle w:val="Header"/>
            <w:ind w:left="-115"/>
          </w:pPr>
        </w:p>
      </w:tc>
      <w:tc>
        <w:tcPr>
          <w:tcW w:w="3005" w:type="dxa"/>
        </w:tcPr>
        <w:p w14:paraId="71A44E15" w14:textId="36D8FC97" w:rsidR="49950F4D" w:rsidRDefault="49950F4D" w:rsidP="49950F4D">
          <w:pPr>
            <w:pStyle w:val="Header"/>
            <w:jc w:val="center"/>
          </w:pPr>
        </w:p>
      </w:tc>
      <w:tc>
        <w:tcPr>
          <w:tcW w:w="3005" w:type="dxa"/>
        </w:tcPr>
        <w:p w14:paraId="7AE3F128" w14:textId="1EC6C679" w:rsidR="49950F4D" w:rsidRDefault="49950F4D" w:rsidP="49950F4D">
          <w:pPr>
            <w:pStyle w:val="Header"/>
            <w:ind w:right="-115"/>
            <w:jc w:val="right"/>
          </w:pPr>
        </w:p>
      </w:tc>
    </w:tr>
  </w:tbl>
  <w:p w14:paraId="6F078F1A" w14:textId="463071A8" w:rsidR="49950F4D" w:rsidRDefault="49950F4D" w:rsidP="4995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4F2A" w14:textId="77777777" w:rsidR="0088096E" w:rsidRDefault="0088096E">
      <w:pPr>
        <w:spacing w:after="0" w:line="240" w:lineRule="auto"/>
      </w:pPr>
      <w:r>
        <w:separator/>
      </w:r>
    </w:p>
  </w:footnote>
  <w:footnote w:type="continuationSeparator" w:id="0">
    <w:p w14:paraId="5E16E2AE" w14:textId="77777777" w:rsidR="0088096E" w:rsidRDefault="0088096E">
      <w:pPr>
        <w:spacing w:after="0" w:line="240" w:lineRule="auto"/>
      </w:pPr>
      <w:r>
        <w:continuationSeparator/>
      </w:r>
    </w:p>
  </w:footnote>
  <w:footnote w:type="continuationNotice" w:id="1">
    <w:p w14:paraId="2251EDF9" w14:textId="77777777" w:rsidR="0088096E" w:rsidRDefault="00880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50F4D" w14:paraId="69958D9B" w14:textId="77777777" w:rsidTr="49950F4D">
      <w:tc>
        <w:tcPr>
          <w:tcW w:w="3005" w:type="dxa"/>
        </w:tcPr>
        <w:p w14:paraId="2551F7E3" w14:textId="4066A419" w:rsidR="49950F4D" w:rsidRDefault="49950F4D" w:rsidP="49950F4D">
          <w:pPr>
            <w:pStyle w:val="Header"/>
            <w:ind w:left="-115"/>
          </w:pPr>
        </w:p>
      </w:tc>
      <w:tc>
        <w:tcPr>
          <w:tcW w:w="3005" w:type="dxa"/>
        </w:tcPr>
        <w:p w14:paraId="7242D81E" w14:textId="54F33737" w:rsidR="49950F4D" w:rsidRDefault="49950F4D" w:rsidP="49950F4D">
          <w:pPr>
            <w:pStyle w:val="Header"/>
            <w:jc w:val="center"/>
          </w:pPr>
        </w:p>
      </w:tc>
      <w:tc>
        <w:tcPr>
          <w:tcW w:w="3005" w:type="dxa"/>
        </w:tcPr>
        <w:p w14:paraId="7B5D2785" w14:textId="6272D4E8" w:rsidR="49950F4D" w:rsidRDefault="49950F4D" w:rsidP="49950F4D">
          <w:pPr>
            <w:pStyle w:val="Header"/>
            <w:ind w:right="-115"/>
            <w:jc w:val="right"/>
          </w:pPr>
        </w:p>
      </w:tc>
    </w:tr>
  </w:tbl>
  <w:p w14:paraId="13C60E3B" w14:textId="2B9610A9" w:rsidR="49950F4D" w:rsidRDefault="49950F4D" w:rsidP="49950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D3B"/>
    <w:multiLevelType w:val="multilevel"/>
    <w:tmpl w:val="6CC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50BCD"/>
    <w:multiLevelType w:val="hybridMultilevel"/>
    <w:tmpl w:val="F4C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532"/>
    <w:multiLevelType w:val="multilevel"/>
    <w:tmpl w:val="DCDA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0B7E"/>
    <w:multiLevelType w:val="multilevel"/>
    <w:tmpl w:val="0D22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479A7"/>
    <w:multiLevelType w:val="multilevel"/>
    <w:tmpl w:val="87A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52F89"/>
    <w:multiLevelType w:val="multilevel"/>
    <w:tmpl w:val="8C808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62EDF"/>
    <w:multiLevelType w:val="multilevel"/>
    <w:tmpl w:val="96C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2861FD"/>
    <w:multiLevelType w:val="multilevel"/>
    <w:tmpl w:val="DBC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95459"/>
    <w:multiLevelType w:val="multilevel"/>
    <w:tmpl w:val="2F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83C5C"/>
    <w:multiLevelType w:val="multilevel"/>
    <w:tmpl w:val="AA7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B5113"/>
    <w:multiLevelType w:val="hybridMultilevel"/>
    <w:tmpl w:val="5C9C29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902AD"/>
    <w:multiLevelType w:val="multilevel"/>
    <w:tmpl w:val="8E2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077F34"/>
    <w:multiLevelType w:val="multilevel"/>
    <w:tmpl w:val="642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D23A97"/>
    <w:multiLevelType w:val="multilevel"/>
    <w:tmpl w:val="D79E4D9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272984579">
    <w:abstractNumId w:val="8"/>
  </w:num>
  <w:num w:numId="2" w16cid:durableId="823005876">
    <w:abstractNumId w:val="7"/>
  </w:num>
  <w:num w:numId="3" w16cid:durableId="1875776600">
    <w:abstractNumId w:val="4"/>
  </w:num>
  <w:num w:numId="4" w16cid:durableId="1515071643">
    <w:abstractNumId w:val="12"/>
  </w:num>
  <w:num w:numId="5" w16cid:durableId="1818381304">
    <w:abstractNumId w:val="3"/>
  </w:num>
  <w:num w:numId="6" w16cid:durableId="1634359777">
    <w:abstractNumId w:val="5"/>
  </w:num>
  <w:num w:numId="7" w16cid:durableId="873268133">
    <w:abstractNumId w:val="11"/>
  </w:num>
  <w:num w:numId="8" w16cid:durableId="1533151063">
    <w:abstractNumId w:val="6"/>
  </w:num>
  <w:num w:numId="9" w16cid:durableId="327949639">
    <w:abstractNumId w:val="9"/>
  </w:num>
  <w:num w:numId="10" w16cid:durableId="1071539320">
    <w:abstractNumId w:val="2"/>
  </w:num>
  <w:num w:numId="11" w16cid:durableId="921064788">
    <w:abstractNumId w:val="0"/>
  </w:num>
  <w:num w:numId="12" w16cid:durableId="1363214841">
    <w:abstractNumId w:val="13"/>
  </w:num>
  <w:num w:numId="13" w16cid:durableId="2125490163">
    <w:abstractNumId w:val="1"/>
  </w:num>
  <w:num w:numId="14" w16cid:durableId="35195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9B"/>
    <w:rsid w:val="000067B3"/>
    <w:rsid w:val="00010782"/>
    <w:rsid w:val="00011610"/>
    <w:rsid w:val="0002436A"/>
    <w:rsid w:val="00031553"/>
    <w:rsid w:val="00033045"/>
    <w:rsid w:val="000332A1"/>
    <w:rsid w:val="000363F9"/>
    <w:rsid w:val="000501CF"/>
    <w:rsid w:val="0005232B"/>
    <w:rsid w:val="000533EE"/>
    <w:rsid w:val="00055BD9"/>
    <w:rsid w:val="000630F6"/>
    <w:rsid w:val="0006689F"/>
    <w:rsid w:val="00074804"/>
    <w:rsid w:val="00076995"/>
    <w:rsid w:val="00077DE7"/>
    <w:rsid w:val="000851D1"/>
    <w:rsid w:val="00095C09"/>
    <w:rsid w:val="000A0A6D"/>
    <w:rsid w:val="000A3339"/>
    <w:rsid w:val="000B0CD1"/>
    <w:rsid w:val="000B20DF"/>
    <w:rsid w:val="000B6D69"/>
    <w:rsid w:val="000D2D6B"/>
    <w:rsid w:val="000D36C4"/>
    <w:rsid w:val="000F0FE2"/>
    <w:rsid w:val="000F3370"/>
    <w:rsid w:val="00101170"/>
    <w:rsid w:val="00105B3E"/>
    <w:rsid w:val="001060B1"/>
    <w:rsid w:val="00115DCA"/>
    <w:rsid w:val="00116DEE"/>
    <w:rsid w:val="00120491"/>
    <w:rsid w:val="00145F48"/>
    <w:rsid w:val="001565B4"/>
    <w:rsid w:val="00160F37"/>
    <w:rsid w:val="00172E56"/>
    <w:rsid w:val="00175F9B"/>
    <w:rsid w:val="001A204B"/>
    <w:rsid w:val="001A54A7"/>
    <w:rsid w:val="001B104E"/>
    <w:rsid w:val="001B32DC"/>
    <w:rsid w:val="001B5553"/>
    <w:rsid w:val="001B5D9D"/>
    <w:rsid w:val="001D45F9"/>
    <w:rsid w:val="001D4806"/>
    <w:rsid w:val="001E0CE9"/>
    <w:rsid w:val="001F79E5"/>
    <w:rsid w:val="002058AE"/>
    <w:rsid w:val="00215965"/>
    <w:rsid w:val="0022421B"/>
    <w:rsid w:val="00235278"/>
    <w:rsid w:val="0023544B"/>
    <w:rsid w:val="00235F66"/>
    <w:rsid w:val="00237E4D"/>
    <w:rsid w:val="002466EC"/>
    <w:rsid w:val="00254117"/>
    <w:rsid w:val="002606F8"/>
    <w:rsid w:val="002618E9"/>
    <w:rsid w:val="00261E81"/>
    <w:rsid w:val="0026567C"/>
    <w:rsid w:val="00274CA3"/>
    <w:rsid w:val="002808CB"/>
    <w:rsid w:val="00290AD7"/>
    <w:rsid w:val="002927D0"/>
    <w:rsid w:val="00293BD2"/>
    <w:rsid w:val="00294E5D"/>
    <w:rsid w:val="002A68C6"/>
    <w:rsid w:val="002B7EF5"/>
    <w:rsid w:val="002C27C4"/>
    <w:rsid w:val="002D097C"/>
    <w:rsid w:val="002D26EF"/>
    <w:rsid w:val="002E3C1B"/>
    <w:rsid w:val="002E491D"/>
    <w:rsid w:val="002F393D"/>
    <w:rsid w:val="0030747A"/>
    <w:rsid w:val="00325A26"/>
    <w:rsid w:val="003332CD"/>
    <w:rsid w:val="003419A9"/>
    <w:rsid w:val="003452C0"/>
    <w:rsid w:val="00351AA8"/>
    <w:rsid w:val="003541E9"/>
    <w:rsid w:val="0035614E"/>
    <w:rsid w:val="00362777"/>
    <w:rsid w:val="00366BC1"/>
    <w:rsid w:val="0037105E"/>
    <w:rsid w:val="00373BA6"/>
    <w:rsid w:val="00380FE5"/>
    <w:rsid w:val="003810D0"/>
    <w:rsid w:val="003A072A"/>
    <w:rsid w:val="003A1365"/>
    <w:rsid w:val="003A143F"/>
    <w:rsid w:val="003A26D6"/>
    <w:rsid w:val="003B2E33"/>
    <w:rsid w:val="003C218B"/>
    <w:rsid w:val="003C49D8"/>
    <w:rsid w:val="003C6244"/>
    <w:rsid w:val="003C6897"/>
    <w:rsid w:val="003E3DA5"/>
    <w:rsid w:val="003E609E"/>
    <w:rsid w:val="003F1EE8"/>
    <w:rsid w:val="003F7352"/>
    <w:rsid w:val="004179CA"/>
    <w:rsid w:val="00420E0F"/>
    <w:rsid w:val="004240A5"/>
    <w:rsid w:val="00424B59"/>
    <w:rsid w:val="00424B81"/>
    <w:rsid w:val="004259A3"/>
    <w:rsid w:val="00443C59"/>
    <w:rsid w:val="0044658C"/>
    <w:rsid w:val="00456606"/>
    <w:rsid w:val="004600DE"/>
    <w:rsid w:val="00460126"/>
    <w:rsid w:val="00470C2D"/>
    <w:rsid w:val="00472607"/>
    <w:rsid w:val="0048070C"/>
    <w:rsid w:val="00484E59"/>
    <w:rsid w:val="00491B39"/>
    <w:rsid w:val="004928F3"/>
    <w:rsid w:val="00492D7A"/>
    <w:rsid w:val="00497A1A"/>
    <w:rsid w:val="004B16C5"/>
    <w:rsid w:val="004B1ED9"/>
    <w:rsid w:val="004B4710"/>
    <w:rsid w:val="004B6845"/>
    <w:rsid w:val="004B7AEA"/>
    <w:rsid w:val="004C4E6E"/>
    <w:rsid w:val="004C4FCC"/>
    <w:rsid w:val="004D14C3"/>
    <w:rsid w:val="004D64D8"/>
    <w:rsid w:val="004D78FC"/>
    <w:rsid w:val="004E555E"/>
    <w:rsid w:val="004E612C"/>
    <w:rsid w:val="004E7E03"/>
    <w:rsid w:val="004F2C88"/>
    <w:rsid w:val="005048BA"/>
    <w:rsid w:val="00536391"/>
    <w:rsid w:val="005401D3"/>
    <w:rsid w:val="00546286"/>
    <w:rsid w:val="00551CF5"/>
    <w:rsid w:val="005622AE"/>
    <w:rsid w:val="00581F16"/>
    <w:rsid w:val="0058651A"/>
    <w:rsid w:val="00590696"/>
    <w:rsid w:val="00597395"/>
    <w:rsid w:val="005A672F"/>
    <w:rsid w:val="005D22D5"/>
    <w:rsid w:val="005E1318"/>
    <w:rsid w:val="005E50C1"/>
    <w:rsid w:val="0060459E"/>
    <w:rsid w:val="00622EA9"/>
    <w:rsid w:val="0062316E"/>
    <w:rsid w:val="006305F5"/>
    <w:rsid w:val="0063273E"/>
    <w:rsid w:val="00632909"/>
    <w:rsid w:val="00634684"/>
    <w:rsid w:val="00642561"/>
    <w:rsid w:val="00642DD1"/>
    <w:rsid w:val="0064474F"/>
    <w:rsid w:val="0067388B"/>
    <w:rsid w:val="006803B3"/>
    <w:rsid w:val="00680879"/>
    <w:rsid w:val="00681459"/>
    <w:rsid w:val="00681C8E"/>
    <w:rsid w:val="00681D65"/>
    <w:rsid w:val="006825D8"/>
    <w:rsid w:val="0069032E"/>
    <w:rsid w:val="006915A9"/>
    <w:rsid w:val="0069165F"/>
    <w:rsid w:val="006C198E"/>
    <w:rsid w:val="006E5F7F"/>
    <w:rsid w:val="007006D7"/>
    <w:rsid w:val="00704670"/>
    <w:rsid w:val="00707F10"/>
    <w:rsid w:val="0071013E"/>
    <w:rsid w:val="0071053B"/>
    <w:rsid w:val="00712AC4"/>
    <w:rsid w:val="007167D3"/>
    <w:rsid w:val="0071748F"/>
    <w:rsid w:val="00724B65"/>
    <w:rsid w:val="00725CC2"/>
    <w:rsid w:val="0073134F"/>
    <w:rsid w:val="007315EF"/>
    <w:rsid w:val="00731C62"/>
    <w:rsid w:val="00742F67"/>
    <w:rsid w:val="00771685"/>
    <w:rsid w:val="00772A2D"/>
    <w:rsid w:val="007765D2"/>
    <w:rsid w:val="00782A03"/>
    <w:rsid w:val="00790EF3"/>
    <w:rsid w:val="00795473"/>
    <w:rsid w:val="007976E3"/>
    <w:rsid w:val="007A046F"/>
    <w:rsid w:val="007A0B2D"/>
    <w:rsid w:val="007A258A"/>
    <w:rsid w:val="007A3A99"/>
    <w:rsid w:val="007A6F40"/>
    <w:rsid w:val="007B1633"/>
    <w:rsid w:val="007F5770"/>
    <w:rsid w:val="00806C1A"/>
    <w:rsid w:val="008075FA"/>
    <w:rsid w:val="0081117E"/>
    <w:rsid w:val="00813C0C"/>
    <w:rsid w:val="00816C32"/>
    <w:rsid w:val="0082721C"/>
    <w:rsid w:val="00835422"/>
    <w:rsid w:val="00841F20"/>
    <w:rsid w:val="00846B6B"/>
    <w:rsid w:val="008504BD"/>
    <w:rsid w:val="008519FE"/>
    <w:rsid w:val="00853E58"/>
    <w:rsid w:val="00853F3D"/>
    <w:rsid w:val="008609F1"/>
    <w:rsid w:val="008645F9"/>
    <w:rsid w:val="00872FD4"/>
    <w:rsid w:val="0088096E"/>
    <w:rsid w:val="0088290B"/>
    <w:rsid w:val="0088346F"/>
    <w:rsid w:val="00887B01"/>
    <w:rsid w:val="00890C2C"/>
    <w:rsid w:val="0089289D"/>
    <w:rsid w:val="00893042"/>
    <w:rsid w:val="008939C6"/>
    <w:rsid w:val="00896D76"/>
    <w:rsid w:val="008A0C1A"/>
    <w:rsid w:val="008A2599"/>
    <w:rsid w:val="008B6A32"/>
    <w:rsid w:val="008C0C68"/>
    <w:rsid w:val="008C0F9B"/>
    <w:rsid w:val="008C1B48"/>
    <w:rsid w:val="008C3816"/>
    <w:rsid w:val="008D51D2"/>
    <w:rsid w:val="008D6A33"/>
    <w:rsid w:val="008D6D83"/>
    <w:rsid w:val="008E16D2"/>
    <w:rsid w:val="008E3D06"/>
    <w:rsid w:val="008E5F78"/>
    <w:rsid w:val="009009A5"/>
    <w:rsid w:val="009027E0"/>
    <w:rsid w:val="00903154"/>
    <w:rsid w:val="009133B9"/>
    <w:rsid w:val="009234F1"/>
    <w:rsid w:val="009407E7"/>
    <w:rsid w:val="00943C78"/>
    <w:rsid w:val="009461A9"/>
    <w:rsid w:val="00962809"/>
    <w:rsid w:val="00976136"/>
    <w:rsid w:val="00984633"/>
    <w:rsid w:val="00984E35"/>
    <w:rsid w:val="009872AF"/>
    <w:rsid w:val="009A25A7"/>
    <w:rsid w:val="009B0219"/>
    <w:rsid w:val="009C0C6C"/>
    <w:rsid w:val="009C458A"/>
    <w:rsid w:val="009D1FA3"/>
    <w:rsid w:val="009D453C"/>
    <w:rsid w:val="009D6677"/>
    <w:rsid w:val="009E167B"/>
    <w:rsid w:val="009E6861"/>
    <w:rsid w:val="009F11C1"/>
    <w:rsid w:val="00A01CF3"/>
    <w:rsid w:val="00A132D8"/>
    <w:rsid w:val="00A21ABB"/>
    <w:rsid w:val="00A22746"/>
    <w:rsid w:val="00A306DC"/>
    <w:rsid w:val="00A319FE"/>
    <w:rsid w:val="00A32A48"/>
    <w:rsid w:val="00A33C47"/>
    <w:rsid w:val="00A33EFA"/>
    <w:rsid w:val="00A33F5D"/>
    <w:rsid w:val="00A456FE"/>
    <w:rsid w:val="00A650F2"/>
    <w:rsid w:val="00A661A2"/>
    <w:rsid w:val="00A8122C"/>
    <w:rsid w:val="00A93330"/>
    <w:rsid w:val="00AA1431"/>
    <w:rsid w:val="00AA3E13"/>
    <w:rsid w:val="00AA60FC"/>
    <w:rsid w:val="00AB7D00"/>
    <w:rsid w:val="00AC4733"/>
    <w:rsid w:val="00AD32B7"/>
    <w:rsid w:val="00AD3C32"/>
    <w:rsid w:val="00AD4705"/>
    <w:rsid w:val="00AD648B"/>
    <w:rsid w:val="00AE4FCB"/>
    <w:rsid w:val="00AE6EEC"/>
    <w:rsid w:val="00AF357F"/>
    <w:rsid w:val="00AF5AE9"/>
    <w:rsid w:val="00B261C7"/>
    <w:rsid w:val="00B34D77"/>
    <w:rsid w:val="00B52DF3"/>
    <w:rsid w:val="00B53479"/>
    <w:rsid w:val="00B74DFA"/>
    <w:rsid w:val="00B773DB"/>
    <w:rsid w:val="00B96445"/>
    <w:rsid w:val="00BA1F01"/>
    <w:rsid w:val="00BC36AA"/>
    <w:rsid w:val="00BC5788"/>
    <w:rsid w:val="00BE2405"/>
    <w:rsid w:val="00BE4A6B"/>
    <w:rsid w:val="00BF624C"/>
    <w:rsid w:val="00BF73C4"/>
    <w:rsid w:val="00C05552"/>
    <w:rsid w:val="00C4648B"/>
    <w:rsid w:val="00C504B2"/>
    <w:rsid w:val="00C509AE"/>
    <w:rsid w:val="00C565D0"/>
    <w:rsid w:val="00C66820"/>
    <w:rsid w:val="00C6723E"/>
    <w:rsid w:val="00C70C1D"/>
    <w:rsid w:val="00C72FCE"/>
    <w:rsid w:val="00C73060"/>
    <w:rsid w:val="00C757FC"/>
    <w:rsid w:val="00C76D4A"/>
    <w:rsid w:val="00C81367"/>
    <w:rsid w:val="00C90181"/>
    <w:rsid w:val="00C91B9A"/>
    <w:rsid w:val="00C96391"/>
    <w:rsid w:val="00CC3670"/>
    <w:rsid w:val="00CD137A"/>
    <w:rsid w:val="00CF631B"/>
    <w:rsid w:val="00D02245"/>
    <w:rsid w:val="00D1022C"/>
    <w:rsid w:val="00D15D61"/>
    <w:rsid w:val="00D22E6C"/>
    <w:rsid w:val="00D26867"/>
    <w:rsid w:val="00D3221D"/>
    <w:rsid w:val="00D322A2"/>
    <w:rsid w:val="00D366DE"/>
    <w:rsid w:val="00D51926"/>
    <w:rsid w:val="00D543E6"/>
    <w:rsid w:val="00D640C2"/>
    <w:rsid w:val="00D655EC"/>
    <w:rsid w:val="00D7672B"/>
    <w:rsid w:val="00D93575"/>
    <w:rsid w:val="00D970E4"/>
    <w:rsid w:val="00D97FDF"/>
    <w:rsid w:val="00DB6AAE"/>
    <w:rsid w:val="00DB6F8E"/>
    <w:rsid w:val="00DC1412"/>
    <w:rsid w:val="00DC6D3C"/>
    <w:rsid w:val="00DC7C3D"/>
    <w:rsid w:val="00DD1926"/>
    <w:rsid w:val="00DD517A"/>
    <w:rsid w:val="00DD5B1C"/>
    <w:rsid w:val="00DD752B"/>
    <w:rsid w:val="00DE1F6F"/>
    <w:rsid w:val="00DE7FDF"/>
    <w:rsid w:val="00DF2A55"/>
    <w:rsid w:val="00DF2F3B"/>
    <w:rsid w:val="00DF6C56"/>
    <w:rsid w:val="00E05086"/>
    <w:rsid w:val="00E1326A"/>
    <w:rsid w:val="00E141BB"/>
    <w:rsid w:val="00E20DB4"/>
    <w:rsid w:val="00E23B4E"/>
    <w:rsid w:val="00E3074E"/>
    <w:rsid w:val="00E35D9D"/>
    <w:rsid w:val="00E37576"/>
    <w:rsid w:val="00E4177B"/>
    <w:rsid w:val="00E41A36"/>
    <w:rsid w:val="00E675FA"/>
    <w:rsid w:val="00E74B98"/>
    <w:rsid w:val="00E8093E"/>
    <w:rsid w:val="00E81DED"/>
    <w:rsid w:val="00E94929"/>
    <w:rsid w:val="00EA2692"/>
    <w:rsid w:val="00EA51DB"/>
    <w:rsid w:val="00EC0B41"/>
    <w:rsid w:val="00EC13EF"/>
    <w:rsid w:val="00EF3BD0"/>
    <w:rsid w:val="00EF6BF9"/>
    <w:rsid w:val="00F11D3D"/>
    <w:rsid w:val="00F2526D"/>
    <w:rsid w:val="00F272CE"/>
    <w:rsid w:val="00F35E7E"/>
    <w:rsid w:val="00F429C8"/>
    <w:rsid w:val="00F52942"/>
    <w:rsid w:val="00F56E8E"/>
    <w:rsid w:val="00F622FF"/>
    <w:rsid w:val="00F64188"/>
    <w:rsid w:val="00F65A8F"/>
    <w:rsid w:val="00F70B2D"/>
    <w:rsid w:val="00F73CEF"/>
    <w:rsid w:val="00F757FD"/>
    <w:rsid w:val="00F81290"/>
    <w:rsid w:val="00F8553B"/>
    <w:rsid w:val="00F85F07"/>
    <w:rsid w:val="00F8682C"/>
    <w:rsid w:val="00F91C4A"/>
    <w:rsid w:val="00F93541"/>
    <w:rsid w:val="00FA6891"/>
    <w:rsid w:val="00FA7571"/>
    <w:rsid w:val="00FA7C27"/>
    <w:rsid w:val="00FC57E4"/>
    <w:rsid w:val="00FC6A12"/>
    <w:rsid w:val="00FD1048"/>
    <w:rsid w:val="00FD3D42"/>
    <w:rsid w:val="00FE22E3"/>
    <w:rsid w:val="00FF5804"/>
    <w:rsid w:val="0E07E5F9"/>
    <w:rsid w:val="134ABADC"/>
    <w:rsid w:val="2B4047F3"/>
    <w:rsid w:val="32D1CAB7"/>
    <w:rsid w:val="4347BECD"/>
    <w:rsid w:val="499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AD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5B1C"/>
  </w:style>
  <w:style w:type="character" w:customStyle="1" w:styleId="eop">
    <w:name w:val="eop"/>
    <w:basedOn w:val="DefaultParagraphFont"/>
    <w:rsid w:val="00DD5B1C"/>
  </w:style>
  <w:style w:type="character" w:customStyle="1" w:styleId="tabchar">
    <w:name w:val="tabchar"/>
    <w:basedOn w:val="DefaultParagraphFont"/>
    <w:rsid w:val="00DD5B1C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5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613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43C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-remedies.service.gov.uk/public/case/AD0068/" TargetMode="External"/><Relationship Id="rId13" Type="http://schemas.openxmlformats.org/officeDocument/2006/relationships/hyperlink" Target="https://www.gov.uk/guidance/trade-remedies-investigating-dumped-or-subsidised-good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the-uk-trade-remedies-investigations-process/the-tras-investigation-proce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br01.safelinks.protection.outlook.com/?url=https%3A%2F%2Fwww.trade-remedies.service.gov.uk%2F&amp;data=02%7C01%7C%7C212afc3bc74143ffdfd508d705173900%7C6d05c46229564ec4a0d4480181c849f9%7C0%7C0%7C636983469608346158&amp;sdata=D%2B5x%2FVg6jne8pabeFXbucYhWFP4hDafZDlbh%2F05s9o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guidance/trade-remedies-investigating-dumped-or-subsidised-good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trade-remedies.service.gov.uk/" TargetMode="External"/><Relationship Id="rId14" Type="http://schemas.openxmlformats.org/officeDocument/2006/relationships/hyperlink" Target="https://www.gov.uk/government/publications/the-uk-trade-remedies-investigations-process/the-tras-investigation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3710B1F-CB5A-4F14-95FB-F792FC9A9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26B7C-EB68-4783-B0CE-E3832641D2B3}"/>
</file>

<file path=customXml/itemProps3.xml><?xml version="1.0" encoding="utf-8"?>
<ds:datastoreItem xmlns:ds="http://schemas.openxmlformats.org/officeDocument/2006/customXml" ds:itemID="{27CF5E60-F3F0-4363-916C-0575728EC257}"/>
</file>

<file path=customXml/itemProps4.xml><?xml version="1.0" encoding="utf-8"?>
<ds:datastoreItem xmlns:ds="http://schemas.openxmlformats.org/officeDocument/2006/customXml" ds:itemID="{5BED891B-5846-4D3E-AD80-0272D98DA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Links>
    <vt:vector size="36" baseType="variant">
      <vt:variant>
        <vt:i4>8192113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</vt:lpwstr>
      </vt:variant>
      <vt:variant>
        <vt:i4>720904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https://www.gov.uk/guidance/trade-remedies-investigating-dumped-or-subsidised-goods</vt:lpwstr>
      </vt:variant>
      <vt:variant>
        <vt:lpwstr>transition-reviews</vt:lpwstr>
      </vt:variant>
      <vt:variant>
        <vt:i4>7733307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Meetings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s://gbr01.safelinks.protection.outlook.com/?url=https%3A%2F%2Fwww.trade-remedies.service.gov.uk%2F&amp;data=02%7C01%7C%7C212afc3bc74143ffdfd508d705173900%7C6d05c46229564ec4a0d4480181c849f9%7C0%7C0%7C636983469608346158&amp;sdata=D%2B5x%2FVg6jne8pabeFXbucYhWFP4hDafZDlbh%2F05s9og%3D&amp;reserved=0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https://www.gov.uk/guidance/trade-remedies-investigating-dumped-or-subsidised-goods</vt:lpwstr>
      </vt:variant>
      <vt:variant>
        <vt:lpwstr/>
      </vt:variant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2025-03-17T14:14:00Z</dcterms:created>
  <dcterms:modified xsi:type="dcterms:W3CDTF">2025-03-18T15:42:00Z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