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A911" w14:textId="6AF40235" w:rsidR="00B67B84" w:rsidRDefault="00B67B84" w:rsidP="0AF05499">
      <w:pPr>
        <w:spacing w:after="0" w:line="300" w:lineRule="auto"/>
        <w:rPr>
          <w:rFonts w:hint="eastAsia"/>
        </w:rPr>
      </w:pPr>
    </w:p>
    <w:p w14:paraId="1742DFB7" w14:textId="1C98D8DC" w:rsidR="00B67B84" w:rsidRDefault="49DEF030" w:rsidP="0AF05499">
      <w:pPr>
        <w:pStyle w:val="Heading1"/>
        <w:spacing w:before="281" w:after="281" w:line="300" w:lineRule="auto"/>
        <w:rPr>
          <w:rFonts w:asciiTheme="minorHAnsi" w:eastAsiaTheme="minorEastAsia" w:hAnsiTheme="minorHAnsi" w:cstheme="minorBidi" w:hint="eastAsia"/>
          <w:b/>
          <w:bCs/>
          <w:sz w:val="24"/>
          <w:szCs w:val="24"/>
        </w:rPr>
      </w:pPr>
      <w:r w:rsidRPr="0AF05499">
        <w:rPr>
          <w:rFonts w:asciiTheme="minorHAnsi" w:eastAsiaTheme="minorEastAsia" w:hAnsiTheme="minorHAnsi" w:cstheme="minorBidi"/>
          <w:b/>
          <w:bCs/>
          <w:sz w:val="24"/>
          <w:szCs w:val="24"/>
        </w:rPr>
        <w:t>Draft Response to the TRA’s Statement of Intended Final Determination (SIFD) – Case TQ0078</w:t>
      </w:r>
    </w:p>
    <w:p w14:paraId="19D558D9" w14:textId="54B36BE1" w:rsidR="00B67B84" w:rsidRDefault="49DEF030" w:rsidP="2CD4F874">
      <w:pPr>
        <w:spacing w:before="210" w:after="210" w:line="300" w:lineRule="auto"/>
        <w:rPr>
          <w:rFonts w:hint="eastAsia"/>
          <w:b/>
          <w:bCs/>
        </w:rPr>
      </w:pPr>
      <w:r w:rsidRPr="2CD4F874">
        <w:rPr>
          <w:b/>
          <w:bCs/>
        </w:rPr>
        <w:t xml:space="preserve">Submitted </w:t>
      </w:r>
      <w:r w:rsidR="00BA1037" w:rsidRPr="2CD4F874">
        <w:rPr>
          <w:b/>
          <w:bCs/>
        </w:rPr>
        <w:t>by</w:t>
      </w:r>
      <w:r w:rsidRPr="2CD4F874">
        <w:rPr>
          <w:b/>
          <w:bCs/>
        </w:rPr>
        <w:t xml:space="preserve"> 7‑Steel UK</w:t>
      </w:r>
      <w:r w:rsidR="00622B61">
        <w:br/>
      </w:r>
      <w:r w:rsidRPr="2CD4F874">
        <w:t xml:space="preserve"> </w:t>
      </w:r>
      <w:r w:rsidRPr="2CD4F874">
        <w:rPr>
          <w:b/>
          <w:bCs/>
        </w:rPr>
        <w:t>Date: February 2026</w:t>
      </w:r>
    </w:p>
    <w:p w14:paraId="64D1A676" w14:textId="7DDFA4AC" w:rsidR="00B67B84" w:rsidRDefault="49DEF030" w:rsidP="0AF05499">
      <w:pPr>
        <w:pStyle w:val="Heading2"/>
        <w:spacing w:before="261" w:after="261" w:line="300" w:lineRule="auto"/>
        <w:rPr>
          <w:rFonts w:asciiTheme="minorHAnsi" w:eastAsiaTheme="minorEastAsia" w:hAnsiTheme="minorHAnsi" w:cstheme="minorBidi" w:hint="eastAsia"/>
          <w:b/>
          <w:bCs/>
          <w:sz w:val="24"/>
          <w:szCs w:val="24"/>
        </w:rPr>
      </w:pPr>
      <w:r w:rsidRPr="0AF05499">
        <w:rPr>
          <w:rFonts w:asciiTheme="minorHAnsi" w:eastAsiaTheme="minorEastAsia" w:hAnsiTheme="minorHAnsi" w:cstheme="minorBidi"/>
          <w:b/>
          <w:bCs/>
          <w:sz w:val="24"/>
          <w:szCs w:val="24"/>
        </w:rPr>
        <w:t>1. Introduction</w:t>
      </w:r>
    </w:p>
    <w:p w14:paraId="2CF4B1FD" w14:textId="16F1D999" w:rsidR="00B67B84" w:rsidRDefault="49DEF030" w:rsidP="50B209CA">
      <w:pPr>
        <w:spacing w:before="210" w:after="210" w:line="300" w:lineRule="auto"/>
        <w:rPr>
          <w:rFonts w:hint="eastAsia"/>
        </w:rPr>
      </w:pPr>
      <w:r w:rsidRPr="50B209CA">
        <w:t>7‑Steel UK appreciates the opportunity to comment on the Statement of Intended Final Determination (“SIFD”) published on 14 February 2026. Having reviewed the SIFD in detail, we are concerned that the TRA’s intended approach does not appropriately reflect the evidence and arguments contained in our submission of 25 January 2026 (Registration of Interest and Annex 1)</w:t>
      </w:r>
      <w:r w:rsidR="00CB0025" w:rsidRPr="50B209CA">
        <w:t xml:space="preserve">. </w:t>
      </w:r>
      <w:r w:rsidR="4B7B7262" w:rsidRPr="50B209CA">
        <w:t xml:space="preserve">Withe the further time available we have also found further evidence we wish the TRA to be aware of on our own products and ability to produce 12A commodities. </w:t>
      </w:r>
      <w:r w:rsidR="343309BE" w:rsidRPr="50B209CA">
        <w:t xml:space="preserve">See section </w:t>
      </w:r>
      <w:r w:rsidR="4FBE90FC" w:rsidRPr="50B209CA">
        <w:t>3 below</w:t>
      </w:r>
      <w:r w:rsidR="343309BE" w:rsidRPr="50B209CA">
        <w:t xml:space="preserve">. </w:t>
      </w:r>
    </w:p>
    <w:p w14:paraId="36292F82" w14:textId="7C67EF9B" w:rsidR="00B67B84" w:rsidRDefault="49DEF030" w:rsidP="50B209CA">
      <w:pPr>
        <w:spacing w:before="210" w:after="210" w:line="300" w:lineRule="auto"/>
        <w:rPr>
          <w:rFonts w:hint="eastAsia"/>
        </w:rPr>
      </w:pPr>
      <w:r w:rsidRPr="50B209CA">
        <w:t>We therefore respectfully request that the TRA reconsider its position</w:t>
      </w:r>
      <w:r w:rsidR="03314B6C" w:rsidRPr="50B209CA">
        <w:t xml:space="preserve"> and would like to suggest that we me</w:t>
      </w:r>
      <w:r w:rsidR="02BD1D83" w:rsidRPr="50B209CA">
        <w:t>et</w:t>
      </w:r>
      <w:r w:rsidR="03314B6C" w:rsidRPr="50B209CA">
        <w:t xml:space="preserve"> with the lead investigator to discuss the issues</w:t>
      </w:r>
      <w:r w:rsidR="4E1CEDCF" w:rsidRPr="50B209CA">
        <w:t xml:space="preserve"> as we understand UK steel have facilitated with SSUK. </w:t>
      </w:r>
    </w:p>
    <w:p w14:paraId="2B80F959" w14:textId="754CE305" w:rsidR="00B67B84" w:rsidRDefault="49DEF030" w:rsidP="2CD4F874">
      <w:pPr>
        <w:spacing w:before="210" w:after="210" w:line="300" w:lineRule="auto"/>
        <w:rPr>
          <w:rFonts w:hint="eastAsia"/>
        </w:rPr>
      </w:pPr>
      <w:r w:rsidRPr="2CD4F874">
        <w:t xml:space="preserve">Our core concern is that </w:t>
      </w:r>
      <w:r w:rsidRPr="2CD4F874">
        <w:rPr>
          <w:b/>
          <w:bCs/>
        </w:rPr>
        <w:t>varying the TRQ by removing six commodity codes from Category 12A</w:t>
      </w:r>
      <w:r w:rsidRPr="2CD4F874">
        <w:t xml:space="preserve"> will </w:t>
      </w:r>
      <w:proofErr w:type="gramStart"/>
      <w:r w:rsidRPr="2CD4F874">
        <w:rPr>
          <w:b/>
          <w:bCs/>
        </w:rPr>
        <w:t>substantially increase</w:t>
      </w:r>
      <w:proofErr w:type="gramEnd"/>
      <w:r w:rsidRPr="2CD4F874">
        <w:rPr>
          <w:b/>
          <w:bCs/>
        </w:rPr>
        <w:t xml:space="preserve"> the risk of misclassification, market </w:t>
      </w:r>
      <w:r w:rsidR="00CB0025" w:rsidRPr="2CD4F874">
        <w:rPr>
          <w:b/>
          <w:bCs/>
        </w:rPr>
        <w:t>distortion,</w:t>
      </w:r>
      <w:r w:rsidRPr="2CD4F874">
        <w:rPr>
          <w:b/>
          <w:bCs/>
        </w:rPr>
        <w:t xml:space="preserve"> and injury to UK producers of Category 12B goods</w:t>
      </w:r>
      <w:r w:rsidRPr="2CD4F874">
        <w:t xml:space="preserve">, including </w:t>
      </w:r>
      <w:proofErr w:type="gramStart"/>
      <w:r w:rsidRPr="2CD4F874">
        <w:t>7</w:t>
      </w:r>
      <w:proofErr w:type="gramEnd"/>
      <w:r w:rsidRPr="2CD4F874">
        <w:t>‑Steel UK, while offering no demonstrable benefit to domestic downstream users.</w:t>
      </w:r>
    </w:p>
    <w:p w14:paraId="49EA3C46" w14:textId="51690B32" w:rsidR="00B67B84" w:rsidRDefault="49DEF030" w:rsidP="0AF05499">
      <w:pPr>
        <w:pStyle w:val="Heading2"/>
        <w:spacing w:before="261" w:after="261" w:line="300" w:lineRule="auto"/>
        <w:rPr>
          <w:rFonts w:asciiTheme="minorHAnsi" w:eastAsiaTheme="minorEastAsia" w:hAnsiTheme="minorHAnsi" w:cstheme="minorBidi" w:hint="eastAsia"/>
          <w:b/>
          <w:bCs/>
          <w:sz w:val="24"/>
          <w:szCs w:val="24"/>
        </w:rPr>
      </w:pPr>
      <w:r w:rsidRPr="0AF05499">
        <w:rPr>
          <w:rFonts w:asciiTheme="minorHAnsi" w:eastAsiaTheme="minorEastAsia" w:hAnsiTheme="minorHAnsi" w:cstheme="minorBidi"/>
          <w:b/>
          <w:bCs/>
          <w:sz w:val="24"/>
          <w:szCs w:val="24"/>
        </w:rPr>
        <w:t>2. Summary of Our Key Arguments (Previously Submitted)</w:t>
      </w:r>
    </w:p>
    <w:p w14:paraId="0AFDE2BB" w14:textId="632457FC" w:rsidR="00B67B84" w:rsidRPr="00B622B7" w:rsidRDefault="49DEF030" w:rsidP="0AF05499">
      <w:pPr>
        <w:pStyle w:val="Heading3"/>
        <w:spacing w:before="246" w:after="246" w:line="300" w:lineRule="auto"/>
        <w:rPr>
          <w:rFonts w:eastAsiaTheme="minorEastAsia" w:cstheme="minorBidi" w:hint="eastAsia"/>
          <w:sz w:val="24"/>
          <w:szCs w:val="24"/>
        </w:rPr>
      </w:pPr>
      <w:r w:rsidRPr="00B622B7">
        <w:rPr>
          <w:rFonts w:eastAsiaTheme="minorEastAsia" w:cstheme="minorBidi"/>
          <w:sz w:val="24"/>
          <w:szCs w:val="24"/>
        </w:rPr>
        <w:t xml:space="preserve">2.1 Category 12A and 12B products are visually identical and easily </w:t>
      </w:r>
      <w:r w:rsidR="00BA1037" w:rsidRPr="00B622B7">
        <w:rPr>
          <w:rFonts w:eastAsiaTheme="minorEastAsia" w:cstheme="minorBidi"/>
          <w:sz w:val="24"/>
          <w:szCs w:val="24"/>
        </w:rPr>
        <w:t>misclassified.</w:t>
      </w:r>
    </w:p>
    <w:p w14:paraId="37939BFF" w14:textId="41A5E06B" w:rsidR="00B67B84" w:rsidRDefault="49DEF030" w:rsidP="0AF05499">
      <w:pPr>
        <w:spacing w:before="210" w:after="210" w:line="300" w:lineRule="auto"/>
        <w:rPr>
          <w:rFonts w:hint="eastAsia"/>
        </w:rPr>
      </w:pPr>
      <w:r w:rsidRPr="0AF05499">
        <w:t>As stated in our Annex 1, Category 12A (alloy merchant bar) and Category 12B (non‑alloy merchant bar) are:</w:t>
      </w:r>
    </w:p>
    <w:p w14:paraId="458349EE" w14:textId="16D4A584" w:rsidR="00B67B84" w:rsidRDefault="49DEF030" w:rsidP="50B209CA">
      <w:pPr>
        <w:pStyle w:val="ListParagraph"/>
        <w:numPr>
          <w:ilvl w:val="0"/>
          <w:numId w:val="8"/>
        </w:numPr>
        <w:spacing w:after="0" w:line="300" w:lineRule="auto"/>
        <w:rPr>
          <w:rFonts w:hint="eastAsia"/>
        </w:rPr>
      </w:pPr>
      <w:r w:rsidRPr="50B209CA">
        <w:rPr>
          <w:i/>
          <w:iCs/>
        </w:rPr>
        <w:t>“</w:t>
      </w:r>
      <w:r w:rsidR="00BA1037" w:rsidRPr="50B209CA">
        <w:rPr>
          <w:i/>
          <w:iCs/>
        </w:rPr>
        <w:t>Exactly</w:t>
      </w:r>
      <w:r w:rsidRPr="50B209CA">
        <w:rPr>
          <w:i/>
          <w:iCs/>
        </w:rPr>
        <w:t xml:space="preserve"> the same in all visible aspects (cross-section dimensions, lengths, surface characteristics)”</w:t>
      </w:r>
    </w:p>
    <w:p w14:paraId="25CBB4E5" w14:textId="1DF2A3F1" w:rsidR="00B67B84" w:rsidRDefault="49DEF030" w:rsidP="0AF05499">
      <w:pPr>
        <w:pStyle w:val="ListParagraph"/>
        <w:numPr>
          <w:ilvl w:val="0"/>
          <w:numId w:val="8"/>
        </w:numPr>
        <w:spacing w:after="0" w:line="300" w:lineRule="auto"/>
        <w:rPr>
          <w:rFonts w:hint="eastAsia"/>
        </w:rPr>
      </w:pPr>
      <w:r w:rsidRPr="0AF05499">
        <w:t xml:space="preserve">distinguishable </w:t>
      </w:r>
      <w:r w:rsidRPr="0AF05499">
        <w:rPr>
          <w:b/>
          <w:bCs/>
        </w:rPr>
        <w:t>only by metallurgical chemistry</w:t>
      </w:r>
      <w:r w:rsidRPr="0AF05499">
        <w:t>, which requires laboratory or test‑certificate verification.</w:t>
      </w:r>
    </w:p>
    <w:p w14:paraId="0656C452" w14:textId="2F811467" w:rsidR="00B67B84" w:rsidRDefault="49DEF030" w:rsidP="50B209CA">
      <w:pPr>
        <w:spacing w:before="210" w:after="210" w:line="300" w:lineRule="auto"/>
        <w:rPr>
          <w:rFonts w:hint="eastAsia"/>
        </w:rPr>
      </w:pPr>
      <w:r w:rsidRPr="50B209CA">
        <w:t>This means customs officers cannot reliably differentiate between 12A and 12B products visually.</w:t>
      </w:r>
      <w:r w:rsidR="22C7D5B1" w:rsidRPr="50B209CA">
        <w:t xml:space="preserve"> </w:t>
      </w:r>
    </w:p>
    <w:p w14:paraId="62038562" w14:textId="52998E84" w:rsidR="00B67B84" w:rsidRDefault="00622B61" w:rsidP="50B209CA">
      <w:pPr>
        <w:spacing w:before="210" w:after="210" w:line="300" w:lineRule="auto"/>
        <w:rPr>
          <w:rFonts w:hint="eastAsia"/>
        </w:rPr>
      </w:pPr>
      <w:r>
        <w:lastRenderedPageBreak/>
        <w:br/>
      </w:r>
      <w:r w:rsidR="49DEF030" w:rsidRPr="50B209CA">
        <w:t>We have already seen:</w:t>
      </w:r>
    </w:p>
    <w:p w14:paraId="1B6D0733" w14:textId="4F9BF67E" w:rsidR="00B67B84" w:rsidRDefault="49DEF030" w:rsidP="0AF05499">
      <w:pPr>
        <w:pStyle w:val="ListParagraph"/>
        <w:numPr>
          <w:ilvl w:val="0"/>
          <w:numId w:val="9"/>
        </w:numPr>
        <w:spacing w:after="0" w:line="300" w:lineRule="auto"/>
        <w:rPr>
          <w:rFonts w:hint="eastAsia"/>
        </w:rPr>
      </w:pPr>
      <w:r w:rsidRPr="0AF05499">
        <w:t xml:space="preserve">increased incidents of misdeclaration after the 2022 </w:t>
      </w:r>
      <w:r w:rsidR="00BA1037" w:rsidRPr="0AF05499">
        <w:t>split.</w:t>
      </w:r>
    </w:p>
    <w:p w14:paraId="47E5B6A6" w14:textId="184E8814" w:rsidR="00B67B84" w:rsidRDefault="49DEF030" w:rsidP="0AF05499">
      <w:pPr>
        <w:pStyle w:val="ListParagraph"/>
        <w:numPr>
          <w:ilvl w:val="0"/>
          <w:numId w:val="9"/>
        </w:numPr>
        <w:spacing w:after="0" w:line="300" w:lineRule="auto"/>
        <w:rPr>
          <w:rFonts w:hint="eastAsia"/>
        </w:rPr>
      </w:pPr>
      <w:r w:rsidRPr="0AF05499">
        <w:t>evidence that classification errors by HMRC rose precisely because alloy/non‑alloy differences cannot be visually determined.</w:t>
      </w:r>
    </w:p>
    <w:p w14:paraId="2E395C41" w14:textId="44FF6310" w:rsidR="00B67B84" w:rsidRDefault="49DEF030" w:rsidP="0AF05499">
      <w:pPr>
        <w:spacing w:before="210" w:after="210" w:line="300" w:lineRule="auto"/>
        <w:rPr>
          <w:rFonts w:hint="eastAsia"/>
        </w:rPr>
      </w:pPr>
      <w:r w:rsidRPr="0AF05499">
        <w:t xml:space="preserve">Removing most 12A codes from safeguards will </w:t>
      </w:r>
      <w:r w:rsidRPr="0AF05499">
        <w:rPr>
          <w:b/>
          <w:bCs/>
        </w:rPr>
        <w:t>worsen</w:t>
      </w:r>
      <w:r w:rsidRPr="0AF05499">
        <w:t xml:space="preserve"> these issues. It will create a strong incentive for importers to:</w:t>
      </w:r>
    </w:p>
    <w:p w14:paraId="2213D41A" w14:textId="2D5B0213" w:rsidR="00B67B84" w:rsidRDefault="49DEF030" w:rsidP="50B209CA">
      <w:pPr>
        <w:pStyle w:val="ListParagraph"/>
        <w:numPr>
          <w:ilvl w:val="0"/>
          <w:numId w:val="7"/>
        </w:numPr>
        <w:spacing w:after="0" w:line="300" w:lineRule="auto"/>
        <w:rPr>
          <w:rFonts w:hint="eastAsia"/>
        </w:rPr>
      </w:pPr>
      <w:r w:rsidRPr="50B209CA">
        <w:rPr>
          <w:b/>
          <w:bCs/>
        </w:rPr>
        <w:t xml:space="preserve">misdeclare 12B </w:t>
      </w:r>
      <w:r w:rsidR="4BEA8F4D" w:rsidRPr="50B209CA">
        <w:rPr>
          <w:b/>
          <w:bCs/>
        </w:rPr>
        <w:t>goods as</w:t>
      </w:r>
      <w:r w:rsidR="12EDAC3C" w:rsidRPr="50B209CA">
        <w:t xml:space="preserve"> non-restricted codes </w:t>
      </w:r>
      <w:r w:rsidRPr="50B209CA">
        <w:t xml:space="preserve">to avoid quota </w:t>
      </w:r>
      <w:r w:rsidR="00BA1037" w:rsidRPr="50B209CA">
        <w:t>constraints.</w:t>
      </w:r>
    </w:p>
    <w:p w14:paraId="106B636C" w14:textId="77509327" w:rsidR="00B67B84" w:rsidRDefault="49DEF030" w:rsidP="0AF05499">
      <w:pPr>
        <w:pStyle w:val="ListParagraph"/>
        <w:numPr>
          <w:ilvl w:val="0"/>
          <w:numId w:val="7"/>
        </w:numPr>
        <w:spacing w:after="0" w:line="300" w:lineRule="auto"/>
        <w:rPr>
          <w:rFonts w:hint="eastAsia"/>
        </w:rPr>
      </w:pPr>
      <w:r w:rsidRPr="0AF05499">
        <w:rPr>
          <w:b/>
          <w:bCs/>
        </w:rPr>
        <w:t>add small alloying elements</w:t>
      </w:r>
      <w:r w:rsidRPr="0AF05499">
        <w:t xml:space="preserve"> deliberately to shift goods into an unrestricted category.</w:t>
      </w:r>
    </w:p>
    <w:p w14:paraId="1210EC3F" w14:textId="5E762AB4" w:rsidR="00B67B84" w:rsidRDefault="49DEF030" w:rsidP="50B209CA">
      <w:pPr>
        <w:spacing w:before="210" w:after="210" w:line="300" w:lineRule="auto"/>
        <w:rPr>
          <w:rFonts w:hint="eastAsia"/>
          <w:color w:val="464FEB"/>
        </w:rPr>
      </w:pPr>
      <w:r w:rsidRPr="50B209CA">
        <w:t xml:space="preserve">This is not theoretical—the TRA itself cites previous examples of deliberate alloying (e.g. boron in wire rod) to circumvent measures. </w:t>
      </w:r>
    </w:p>
    <w:p w14:paraId="3E8F9F32" w14:textId="273CA999" w:rsidR="00B67B84" w:rsidRPr="00B622B7" w:rsidRDefault="49DEF030" w:rsidP="0AF05499">
      <w:pPr>
        <w:pStyle w:val="Heading3"/>
        <w:spacing w:before="246" w:after="246" w:line="300" w:lineRule="auto"/>
        <w:rPr>
          <w:rFonts w:eastAsiaTheme="minorEastAsia" w:cstheme="minorBidi" w:hint="eastAsia"/>
          <w:sz w:val="24"/>
          <w:szCs w:val="24"/>
        </w:rPr>
      </w:pPr>
      <w:r w:rsidRPr="00B622B7">
        <w:rPr>
          <w:rFonts w:eastAsiaTheme="minorEastAsia" w:cstheme="minorBidi"/>
          <w:sz w:val="24"/>
          <w:szCs w:val="24"/>
        </w:rPr>
        <w:t xml:space="preserve">2.2 Quotas for Category 12A are already significantly </w:t>
      </w:r>
      <w:r w:rsidR="00BA1037" w:rsidRPr="00B622B7">
        <w:rPr>
          <w:rFonts w:eastAsiaTheme="minorEastAsia" w:cstheme="minorBidi"/>
          <w:sz w:val="24"/>
          <w:szCs w:val="24"/>
        </w:rPr>
        <w:t>underutilised.</w:t>
      </w:r>
    </w:p>
    <w:p w14:paraId="00D01F53" w14:textId="4DBA7CE2" w:rsidR="00B67B84" w:rsidRDefault="49DEF030" w:rsidP="50B209CA">
      <w:pPr>
        <w:spacing w:before="210" w:after="210" w:line="300" w:lineRule="auto"/>
        <w:rPr>
          <w:rFonts w:hint="eastAsia"/>
        </w:rPr>
      </w:pPr>
      <w:r w:rsidRPr="50B209CA">
        <w:t xml:space="preserve">As we highlighted in our submission, current quota utilisation is nowhere near exhaustion. HMRC data across multiple quarters shows utilisation rates typically </w:t>
      </w:r>
      <w:r w:rsidRPr="50B209CA">
        <w:rPr>
          <w:b/>
          <w:bCs/>
        </w:rPr>
        <w:t>below 50%</w:t>
      </w:r>
      <w:r w:rsidRPr="50B209CA">
        <w:t xml:space="preserve">, with </w:t>
      </w:r>
      <w:proofErr w:type="gramStart"/>
      <w:r w:rsidRPr="50B209CA">
        <w:t>some</w:t>
      </w:r>
      <w:proofErr w:type="gramEnd"/>
      <w:r w:rsidRPr="50B209CA">
        <w:t xml:space="preserve"> quarters closer to </w:t>
      </w:r>
      <w:r w:rsidRPr="50B209CA">
        <w:rPr>
          <w:b/>
          <w:bCs/>
        </w:rPr>
        <w:t>30%</w:t>
      </w:r>
      <w:r w:rsidRPr="50B209CA">
        <w:t>.</w:t>
      </w:r>
    </w:p>
    <w:p w14:paraId="353D5BB3" w14:textId="66C08AB8" w:rsidR="00B67B84" w:rsidRDefault="49DEF030" w:rsidP="0AF05499">
      <w:pPr>
        <w:spacing w:before="210" w:after="210" w:line="300" w:lineRule="auto"/>
        <w:rPr>
          <w:rFonts w:hint="eastAsia"/>
        </w:rPr>
      </w:pPr>
      <w:r w:rsidRPr="0AF05499">
        <w:t>This evidence demonstrates:</w:t>
      </w:r>
    </w:p>
    <w:p w14:paraId="72CD99EA" w14:textId="37483D39" w:rsidR="00B67B84" w:rsidRDefault="49DEF030" w:rsidP="0AF05499">
      <w:pPr>
        <w:pStyle w:val="ListParagraph"/>
        <w:numPr>
          <w:ilvl w:val="0"/>
          <w:numId w:val="1"/>
        </w:numPr>
        <w:spacing w:after="0" w:line="300" w:lineRule="auto"/>
        <w:rPr>
          <w:rFonts w:hint="eastAsia"/>
          <w:b/>
          <w:bCs/>
        </w:rPr>
      </w:pPr>
      <w:r w:rsidRPr="0AF05499">
        <w:rPr>
          <w:b/>
          <w:bCs/>
        </w:rPr>
        <w:t>No constraint on traditional trade flows</w:t>
      </w:r>
    </w:p>
    <w:p w14:paraId="5EA63A79" w14:textId="06F46FE8" w:rsidR="00B67B84" w:rsidRDefault="49DEF030" w:rsidP="0AF05499">
      <w:pPr>
        <w:pStyle w:val="ListParagraph"/>
        <w:numPr>
          <w:ilvl w:val="0"/>
          <w:numId w:val="1"/>
        </w:numPr>
        <w:spacing w:after="0" w:line="300" w:lineRule="auto"/>
        <w:rPr>
          <w:rFonts w:hint="eastAsia"/>
          <w:b/>
          <w:bCs/>
        </w:rPr>
      </w:pPr>
      <w:r w:rsidRPr="0AF05499">
        <w:rPr>
          <w:b/>
          <w:bCs/>
        </w:rPr>
        <w:t>No inability for CBM members to source material</w:t>
      </w:r>
    </w:p>
    <w:p w14:paraId="73458AEE" w14:textId="133F205D" w:rsidR="00B67B84" w:rsidRDefault="49DEF030" w:rsidP="0AF05499">
      <w:pPr>
        <w:pStyle w:val="ListParagraph"/>
        <w:numPr>
          <w:ilvl w:val="0"/>
          <w:numId w:val="1"/>
        </w:numPr>
        <w:spacing w:after="0" w:line="300" w:lineRule="auto"/>
        <w:rPr>
          <w:rFonts w:hint="eastAsia"/>
          <w:b/>
          <w:bCs/>
        </w:rPr>
      </w:pPr>
      <w:r w:rsidRPr="0AF05499">
        <w:rPr>
          <w:b/>
          <w:bCs/>
        </w:rPr>
        <w:t xml:space="preserve">No market failure requiring a change to the safeguard </w:t>
      </w:r>
      <w:r w:rsidR="00BA1037" w:rsidRPr="0AF05499">
        <w:rPr>
          <w:b/>
          <w:bCs/>
        </w:rPr>
        <w:t>measure.</w:t>
      </w:r>
    </w:p>
    <w:p w14:paraId="28975455" w14:textId="1CE9769D" w:rsidR="00B67B84" w:rsidRDefault="49DEF030" w:rsidP="50B209CA">
      <w:pPr>
        <w:spacing w:before="210" w:after="210" w:line="300" w:lineRule="auto"/>
        <w:rPr>
          <w:rFonts w:hint="eastAsia"/>
        </w:rPr>
      </w:pPr>
      <w:r w:rsidRPr="50B209CA">
        <w:t>This contrasts strongly with CBM assertions, and the TRA acknowledges that utilisation is low.</w:t>
      </w:r>
    </w:p>
    <w:p w14:paraId="79250582" w14:textId="41618D96" w:rsidR="00B67B84" w:rsidRDefault="0BF98EEE" w:rsidP="50B209CA">
      <w:pPr>
        <w:spacing w:before="240" w:after="240"/>
        <w:rPr>
          <w:rFonts w:hint="eastAsia"/>
          <w:color w:val="CD5937"/>
          <w:highlight w:val="yellow"/>
        </w:rPr>
      </w:pPr>
      <w:r w:rsidRPr="50B209CA">
        <w:t xml:space="preserve">Of particular concern is commodity </w:t>
      </w:r>
      <w:r w:rsidR="1861F441" w:rsidRPr="50B209CA">
        <w:rPr>
          <w:b/>
          <w:bCs/>
        </w:rPr>
        <w:t xml:space="preserve">72283070000; </w:t>
      </w:r>
      <w:r w:rsidRPr="50B209CA">
        <w:t>HR flat:</w:t>
      </w:r>
      <w:r w:rsidR="42168B07" w:rsidRPr="50B209CA">
        <w:t xml:space="preserve"> </w:t>
      </w:r>
      <w:r w:rsidRPr="50B209CA">
        <w:t xml:space="preserve">Alloy Eng Steel </w:t>
      </w:r>
      <w:r w:rsidR="6C09DA05" w:rsidRPr="50B209CA">
        <w:t>highlighted</w:t>
      </w:r>
      <w:r w:rsidRPr="50B209CA">
        <w:t xml:space="preserve"> in the bel</w:t>
      </w:r>
      <w:r w:rsidR="67F2FF7A" w:rsidRPr="50B209CA">
        <w:t xml:space="preserve">ow table that has seen significant increase of imports in recent years. </w:t>
      </w:r>
    </w:p>
    <w:p w14:paraId="4411371A" w14:textId="31D1FA48" w:rsidR="00B67B84" w:rsidRDefault="00B67B84" w:rsidP="50B209CA">
      <w:pPr>
        <w:pStyle w:val="Heading2"/>
        <w:spacing w:before="261" w:after="261" w:line="300" w:lineRule="auto"/>
        <w:rPr>
          <w:rFonts w:asciiTheme="minorHAnsi" w:eastAsiaTheme="minorEastAsia" w:hAnsiTheme="minorHAnsi" w:cstheme="minorBidi" w:hint="eastAsia"/>
          <w:b/>
          <w:bCs/>
          <w:sz w:val="24"/>
          <w:szCs w:val="24"/>
        </w:rPr>
      </w:pPr>
    </w:p>
    <w:p w14:paraId="45AA8B4E" w14:textId="53D8E181" w:rsidR="00B67B84" w:rsidRDefault="00B67B84" w:rsidP="50B209CA">
      <w:pPr>
        <w:rPr>
          <w:rFonts w:hint="eastAsia"/>
        </w:rPr>
      </w:pPr>
    </w:p>
    <w:p w14:paraId="65F7CBF2" w14:textId="5F9C9463" w:rsidR="00B67B84" w:rsidRDefault="00B67B84" w:rsidP="50B209CA">
      <w:pPr>
        <w:rPr>
          <w:rFonts w:hint="eastAsia"/>
        </w:rPr>
      </w:pPr>
    </w:p>
    <w:p w14:paraId="1C01C0F1" w14:textId="6F6F9F43" w:rsidR="00B67B84" w:rsidRDefault="00B67B84" w:rsidP="50B209CA">
      <w:pPr>
        <w:rPr>
          <w:rFonts w:hint="eastAsia"/>
        </w:rPr>
      </w:pPr>
    </w:p>
    <w:p w14:paraId="0B50BE89" w14:textId="5C39C03B" w:rsidR="00B67B84" w:rsidRDefault="00B67B84" w:rsidP="50B209CA">
      <w:pPr>
        <w:rPr>
          <w:rFonts w:hint="eastAsia"/>
        </w:rPr>
      </w:pPr>
    </w:p>
    <w:p w14:paraId="3948E8A6" w14:textId="6EB057F7" w:rsidR="00B67B84" w:rsidRPr="00B622B7" w:rsidRDefault="4BA59A17" w:rsidP="50B209CA">
      <w:pPr>
        <w:pStyle w:val="Heading2"/>
        <w:spacing w:before="261" w:after="261" w:line="300" w:lineRule="auto"/>
        <w:rPr>
          <w:rFonts w:asciiTheme="minorHAnsi" w:eastAsiaTheme="minorEastAsia" w:hAnsiTheme="minorHAnsi" w:cstheme="minorBidi" w:hint="eastAsia"/>
          <w:sz w:val="24"/>
          <w:szCs w:val="24"/>
        </w:rPr>
      </w:pPr>
      <w:r w:rsidRPr="00B622B7">
        <w:rPr>
          <w:rFonts w:asciiTheme="minorHAnsi" w:eastAsiaTheme="minorEastAsia" w:hAnsiTheme="minorHAnsi" w:cstheme="minorBidi"/>
          <w:sz w:val="24"/>
          <w:szCs w:val="24"/>
        </w:rPr>
        <w:lastRenderedPageBreak/>
        <w:t xml:space="preserve">Summary of </w:t>
      </w:r>
      <w:r w:rsidR="00300711">
        <w:rPr>
          <w:rFonts w:asciiTheme="minorHAnsi" w:eastAsiaTheme="minorEastAsia" w:hAnsiTheme="minorHAnsi" w:cstheme="minorBidi"/>
          <w:sz w:val="24"/>
          <w:szCs w:val="24"/>
        </w:rPr>
        <w:t xml:space="preserve">imported </w:t>
      </w:r>
      <w:r w:rsidRPr="00B622B7">
        <w:rPr>
          <w:rFonts w:asciiTheme="minorHAnsi" w:eastAsiaTheme="minorEastAsia" w:hAnsiTheme="minorHAnsi" w:cstheme="minorBidi"/>
          <w:sz w:val="24"/>
          <w:szCs w:val="24"/>
        </w:rPr>
        <w:t>Tonnage by HS Code and Product Category (2020–2025)</w:t>
      </w:r>
    </w:p>
    <w:p w14:paraId="6B42DD44" w14:textId="172B56C1" w:rsidR="0024179F" w:rsidRDefault="0ADD6944" w:rsidP="0024179F">
      <w:r w:rsidRPr="50B209CA">
        <w:t>*</w:t>
      </w:r>
      <w:r w:rsidR="006128F3">
        <w:t xml:space="preserve">TRA </w:t>
      </w:r>
      <w:r w:rsidR="00611A07">
        <w:t>s</w:t>
      </w:r>
      <w:r w:rsidRPr="50B209CA">
        <w:t>uggested removed codes coloured re</w:t>
      </w:r>
      <w:r w:rsidR="0024179F">
        <w:t xml:space="preserve">d, </w:t>
      </w:r>
      <w:r w:rsidRPr="50B209CA">
        <w:t xml:space="preserve">remaining codes in green </w:t>
      </w:r>
      <w:r w:rsidR="00B622B7">
        <w:t xml:space="preserve">and code of particular concern to 7 Steel highlighted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703"/>
        <w:gridCol w:w="1412"/>
        <w:gridCol w:w="963"/>
        <w:gridCol w:w="963"/>
        <w:gridCol w:w="1007"/>
        <w:gridCol w:w="963"/>
        <w:gridCol w:w="963"/>
        <w:gridCol w:w="929"/>
        <w:gridCol w:w="1093"/>
      </w:tblGrid>
      <w:tr w:rsidR="001B3A90" w14:paraId="082F263A" w14:textId="77777777">
        <w:trPr>
          <w:trHeight w:val="300"/>
        </w:trPr>
        <w:tc>
          <w:tcPr>
            <w:tcW w:w="2220" w:type="dxa"/>
            <w:gridSpan w:val="2"/>
            <w:shd w:val="clear" w:color="auto" w:fill="F5F5F5"/>
            <w:vAlign w:val="center"/>
          </w:tcPr>
          <w:p w14:paraId="7F2F5DF4" w14:textId="77777777" w:rsidR="0024179F" w:rsidRDefault="0024179F" w:rsidP="00E2314B">
            <w:pPr>
              <w:spacing w:after="0" w:line="300" w:lineRule="auto"/>
              <w:jc w:val="center"/>
              <w:rPr>
                <w:b/>
                <w:bCs/>
              </w:rPr>
            </w:pPr>
            <w:r w:rsidRPr="6973F342">
              <w:rPr>
                <w:b/>
                <w:bCs/>
              </w:rPr>
              <w:t xml:space="preserve">HS Code and </w:t>
            </w:r>
          </w:p>
          <w:p w14:paraId="57345B57" w14:textId="77777777" w:rsidR="0024179F" w:rsidRDefault="0024179F" w:rsidP="00E2314B">
            <w:pPr>
              <w:spacing w:after="0" w:line="300" w:lineRule="auto"/>
              <w:jc w:val="center"/>
            </w:pPr>
            <w:r w:rsidRPr="6973F342">
              <w:rPr>
                <w:b/>
                <w:bCs/>
              </w:rPr>
              <w:t>Product Description</w:t>
            </w:r>
          </w:p>
        </w:tc>
        <w:tc>
          <w:tcPr>
            <w:tcW w:w="975" w:type="dxa"/>
            <w:shd w:val="clear" w:color="auto" w:fill="F5F5F5"/>
            <w:vAlign w:val="center"/>
          </w:tcPr>
          <w:p w14:paraId="0EA102A2" w14:textId="77777777" w:rsidR="0024179F" w:rsidRDefault="0024179F" w:rsidP="00E2314B">
            <w:pPr>
              <w:spacing w:after="0" w:line="300" w:lineRule="auto"/>
              <w:jc w:val="right"/>
            </w:pPr>
            <w:r w:rsidRPr="6973F342">
              <w:rPr>
                <w:b/>
                <w:bCs/>
              </w:rPr>
              <w:t>2020</w:t>
            </w:r>
          </w:p>
        </w:tc>
        <w:tc>
          <w:tcPr>
            <w:tcW w:w="975" w:type="dxa"/>
            <w:shd w:val="clear" w:color="auto" w:fill="F5F5F5"/>
            <w:vAlign w:val="center"/>
          </w:tcPr>
          <w:p w14:paraId="51EEB527" w14:textId="77777777" w:rsidR="0024179F" w:rsidRDefault="0024179F" w:rsidP="00E2314B">
            <w:pPr>
              <w:spacing w:after="0" w:line="300" w:lineRule="auto"/>
              <w:jc w:val="right"/>
            </w:pPr>
            <w:r w:rsidRPr="6973F342">
              <w:rPr>
                <w:b/>
                <w:bCs/>
              </w:rPr>
              <w:t>2021</w:t>
            </w:r>
          </w:p>
        </w:tc>
        <w:tc>
          <w:tcPr>
            <w:tcW w:w="1035" w:type="dxa"/>
            <w:shd w:val="clear" w:color="auto" w:fill="F5F5F5"/>
            <w:vAlign w:val="center"/>
          </w:tcPr>
          <w:p w14:paraId="4DA86AC4" w14:textId="77777777" w:rsidR="0024179F" w:rsidRDefault="0024179F" w:rsidP="00E2314B">
            <w:pPr>
              <w:spacing w:after="0" w:line="300" w:lineRule="auto"/>
              <w:jc w:val="right"/>
            </w:pPr>
            <w:r w:rsidRPr="6973F342">
              <w:rPr>
                <w:b/>
                <w:bCs/>
              </w:rPr>
              <w:t>2022</w:t>
            </w:r>
          </w:p>
        </w:tc>
        <w:tc>
          <w:tcPr>
            <w:tcW w:w="975" w:type="dxa"/>
            <w:shd w:val="clear" w:color="auto" w:fill="F5F5F5"/>
            <w:vAlign w:val="center"/>
          </w:tcPr>
          <w:p w14:paraId="5114B3A0" w14:textId="77777777" w:rsidR="0024179F" w:rsidRDefault="0024179F" w:rsidP="00E2314B">
            <w:pPr>
              <w:spacing w:after="0" w:line="300" w:lineRule="auto"/>
              <w:jc w:val="right"/>
            </w:pPr>
            <w:r w:rsidRPr="6973F342">
              <w:rPr>
                <w:b/>
                <w:bCs/>
              </w:rPr>
              <w:t>2023</w:t>
            </w:r>
          </w:p>
        </w:tc>
        <w:tc>
          <w:tcPr>
            <w:tcW w:w="975" w:type="dxa"/>
            <w:shd w:val="clear" w:color="auto" w:fill="F5F5F5"/>
            <w:vAlign w:val="center"/>
          </w:tcPr>
          <w:p w14:paraId="223BD379" w14:textId="77777777" w:rsidR="0024179F" w:rsidRDefault="0024179F" w:rsidP="00E2314B">
            <w:pPr>
              <w:spacing w:after="0" w:line="300" w:lineRule="auto"/>
              <w:jc w:val="right"/>
            </w:pPr>
            <w:r w:rsidRPr="6973F342">
              <w:rPr>
                <w:b/>
                <w:bCs/>
              </w:rPr>
              <w:t>2024</w:t>
            </w:r>
          </w:p>
        </w:tc>
        <w:tc>
          <w:tcPr>
            <w:tcW w:w="870" w:type="dxa"/>
            <w:shd w:val="clear" w:color="auto" w:fill="F5F5F5"/>
            <w:vAlign w:val="center"/>
          </w:tcPr>
          <w:p w14:paraId="6C2C9455" w14:textId="77777777" w:rsidR="0024179F" w:rsidRDefault="0024179F" w:rsidP="00E2314B">
            <w:pPr>
              <w:spacing w:after="0" w:line="300" w:lineRule="auto"/>
              <w:jc w:val="right"/>
            </w:pPr>
            <w:r w:rsidRPr="6973F342">
              <w:rPr>
                <w:b/>
                <w:bCs/>
              </w:rPr>
              <w:t>2025</w:t>
            </w:r>
          </w:p>
        </w:tc>
        <w:tc>
          <w:tcPr>
            <w:tcW w:w="1106" w:type="dxa"/>
            <w:shd w:val="clear" w:color="auto" w:fill="F5F5F5"/>
            <w:vAlign w:val="center"/>
          </w:tcPr>
          <w:p w14:paraId="054376BF" w14:textId="77777777" w:rsidR="0024179F" w:rsidRDefault="0024179F" w:rsidP="00E2314B">
            <w:pPr>
              <w:spacing w:after="0" w:line="300" w:lineRule="auto"/>
              <w:jc w:val="right"/>
            </w:pPr>
            <w:r w:rsidRPr="6973F342">
              <w:rPr>
                <w:b/>
                <w:bCs/>
              </w:rPr>
              <w:t>Grand Total</w:t>
            </w:r>
          </w:p>
        </w:tc>
      </w:tr>
      <w:tr w:rsidR="001C3760" w14:paraId="431CBD9C" w14:textId="77777777">
        <w:trPr>
          <w:trHeight w:val="300"/>
        </w:trPr>
        <w:tc>
          <w:tcPr>
            <w:tcW w:w="2220" w:type="dxa"/>
            <w:gridSpan w:val="2"/>
            <w:vAlign w:val="center"/>
          </w:tcPr>
          <w:p w14:paraId="13DA3253" w14:textId="77777777" w:rsidR="0024179F" w:rsidRDefault="0024179F" w:rsidP="00E2314B">
            <w:pPr>
              <w:spacing w:after="0" w:line="300" w:lineRule="auto"/>
              <w:rPr>
                <w:b/>
                <w:bCs/>
                <w:color w:val="C00000"/>
              </w:rPr>
            </w:pPr>
            <w:r w:rsidRPr="6973F342">
              <w:rPr>
                <w:b/>
                <w:bCs/>
                <w:color w:val="C00000"/>
              </w:rPr>
              <w:t>72283020000</w:t>
            </w:r>
          </w:p>
          <w:p w14:paraId="34C956EC" w14:textId="77777777" w:rsidR="0024179F" w:rsidRDefault="0024179F" w:rsidP="00E2314B">
            <w:pPr>
              <w:spacing w:after="0" w:line="300" w:lineRule="auto"/>
              <w:rPr>
                <w:color w:val="C00000"/>
              </w:rPr>
            </w:pPr>
            <w:r w:rsidRPr="6973F342">
              <w:rPr>
                <w:color w:val="C00000"/>
              </w:rPr>
              <w:t>HR Bars/Flats: Tool Steel</w:t>
            </w:r>
          </w:p>
        </w:tc>
        <w:tc>
          <w:tcPr>
            <w:tcW w:w="975" w:type="dxa"/>
            <w:vAlign w:val="center"/>
          </w:tcPr>
          <w:p w14:paraId="2B185B20" w14:textId="77777777" w:rsidR="0024179F" w:rsidRDefault="0024179F" w:rsidP="00E2314B">
            <w:pPr>
              <w:spacing w:after="0" w:line="300" w:lineRule="auto"/>
              <w:jc w:val="right"/>
              <w:rPr>
                <w:color w:val="C00000"/>
              </w:rPr>
            </w:pPr>
            <w:r w:rsidRPr="6973F342">
              <w:rPr>
                <w:color w:val="C00000"/>
              </w:rPr>
              <w:t>828</w:t>
            </w:r>
          </w:p>
        </w:tc>
        <w:tc>
          <w:tcPr>
            <w:tcW w:w="975" w:type="dxa"/>
            <w:vAlign w:val="center"/>
          </w:tcPr>
          <w:p w14:paraId="606CA7B9" w14:textId="77777777" w:rsidR="0024179F" w:rsidRDefault="0024179F" w:rsidP="00E2314B">
            <w:pPr>
              <w:spacing w:after="0" w:line="300" w:lineRule="auto"/>
              <w:jc w:val="right"/>
              <w:rPr>
                <w:color w:val="C00000"/>
              </w:rPr>
            </w:pPr>
            <w:r w:rsidRPr="6973F342">
              <w:rPr>
                <w:color w:val="C00000"/>
              </w:rPr>
              <w:t>1,658</w:t>
            </w:r>
          </w:p>
        </w:tc>
        <w:tc>
          <w:tcPr>
            <w:tcW w:w="1035" w:type="dxa"/>
            <w:vAlign w:val="center"/>
          </w:tcPr>
          <w:p w14:paraId="436B60E3" w14:textId="77777777" w:rsidR="0024179F" w:rsidRDefault="0024179F" w:rsidP="00E2314B">
            <w:pPr>
              <w:spacing w:after="0" w:line="300" w:lineRule="auto"/>
              <w:jc w:val="right"/>
              <w:rPr>
                <w:color w:val="C00000"/>
              </w:rPr>
            </w:pPr>
            <w:r w:rsidRPr="6973F342">
              <w:rPr>
                <w:color w:val="C00000"/>
              </w:rPr>
              <w:t>739</w:t>
            </w:r>
          </w:p>
        </w:tc>
        <w:tc>
          <w:tcPr>
            <w:tcW w:w="975" w:type="dxa"/>
            <w:vAlign w:val="center"/>
          </w:tcPr>
          <w:p w14:paraId="0970C7E6" w14:textId="77777777" w:rsidR="0024179F" w:rsidRDefault="0024179F" w:rsidP="00E2314B">
            <w:pPr>
              <w:spacing w:after="0" w:line="300" w:lineRule="auto"/>
              <w:jc w:val="right"/>
              <w:rPr>
                <w:color w:val="C00000"/>
              </w:rPr>
            </w:pPr>
            <w:r w:rsidRPr="6973F342">
              <w:rPr>
                <w:color w:val="C00000"/>
              </w:rPr>
              <w:t>417</w:t>
            </w:r>
          </w:p>
        </w:tc>
        <w:tc>
          <w:tcPr>
            <w:tcW w:w="975" w:type="dxa"/>
            <w:vAlign w:val="center"/>
          </w:tcPr>
          <w:p w14:paraId="46B17774" w14:textId="77777777" w:rsidR="0024179F" w:rsidRDefault="0024179F" w:rsidP="00E2314B">
            <w:pPr>
              <w:spacing w:after="0" w:line="300" w:lineRule="auto"/>
              <w:jc w:val="right"/>
              <w:rPr>
                <w:color w:val="C00000"/>
              </w:rPr>
            </w:pPr>
            <w:r w:rsidRPr="6973F342">
              <w:rPr>
                <w:color w:val="C00000"/>
              </w:rPr>
              <w:t>575</w:t>
            </w:r>
          </w:p>
        </w:tc>
        <w:tc>
          <w:tcPr>
            <w:tcW w:w="870" w:type="dxa"/>
            <w:vAlign w:val="center"/>
          </w:tcPr>
          <w:p w14:paraId="21408020" w14:textId="77777777" w:rsidR="0024179F" w:rsidRDefault="0024179F" w:rsidP="00E2314B">
            <w:pPr>
              <w:spacing w:after="0" w:line="300" w:lineRule="auto"/>
              <w:jc w:val="right"/>
              <w:rPr>
                <w:color w:val="C00000"/>
              </w:rPr>
            </w:pPr>
            <w:r w:rsidRPr="6973F342">
              <w:rPr>
                <w:color w:val="C00000"/>
              </w:rPr>
              <w:t>322</w:t>
            </w:r>
          </w:p>
        </w:tc>
        <w:tc>
          <w:tcPr>
            <w:tcW w:w="1106" w:type="dxa"/>
            <w:vAlign w:val="center"/>
          </w:tcPr>
          <w:p w14:paraId="427FFD14" w14:textId="77777777" w:rsidR="0024179F" w:rsidRDefault="0024179F" w:rsidP="00E2314B">
            <w:pPr>
              <w:spacing w:after="0" w:line="300" w:lineRule="auto"/>
              <w:jc w:val="right"/>
              <w:rPr>
                <w:color w:val="C00000"/>
              </w:rPr>
            </w:pPr>
            <w:r w:rsidRPr="6973F342">
              <w:rPr>
                <w:color w:val="C00000"/>
              </w:rPr>
              <w:t>4,539</w:t>
            </w:r>
          </w:p>
        </w:tc>
      </w:tr>
      <w:tr w:rsidR="001C3760" w14:paraId="0FF9FCD3" w14:textId="77777777">
        <w:trPr>
          <w:trHeight w:val="300"/>
        </w:trPr>
        <w:tc>
          <w:tcPr>
            <w:tcW w:w="2220" w:type="dxa"/>
            <w:gridSpan w:val="2"/>
            <w:vAlign w:val="center"/>
          </w:tcPr>
          <w:p w14:paraId="40A2DF3E" w14:textId="77777777" w:rsidR="0024179F" w:rsidRDefault="0024179F" w:rsidP="00E2314B">
            <w:pPr>
              <w:spacing w:after="0" w:line="300" w:lineRule="auto"/>
              <w:rPr>
                <w:b/>
                <w:bCs/>
                <w:color w:val="C00000"/>
              </w:rPr>
            </w:pPr>
            <w:r w:rsidRPr="6973F342">
              <w:rPr>
                <w:b/>
                <w:bCs/>
                <w:color w:val="C00000"/>
              </w:rPr>
              <w:t>72283041000</w:t>
            </w:r>
          </w:p>
          <w:p w14:paraId="435B11A2" w14:textId="77777777" w:rsidR="0024179F" w:rsidRDefault="0024179F" w:rsidP="00E2314B">
            <w:pPr>
              <w:spacing w:after="0" w:line="300" w:lineRule="auto"/>
              <w:rPr>
                <w:color w:val="C00000"/>
              </w:rPr>
            </w:pPr>
            <w:r w:rsidRPr="6973F342">
              <w:rPr>
                <w:color w:val="C00000"/>
              </w:rPr>
              <w:t>HR Bars/Flats &gt;80mm: Bearing Steel</w:t>
            </w:r>
          </w:p>
        </w:tc>
        <w:tc>
          <w:tcPr>
            <w:tcW w:w="975" w:type="dxa"/>
            <w:vAlign w:val="center"/>
          </w:tcPr>
          <w:p w14:paraId="17C051F7" w14:textId="77777777" w:rsidR="0024179F" w:rsidRDefault="0024179F" w:rsidP="00E2314B">
            <w:pPr>
              <w:spacing w:after="0" w:line="300" w:lineRule="auto"/>
              <w:jc w:val="right"/>
              <w:rPr>
                <w:color w:val="C00000"/>
              </w:rPr>
            </w:pPr>
            <w:r w:rsidRPr="6973F342">
              <w:rPr>
                <w:color w:val="C00000"/>
              </w:rPr>
              <w:t>127</w:t>
            </w:r>
          </w:p>
        </w:tc>
        <w:tc>
          <w:tcPr>
            <w:tcW w:w="975" w:type="dxa"/>
            <w:vAlign w:val="center"/>
          </w:tcPr>
          <w:p w14:paraId="4815299A" w14:textId="77777777" w:rsidR="0024179F" w:rsidRDefault="0024179F" w:rsidP="00E2314B">
            <w:pPr>
              <w:spacing w:after="0" w:line="300" w:lineRule="auto"/>
              <w:jc w:val="right"/>
              <w:rPr>
                <w:color w:val="C00000"/>
              </w:rPr>
            </w:pPr>
            <w:r w:rsidRPr="6973F342">
              <w:rPr>
                <w:color w:val="C00000"/>
              </w:rPr>
              <w:t>94</w:t>
            </w:r>
          </w:p>
        </w:tc>
        <w:tc>
          <w:tcPr>
            <w:tcW w:w="1035" w:type="dxa"/>
            <w:vAlign w:val="center"/>
          </w:tcPr>
          <w:p w14:paraId="6EE9CD9D" w14:textId="77777777" w:rsidR="0024179F" w:rsidRDefault="0024179F" w:rsidP="00E2314B">
            <w:pPr>
              <w:spacing w:after="0" w:line="300" w:lineRule="auto"/>
              <w:jc w:val="right"/>
              <w:rPr>
                <w:color w:val="C00000"/>
              </w:rPr>
            </w:pPr>
            <w:r w:rsidRPr="6973F342">
              <w:rPr>
                <w:color w:val="C00000"/>
              </w:rPr>
              <w:t>95</w:t>
            </w:r>
          </w:p>
        </w:tc>
        <w:tc>
          <w:tcPr>
            <w:tcW w:w="975" w:type="dxa"/>
            <w:vAlign w:val="center"/>
          </w:tcPr>
          <w:p w14:paraId="1A81E39E" w14:textId="77777777" w:rsidR="0024179F" w:rsidRDefault="0024179F" w:rsidP="00E2314B">
            <w:pPr>
              <w:spacing w:after="0" w:line="300" w:lineRule="auto"/>
              <w:jc w:val="right"/>
              <w:rPr>
                <w:color w:val="C00000"/>
              </w:rPr>
            </w:pPr>
            <w:r w:rsidRPr="6973F342">
              <w:rPr>
                <w:color w:val="C00000"/>
              </w:rPr>
              <w:t>88</w:t>
            </w:r>
          </w:p>
        </w:tc>
        <w:tc>
          <w:tcPr>
            <w:tcW w:w="975" w:type="dxa"/>
            <w:vAlign w:val="center"/>
          </w:tcPr>
          <w:p w14:paraId="0405E750" w14:textId="77777777" w:rsidR="0024179F" w:rsidRDefault="0024179F" w:rsidP="00E2314B">
            <w:pPr>
              <w:spacing w:after="0" w:line="300" w:lineRule="auto"/>
              <w:jc w:val="right"/>
              <w:rPr>
                <w:color w:val="C00000"/>
              </w:rPr>
            </w:pPr>
            <w:r w:rsidRPr="6973F342">
              <w:rPr>
                <w:color w:val="C00000"/>
              </w:rPr>
              <w:t>45</w:t>
            </w:r>
          </w:p>
        </w:tc>
        <w:tc>
          <w:tcPr>
            <w:tcW w:w="870" w:type="dxa"/>
            <w:vAlign w:val="center"/>
          </w:tcPr>
          <w:p w14:paraId="7187A367" w14:textId="77777777" w:rsidR="0024179F" w:rsidRDefault="0024179F" w:rsidP="00E2314B">
            <w:pPr>
              <w:spacing w:after="0" w:line="300" w:lineRule="auto"/>
              <w:jc w:val="right"/>
              <w:rPr>
                <w:color w:val="C00000"/>
              </w:rPr>
            </w:pPr>
            <w:r w:rsidRPr="6973F342">
              <w:rPr>
                <w:color w:val="C00000"/>
              </w:rPr>
              <w:t>58</w:t>
            </w:r>
          </w:p>
        </w:tc>
        <w:tc>
          <w:tcPr>
            <w:tcW w:w="1106" w:type="dxa"/>
            <w:vAlign w:val="center"/>
          </w:tcPr>
          <w:p w14:paraId="7B94A139" w14:textId="77777777" w:rsidR="0024179F" w:rsidRDefault="0024179F" w:rsidP="00E2314B">
            <w:pPr>
              <w:spacing w:after="0" w:line="300" w:lineRule="auto"/>
              <w:jc w:val="right"/>
              <w:rPr>
                <w:color w:val="C00000"/>
              </w:rPr>
            </w:pPr>
            <w:r w:rsidRPr="6973F342">
              <w:rPr>
                <w:color w:val="C00000"/>
              </w:rPr>
              <w:t>507</w:t>
            </w:r>
          </w:p>
        </w:tc>
      </w:tr>
      <w:tr w:rsidR="001C3760" w14:paraId="01CFAC61" w14:textId="77777777">
        <w:trPr>
          <w:trHeight w:val="300"/>
        </w:trPr>
        <w:tc>
          <w:tcPr>
            <w:tcW w:w="2220" w:type="dxa"/>
            <w:gridSpan w:val="2"/>
            <w:vAlign w:val="center"/>
          </w:tcPr>
          <w:p w14:paraId="0464DA89" w14:textId="77777777" w:rsidR="0024179F" w:rsidRDefault="0024179F" w:rsidP="00E2314B">
            <w:pPr>
              <w:spacing w:after="0" w:line="300" w:lineRule="auto"/>
              <w:rPr>
                <w:b/>
                <w:bCs/>
                <w:color w:val="C00000"/>
              </w:rPr>
            </w:pPr>
            <w:r w:rsidRPr="6973F342">
              <w:rPr>
                <w:b/>
                <w:bCs/>
                <w:color w:val="C00000"/>
              </w:rPr>
              <w:t>72283069000</w:t>
            </w:r>
          </w:p>
          <w:p w14:paraId="2C206FDF" w14:textId="77777777" w:rsidR="0024179F" w:rsidRDefault="0024179F" w:rsidP="00E2314B">
            <w:pPr>
              <w:spacing w:after="0" w:line="300" w:lineRule="auto"/>
              <w:rPr>
                <w:color w:val="C00000"/>
              </w:rPr>
            </w:pPr>
            <w:r w:rsidRPr="6973F342">
              <w:rPr>
                <w:color w:val="C00000"/>
              </w:rPr>
              <w:t>HR Rounds &lt;80mm: Alloy Engineering Steel</w:t>
            </w:r>
          </w:p>
        </w:tc>
        <w:tc>
          <w:tcPr>
            <w:tcW w:w="975" w:type="dxa"/>
            <w:vAlign w:val="center"/>
          </w:tcPr>
          <w:p w14:paraId="73707708" w14:textId="77777777" w:rsidR="0024179F" w:rsidRDefault="0024179F" w:rsidP="00E2314B">
            <w:pPr>
              <w:spacing w:after="0" w:line="300" w:lineRule="auto"/>
              <w:jc w:val="right"/>
              <w:rPr>
                <w:color w:val="C00000"/>
              </w:rPr>
            </w:pPr>
            <w:r w:rsidRPr="6973F342">
              <w:rPr>
                <w:color w:val="C00000"/>
              </w:rPr>
              <w:t>17,388</w:t>
            </w:r>
          </w:p>
        </w:tc>
        <w:tc>
          <w:tcPr>
            <w:tcW w:w="975" w:type="dxa"/>
            <w:vAlign w:val="center"/>
          </w:tcPr>
          <w:p w14:paraId="3C935083" w14:textId="77777777" w:rsidR="0024179F" w:rsidRDefault="0024179F" w:rsidP="00E2314B">
            <w:pPr>
              <w:spacing w:after="0" w:line="300" w:lineRule="auto"/>
              <w:jc w:val="right"/>
              <w:rPr>
                <w:color w:val="C00000"/>
              </w:rPr>
            </w:pPr>
            <w:r w:rsidRPr="6973F342">
              <w:rPr>
                <w:color w:val="C00000"/>
              </w:rPr>
              <w:t>33,898</w:t>
            </w:r>
          </w:p>
        </w:tc>
        <w:tc>
          <w:tcPr>
            <w:tcW w:w="1035" w:type="dxa"/>
            <w:vAlign w:val="center"/>
          </w:tcPr>
          <w:p w14:paraId="7A848CED" w14:textId="77777777" w:rsidR="0024179F" w:rsidRDefault="0024179F" w:rsidP="00E2314B">
            <w:pPr>
              <w:spacing w:after="0" w:line="300" w:lineRule="auto"/>
              <w:jc w:val="right"/>
              <w:rPr>
                <w:color w:val="C00000"/>
              </w:rPr>
            </w:pPr>
            <w:r w:rsidRPr="6973F342">
              <w:rPr>
                <w:color w:val="C00000"/>
              </w:rPr>
              <w:t>22,079</w:t>
            </w:r>
          </w:p>
        </w:tc>
        <w:tc>
          <w:tcPr>
            <w:tcW w:w="975" w:type="dxa"/>
            <w:vAlign w:val="center"/>
          </w:tcPr>
          <w:p w14:paraId="4A1F4A0C" w14:textId="77777777" w:rsidR="0024179F" w:rsidRDefault="0024179F" w:rsidP="00E2314B">
            <w:pPr>
              <w:spacing w:after="0" w:line="300" w:lineRule="auto"/>
              <w:jc w:val="right"/>
              <w:rPr>
                <w:color w:val="C00000"/>
              </w:rPr>
            </w:pPr>
            <w:r w:rsidRPr="6973F342">
              <w:rPr>
                <w:color w:val="C00000"/>
              </w:rPr>
              <w:t>15,507</w:t>
            </w:r>
          </w:p>
        </w:tc>
        <w:tc>
          <w:tcPr>
            <w:tcW w:w="975" w:type="dxa"/>
            <w:vAlign w:val="center"/>
          </w:tcPr>
          <w:p w14:paraId="2D688235" w14:textId="77777777" w:rsidR="0024179F" w:rsidRDefault="0024179F" w:rsidP="00E2314B">
            <w:pPr>
              <w:spacing w:after="0" w:line="300" w:lineRule="auto"/>
              <w:jc w:val="right"/>
              <w:rPr>
                <w:color w:val="C00000"/>
              </w:rPr>
            </w:pPr>
            <w:r w:rsidRPr="6973F342">
              <w:rPr>
                <w:color w:val="C00000"/>
              </w:rPr>
              <w:t>12,347</w:t>
            </w:r>
          </w:p>
        </w:tc>
        <w:tc>
          <w:tcPr>
            <w:tcW w:w="870" w:type="dxa"/>
            <w:vAlign w:val="center"/>
          </w:tcPr>
          <w:p w14:paraId="1D57E88C" w14:textId="77777777" w:rsidR="0024179F" w:rsidRDefault="0024179F" w:rsidP="00E2314B">
            <w:pPr>
              <w:spacing w:after="0" w:line="300" w:lineRule="auto"/>
              <w:jc w:val="right"/>
              <w:rPr>
                <w:color w:val="C00000"/>
              </w:rPr>
            </w:pPr>
            <w:r w:rsidRPr="6973F342">
              <w:rPr>
                <w:color w:val="C00000"/>
              </w:rPr>
              <w:t>9,414</w:t>
            </w:r>
          </w:p>
        </w:tc>
        <w:tc>
          <w:tcPr>
            <w:tcW w:w="1106" w:type="dxa"/>
            <w:vAlign w:val="center"/>
          </w:tcPr>
          <w:p w14:paraId="50810CAA" w14:textId="77777777" w:rsidR="0024179F" w:rsidRDefault="0024179F" w:rsidP="00E2314B">
            <w:pPr>
              <w:spacing w:after="0" w:line="300" w:lineRule="auto"/>
              <w:jc w:val="right"/>
              <w:rPr>
                <w:color w:val="C00000"/>
              </w:rPr>
            </w:pPr>
            <w:r w:rsidRPr="6973F342">
              <w:rPr>
                <w:color w:val="C00000"/>
              </w:rPr>
              <w:t>110,633</w:t>
            </w:r>
          </w:p>
        </w:tc>
      </w:tr>
      <w:tr w:rsidR="001C3760" w14:paraId="16EB3AA1" w14:textId="77777777">
        <w:trPr>
          <w:trHeight w:val="300"/>
        </w:trPr>
        <w:tc>
          <w:tcPr>
            <w:tcW w:w="2220" w:type="dxa"/>
            <w:gridSpan w:val="2"/>
            <w:vAlign w:val="center"/>
          </w:tcPr>
          <w:p w14:paraId="1714B7D1" w14:textId="77777777" w:rsidR="0024179F" w:rsidRPr="0024179F" w:rsidRDefault="0024179F" w:rsidP="00E2314B">
            <w:pPr>
              <w:spacing w:after="0" w:line="300" w:lineRule="auto"/>
              <w:rPr>
                <w:b/>
                <w:bCs/>
                <w:color w:val="FF0000"/>
                <w:highlight w:val="yellow"/>
              </w:rPr>
            </w:pPr>
            <w:r w:rsidRPr="0024179F">
              <w:rPr>
                <w:b/>
                <w:bCs/>
                <w:color w:val="FF0000"/>
                <w:highlight w:val="yellow"/>
              </w:rPr>
              <w:t>72283070000</w:t>
            </w:r>
          </w:p>
          <w:p w14:paraId="10DC97B6" w14:textId="77777777" w:rsidR="0024179F" w:rsidRPr="0024179F" w:rsidRDefault="0024179F" w:rsidP="00E2314B">
            <w:pPr>
              <w:spacing w:after="0" w:line="300" w:lineRule="auto"/>
              <w:rPr>
                <w:color w:val="FF0000"/>
                <w:highlight w:val="yellow"/>
              </w:rPr>
            </w:pPr>
            <w:r w:rsidRPr="0024179F">
              <w:rPr>
                <w:color w:val="FF0000"/>
                <w:highlight w:val="yellow"/>
              </w:rPr>
              <w:t>HR Flats: Alloy Engineering Steel</w:t>
            </w:r>
          </w:p>
        </w:tc>
        <w:tc>
          <w:tcPr>
            <w:tcW w:w="975" w:type="dxa"/>
            <w:vAlign w:val="center"/>
          </w:tcPr>
          <w:p w14:paraId="79B4CFDF" w14:textId="77777777" w:rsidR="0024179F" w:rsidRPr="0024179F" w:rsidRDefault="0024179F" w:rsidP="00E2314B">
            <w:pPr>
              <w:spacing w:after="0" w:line="300" w:lineRule="auto"/>
              <w:jc w:val="right"/>
              <w:rPr>
                <w:color w:val="FF0000"/>
                <w:highlight w:val="yellow"/>
              </w:rPr>
            </w:pPr>
            <w:r w:rsidRPr="0024179F">
              <w:rPr>
                <w:color w:val="FF0000"/>
                <w:highlight w:val="yellow"/>
              </w:rPr>
              <w:t>4,143</w:t>
            </w:r>
          </w:p>
        </w:tc>
        <w:tc>
          <w:tcPr>
            <w:tcW w:w="975" w:type="dxa"/>
            <w:vAlign w:val="center"/>
          </w:tcPr>
          <w:p w14:paraId="2897850A" w14:textId="77777777" w:rsidR="0024179F" w:rsidRPr="0024179F" w:rsidRDefault="0024179F" w:rsidP="00E2314B">
            <w:pPr>
              <w:spacing w:after="0" w:line="300" w:lineRule="auto"/>
              <w:jc w:val="right"/>
              <w:rPr>
                <w:color w:val="FF0000"/>
                <w:highlight w:val="yellow"/>
              </w:rPr>
            </w:pPr>
            <w:r w:rsidRPr="0024179F">
              <w:rPr>
                <w:color w:val="FF0000"/>
                <w:highlight w:val="yellow"/>
              </w:rPr>
              <w:t>3,824</w:t>
            </w:r>
          </w:p>
        </w:tc>
        <w:tc>
          <w:tcPr>
            <w:tcW w:w="1035" w:type="dxa"/>
            <w:vAlign w:val="center"/>
          </w:tcPr>
          <w:p w14:paraId="57D7A12E" w14:textId="77777777" w:rsidR="0024179F" w:rsidRPr="0024179F" w:rsidRDefault="0024179F" w:rsidP="00E2314B">
            <w:pPr>
              <w:spacing w:after="0" w:line="300" w:lineRule="auto"/>
              <w:jc w:val="right"/>
              <w:rPr>
                <w:color w:val="FF0000"/>
                <w:highlight w:val="yellow"/>
              </w:rPr>
            </w:pPr>
            <w:r w:rsidRPr="0024179F">
              <w:rPr>
                <w:color w:val="FF0000"/>
                <w:highlight w:val="yellow"/>
              </w:rPr>
              <w:t>11,515</w:t>
            </w:r>
          </w:p>
        </w:tc>
        <w:tc>
          <w:tcPr>
            <w:tcW w:w="975" w:type="dxa"/>
            <w:vAlign w:val="center"/>
          </w:tcPr>
          <w:p w14:paraId="064F45AB" w14:textId="77777777" w:rsidR="0024179F" w:rsidRPr="0024179F" w:rsidRDefault="0024179F" w:rsidP="00E2314B">
            <w:pPr>
              <w:spacing w:after="0" w:line="300" w:lineRule="auto"/>
              <w:jc w:val="right"/>
              <w:rPr>
                <w:color w:val="FF0000"/>
                <w:highlight w:val="yellow"/>
              </w:rPr>
            </w:pPr>
            <w:r w:rsidRPr="0024179F">
              <w:rPr>
                <w:color w:val="FF0000"/>
                <w:highlight w:val="yellow"/>
              </w:rPr>
              <w:t>10,436</w:t>
            </w:r>
          </w:p>
        </w:tc>
        <w:tc>
          <w:tcPr>
            <w:tcW w:w="975" w:type="dxa"/>
            <w:vAlign w:val="center"/>
          </w:tcPr>
          <w:p w14:paraId="2A307070" w14:textId="77777777" w:rsidR="0024179F" w:rsidRPr="0024179F" w:rsidRDefault="0024179F" w:rsidP="00E2314B">
            <w:pPr>
              <w:spacing w:after="0" w:line="300" w:lineRule="auto"/>
              <w:jc w:val="right"/>
              <w:rPr>
                <w:color w:val="FF0000"/>
                <w:highlight w:val="yellow"/>
              </w:rPr>
            </w:pPr>
            <w:r w:rsidRPr="0024179F">
              <w:rPr>
                <w:color w:val="FF0000"/>
                <w:highlight w:val="yellow"/>
              </w:rPr>
              <w:t>11,156</w:t>
            </w:r>
          </w:p>
        </w:tc>
        <w:tc>
          <w:tcPr>
            <w:tcW w:w="870" w:type="dxa"/>
            <w:vAlign w:val="center"/>
          </w:tcPr>
          <w:p w14:paraId="1F563ED3" w14:textId="77777777" w:rsidR="0024179F" w:rsidRPr="0024179F" w:rsidRDefault="0024179F" w:rsidP="00E2314B">
            <w:pPr>
              <w:spacing w:after="0" w:line="300" w:lineRule="auto"/>
              <w:jc w:val="right"/>
              <w:rPr>
                <w:color w:val="FF0000"/>
                <w:highlight w:val="yellow"/>
              </w:rPr>
            </w:pPr>
            <w:r w:rsidRPr="0024179F">
              <w:rPr>
                <w:color w:val="FF0000"/>
                <w:highlight w:val="yellow"/>
              </w:rPr>
              <w:t>11,303</w:t>
            </w:r>
          </w:p>
        </w:tc>
        <w:tc>
          <w:tcPr>
            <w:tcW w:w="1106" w:type="dxa"/>
            <w:vAlign w:val="center"/>
          </w:tcPr>
          <w:p w14:paraId="4AB4D8BA" w14:textId="77777777" w:rsidR="0024179F" w:rsidRPr="0024179F" w:rsidRDefault="0024179F" w:rsidP="00E2314B">
            <w:pPr>
              <w:spacing w:after="0" w:line="300" w:lineRule="auto"/>
              <w:jc w:val="right"/>
              <w:rPr>
                <w:color w:val="FF0000"/>
                <w:highlight w:val="yellow"/>
              </w:rPr>
            </w:pPr>
            <w:r w:rsidRPr="0024179F">
              <w:rPr>
                <w:color w:val="FF0000"/>
                <w:highlight w:val="yellow"/>
              </w:rPr>
              <w:t>52,377</w:t>
            </w:r>
          </w:p>
        </w:tc>
      </w:tr>
      <w:tr w:rsidR="001C3760" w14:paraId="2C4B678D" w14:textId="77777777">
        <w:trPr>
          <w:trHeight w:val="300"/>
        </w:trPr>
        <w:tc>
          <w:tcPr>
            <w:tcW w:w="2220" w:type="dxa"/>
            <w:gridSpan w:val="2"/>
            <w:vAlign w:val="center"/>
          </w:tcPr>
          <w:p w14:paraId="5934EAE8" w14:textId="77777777" w:rsidR="0024179F" w:rsidRDefault="0024179F" w:rsidP="00E2314B">
            <w:pPr>
              <w:spacing w:after="0" w:line="300" w:lineRule="auto"/>
              <w:rPr>
                <w:b/>
                <w:bCs/>
                <w:color w:val="3A7C22" w:themeColor="accent6" w:themeShade="BF"/>
              </w:rPr>
            </w:pPr>
            <w:r w:rsidRPr="6973F342">
              <w:rPr>
                <w:b/>
                <w:bCs/>
                <w:color w:val="3A7C22" w:themeColor="accent6" w:themeShade="BF"/>
              </w:rPr>
              <w:t>72283089000</w:t>
            </w:r>
          </w:p>
          <w:p w14:paraId="5E24BDDE" w14:textId="77777777" w:rsidR="0024179F" w:rsidRDefault="0024179F" w:rsidP="00E2314B">
            <w:pPr>
              <w:spacing w:after="0" w:line="300" w:lineRule="auto"/>
              <w:rPr>
                <w:color w:val="3A7C22" w:themeColor="accent6" w:themeShade="BF"/>
              </w:rPr>
            </w:pPr>
            <w:r w:rsidRPr="6973F342">
              <w:rPr>
                <w:color w:val="3A7C22" w:themeColor="accent6" w:themeShade="BF"/>
              </w:rPr>
              <w:t>Other HR Bars: Other Alloy Steel</w:t>
            </w:r>
          </w:p>
        </w:tc>
        <w:tc>
          <w:tcPr>
            <w:tcW w:w="975" w:type="dxa"/>
            <w:vAlign w:val="center"/>
          </w:tcPr>
          <w:p w14:paraId="4294C397" w14:textId="77777777" w:rsidR="0024179F" w:rsidRDefault="0024179F" w:rsidP="00E2314B">
            <w:pPr>
              <w:spacing w:after="0" w:line="300" w:lineRule="auto"/>
              <w:jc w:val="right"/>
              <w:rPr>
                <w:color w:val="3A7C22" w:themeColor="accent6" w:themeShade="BF"/>
              </w:rPr>
            </w:pPr>
            <w:r w:rsidRPr="6973F342">
              <w:rPr>
                <w:color w:val="3A7C22" w:themeColor="accent6" w:themeShade="BF"/>
              </w:rPr>
              <w:t>747</w:t>
            </w:r>
          </w:p>
        </w:tc>
        <w:tc>
          <w:tcPr>
            <w:tcW w:w="975" w:type="dxa"/>
            <w:vAlign w:val="center"/>
          </w:tcPr>
          <w:p w14:paraId="60205ECE" w14:textId="77777777" w:rsidR="0024179F" w:rsidRDefault="0024179F" w:rsidP="00E2314B">
            <w:pPr>
              <w:spacing w:after="0" w:line="300" w:lineRule="auto"/>
              <w:jc w:val="right"/>
              <w:rPr>
                <w:color w:val="3A7C22" w:themeColor="accent6" w:themeShade="BF"/>
              </w:rPr>
            </w:pPr>
            <w:r w:rsidRPr="6973F342">
              <w:rPr>
                <w:color w:val="3A7C22" w:themeColor="accent6" w:themeShade="BF"/>
              </w:rPr>
              <w:t>533</w:t>
            </w:r>
          </w:p>
        </w:tc>
        <w:tc>
          <w:tcPr>
            <w:tcW w:w="1035" w:type="dxa"/>
            <w:vAlign w:val="center"/>
          </w:tcPr>
          <w:p w14:paraId="54E1F4B4" w14:textId="77777777" w:rsidR="0024179F" w:rsidRDefault="0024179F" w:rsidP="00E2314B">
            <w:pPr>
              <w:spacing w:after="0" w:line="300" w:lineRule="auto"/>
              <w:jc w:val="right"/>
              <w:rPr>
                <w:color w:val="3A7C22" w:themeColor="accent6" w:themeShade="BF"/>
              </w:rPr>
            </w:pPr>
            <w:r w:rsidRPr="6973F342">
              <w:rPr>
                <w:color w:val="3A7C22" w:themeColor="accent6" w:themeShade="BF"/>
              </w:rPr>
              <w:t>2,108</w:t>
            </w:r>
          </w:p>
        </w:tc>
        <w:tc>
          <w:tcPr>
            <w:tcW w:w="975" w:type="dxa"/>
            <w:vAlign w:val="center"/>
          </w:tcPr>
          <w:p w14:paraId="7B757E7F" w14:textId="77777777" w:rsidR="0024179F" w:rsidRDefault="0024179F" w:rsidP="00E2314B">
            <w:pPr>
              <w:spacing w:after="0" w:line="300" w:lineRule="auto"/>
              <w:jc w:val="right"/>
              <w:rPr>
                <w:color w:val="3A7C22" w:themeColor="accent6" w:themeShade="BF"/>
              </w:rPr>
            </w:pPr>
            <w:r w:rsidRPr="6973F342">
              <w:rPr>
                <w:color w:val="3A7C22" w:themeColor="accent6" w:themeShade="BF"/>
              </w:rPr>
              <w:t>356</w:t>
            </w:r>
          </w:p>
        </w:tc>
        <w:tc>
          <w:tcPr>
            <w:tcW w:w="975" w:type="dxa"/>
            <w:vAlign w:val="center"/>
          </w:tcPr>
          <w:p w14:paraId="6582B78F" w14:textId="77777777" w:rsidR="0024179F" w:rsidRDefault="0024179F" w:rsidP="00E2314B">
            <w:pPr>
              <w:spacing w:after="0" w:line="300" w:lineRule="auto"/>
              <w:jc w:val="right"/>
              <w:rPr>
                <w:color w:val="3A7C22" w:themeColor="accent6" w:themeShade="BF"/>
              </w:rPr>
            </w:pPr>
            <w:r w:rsidRPr="6973F342">
              <w:rPr>
                <w:color w:val="3A7C22" w:themeColor="accent6" w:themeShade="BF"/>
              </w:rPr>
              <w:t>738</w:t>
            </w:r>
          </w:p>
        </w:tc>
        <w:tc>
          <w:tcPr>
            <w:tcW w:w="870" w:type="dxa"/>
            <w:vAlign w:val="center"/>
          </w:tcPr>
          <w:p w14:paraId="62C8D8AA" w14:textId="77777777" w:rsidR="0024179F" w:rsidRDefault="0024179F" w:rsidP="00E2314B">
            <w:pPr>
              <w:spacing w:after="0" w:line="300" w:lineRule="auto"/>
              <w:jc w:val="right"/>
              <w:rPr>
                <w:color w:val="3A7C22" w:themeColor="accent6" w:themeShade="BF"/>
              </w:rPr>
            </w:pPr>
            <w:r w:rsidRPr="6973F342">
              <w:rPr>
                <w:color w:val="3A7C22" w:themeColor="accent6" w:themeShade="BF"/>
              </w:rPr>
              <w:t>791</w:t>
            </w:r>
          </w:p>
        </w:tc>
        <w:tc>
          <w:tcPr>
            <w:tcW w:w="1106" w:type="dxa"/>
            <w:vAlign w:val="center"/>
          </w:tcPr>
          <w:p w14:paraId="4E2CEB4A" w14:textId="77777777" w:rsidR="0024179F" w:rsidRDefault="0024179F" w:rsidP="00E2314B">
            <w:pPr>
              <w:spacing w:after="0" w:line="300" w:lineRule="auto"/>
              <w:jc w:val="right"/>
              <w:rPr>
                <w:color w:val="3A7C22" w:themeColor="accent6" w:themeShade="BF"/>
              </w:rPr>
            </w:pPr>
            <w:r w:rsidRPr="6973F342">
              <w:rPr>
                <w:color w:val="3A7C22" w:themeColor="accent6" w:themeShade="BF"/>
              </w:rPr>
              <w:t>5,273</w:t>
            </w:r>
          </w:p>
        </w:tc>
      </w:tr>
      <w:tr w:rsidR="001C3760" w14:paraId="2763DC53" w14:textId="77777777">
        <w:trPr>
          <w:trHeight w:val="300"/>
        </w:trPr>
        <w:tc>
          <w:tcPr>
            <w:tcW w:w="2220" w:type="dxa"/>
            <w:gridSpan w:val="2"/>
            <w:vAlign w:val="center"/>
          </w:tcPr>
          <w:p w14:paraId="63D054C0" w14:textId="77777777" w:rsidR="0024179F" w:rsidRDefault="0024179F" w:rsidP="00E2314B">
            <w:pPr>
              <w:spacing w:after="0" w:line="300" w:lineRule="auto"/>
              <w:rPr>
                <w:b/>
                <w:bCs/>
                <w:color w:val="C00000"/>
              </w:rPr>
            </w:pPr>
            <w:r w:rsidRPr="6973F342">
              <w:rPr>
                <w:b/>
                <w:bCs/>
                <w:color w:val="C00000"/>
              </w:rPr>
              <w:t>72286020000</w:t>
            </w:r>
          </w:p>
          <w:p w14:paraId="4A50435C" w14:textId="77777777" w:rsidR="0024179F" w:rsidRDefault="0024179F" w:rsidP="00E2314B">
            <w:pPr>
              <w:spacing w:after="0" w:line="300" w:lineRule="auto"/>
              <w:rPr>
                <w:color w:val="C00000"/>
              </w:rPr>
            </w:pPr>
            <w:r w:rsidRPr="6973F342">
              <w:rPr>
                <w:color w:val="C00000"/>
              </w:rPr>
              <w:t>Forged/Worked Bars/Flats: Tool Steel</w:t>
            </w:r>
          </w:p>
        </w:tc>
        <w:tc>
          <w:tcPr>
            <w:tcW w:w="975" w:type="dxa"/>
            <w:vAlign w:val="center"/>
          </w:tcPr>
          <w:p w14:paraId="0434F2B2" w14:textId="77777777" w:rsidR="0024179F" w:rsidRDefault="0024179F" w:rsidP="00E2314B">
            <w:pPr>
              <w:spacing w:after="0" w:line="300" w:lineRule="auto"/>
              <w:jc w:val="right"/>
              <w:rPr>
                <w:color w:val="C00000"/>
              </w:rPr>
            </w:pPr>
            <w:r w:rsidRPr="6973F342">
              <w:rPr>
                <w:color w:val="C00000"/>
              </w:rPr>
              <w:t>334</w:t>
            </w:r>
          </w:p>
        </w:tc>
        <w:tc>
          <w:tcPr>
            <w:tcW w:w="975" w:type="dxa"/>
            <w:vAlign w:val="center"/>
          </w:tcPr>
          <w:p w14:paraId="7E4F5B12" w14:textId="77777777" w:rsidR="0024179F" w:rsidRDefault="0024179F" w:rsidP="00E2314B">
            <w:pPr>
              <w:spacing w:after="0" w:line="300" w:lineRule="auto"/>
              <w:jc w:val="right"/>
              <w:rPr>
                <w:color w:val="C00000"/>
              </w:rPr>
            </w:pPr>
            <w:r w:rsidRPr="6973F342">
              <w:rPr>
                <w:color w:val="C00000"/>
              </w:rPr>
              <w:t>318</w:t>
            </w:r>
          </w:p>
        </w:tc>
        <w:tc>
          <w:tcPr>
            <w:tcW w:w="1035" w:type="dxa"/>
            <w:vAlign w:val="center"/>
          </w:tcPr>
          <w:p w14:paraId="4565BB86" w14:textId="77777777" w:rsidR="0024179F" w:rsidRDefault="0024179F" w:rsidP="00E2314B">
            <w:pPr>
              <w:spacing w:after="0" w:line="300" w:lineRule="auto"/>
              <w:jc w:val="right"/>
              <w:rPr>
                <w:color w:val="C00000"/>
              </w:rPr>
            </w:pPr>
            <w:r w:rsidRPr="6973F342">
              <w:rPr>
                <w:color w:val="C00000"/>
              </w:rPr>
              <w:t>22</w:t>
            </w:r>
          </w:p>
        </w:tc>
        <w:tc>
          <w:tcPr>
            <w:tcW w:w="975" w:type="dxa"/>
            <w:vAlign w:val="center"/>
          </w:tcPr>
          <w:p w14:paraId="6AD7D26D" w14:textId="77777777" w:rsidR="0024179F" w:rsidRDefault="0024179F" w:rsidP="00E2314B">
            <w:pPr>
              <w:spacing w:after="0" w:line="300" w:lineRule="auto"/>
              <w:jc w:val="right"/>
              <w:rPr>
                <w:color w:val="C00000"/>
              </w:rPr>
            </w:pPr>
            <w:r w:rsidRPr="6973F342">
              <w:rPr>
                <w:color w:val="C00000"/>
              </w:rPr>
              <w:t>630</w:t>
            </w:r>
          </w:p>
        </w:tc>
        <w:tc>
          <w:tcPr>
            <w:tcW w:w="975" w:type="dxa"/>
            <w:vAlign w:val="center"/>
          </w:tcPr>
          <w:p w14:paraId="74B09C20" w14:textId="77777777" w:rsidR="0024179F" w:rsidRDefault="0024179F" w:rsidP="00E2314B">
            <w:pPr>
              <w:spacing w:after="0" w:line="300" w:lineRule="auto"/>
              <w:jc w:val="right"/>
              <w:rPr>
                <w:color w:val="C00000"/>
              </w:rPr>
            </w:pPr>
            <w:r w:rsidRPr="6973F342">
              <w:rPr>
                <w:color w:val="C00000"/>
              </w:rPr>
              <w:t>31</w:t>
            </w:r>
          </w:p>
        </w:tc>
        <w:tc>
          <w:tcPr>
            <w:tcW w:w="870" w:type="dxa"/>
            <w:vAlign w:val="center"/>
          </w:tcPr>
          <w:p w14:paraId="366273A2" w14:textId="77777777" w:rsidR="0024179F" w:rsidRDefault="0024179F" w:rsidP="00E2314B">
            <w:pPr>
              <w:spacing w:after="0" w:line="300" w:lineRule="auto"/>
              <w:jc w:val="right"/>
              <w:rPr>
                <w:color w:val="C00000"/>
              </w:rPr>
            </w:pPr>
            <w:r w:rsidRPr="6973F342">
              <w:rPr>
                <w:color w:val="C00000"/>
              </w:rPr>
              <w:t>221</w:t>
            </w:r>
          </w:p>
        </w:tc>
        <w:tc>
          <w:tcPr>
            <w:tcW w:w="1106" w:type="dxa"/>
            <w:vAlign w:val="center"/>
          </w:tcPr>
          <w:p w14:paraId="79FAD900" w14:textId="77777777" w:rsidR="0024179F" w:rsidRDefault="0024179F" w:rsidP="00E2314B">
            <w:pPr>
              <w:spacing w:after="0" w:line="300" w:lineRule="auto"/>
              <w:jc w:val="right"/>
              <w:rPr>
                <w:color w:val="C00000"/>
              </w:rPr>
            </w:pPr>
            <w:r w:rsidRPr="6973F342">
              <w:rPr>
                <w:color w:val="C00000"/>
              </w:rPr>
              <w:t>1,556</w:t>
            </w:r>
          </w:p>
        </w:tc>
      </w:tr>
      <w:tr w:rsidR="001C3760" w14:paraId="5B69B601" w14:textId="77777777">
        <w:trPr>
          <w:trHeight w:val="300"/>
        </w:trPr>
        <w:tc>
          <w:tcPr>
            <w:tcW w:w="2220" w:type="dxa"/>
            <w:gridSpan w:val="2"/>
            <w:vAlign w:val="center"/>
          </w:tcPr>
          <w:p w14:paraId="3D08116D" w14:textId="77777777" w:rsidR="0024179F" w:rsidRDefault="0024179F" w:rsidP="00E2314B">
            <w:pPr>
              <w:spacing w:after="0" w:line="300" w:lineRule="auto"/>
              <w:rPr>
                <w:b/>
                <w:bCs/>
                <w:color w:val="275317" w:themeColor="accent6" w:themeShade="80"/>
              </w:rPr>
            </w:pPr>
            <w:r w:rsidRPr="6973F342">
              <w:rPr>
                <w:b/>
                <w:bCs/>
                <w:color w:val="275317" w:themeColor="accent6" w:themeShade="80"/>
              </w:rPr>
              <w:t>72287010000</w:t>
            </w:r>
          </w:p>
          <w:p w14:paraId="7991620E" w14:textId="77777777" w:rsidR="0024179F" w:rsidRDefault="0024179F" w:rsidP="00E2314B">
            <w:pPr>
              <w:spacing w:after="0" w:line="300" w:lineRule="auto"/>
              <w:rPr>
                <w:color w:val="275317" w:themeColor="accent6" w:themeShade="80"/>
              </w:rPr>
            </w:pPr>
            <w:r w:rsidRPr="6973F342">
              <w:rPr>
                <w:color w:val="275317" w:themeColor="accent6" w:themeShade="80"/>
              </w:rPr>
              <w:t>Hot-Rolled Sections: Alloy Steel</w:t>
            </w:r>
          </w:p>
        </w:tc>
        <w:tc>
          <w:tcPr>
            <w:tcW w:w="975" w:type="dxa"/>
            <w:vAlign w:val="center"/>
          </w:tcPr>
          <w:p w14:paraId="596B9CA9" w14:textId="77777777" w:rsidR="0024179F" w:rsidRDefault="0024179F" w:rsidP="00E2314B">
            <w:pPr>
              <w:spacing w:after="0" w:line="300" w:lineRule="auto"/>
              <w:jc w:val="right"/>
              <w:rPr>
                <w:color w:val="275317" w:themeColor="accent6" w:themeShade="80"/>
              </w:rPr>
            </w:pPr>
            <w:r w:rsidRPr="6973F342">
              <w:rPr>
                <w:color w:val="275317" w:themeColor="accent6" w:themeShade="80"/>
              </w:rPr>
              <w:t>2,471</w:t>
            </w:r>
          </w:p>
        </w:tc>
        <w:tc>
          <w:tcPr>
            <w:tcW w:w="975" w:type="dxa"/>
            <w:vAlign w:val="center"/>
          </w:tcPr>
          <w:p w14:paraId="1065D6B0" w14:textId="77777777" w:rsidR="0024179F" w:rsidRDefault="0024179F" w:rsidP="00E2314B">
            <w:pPr>
              <w:spacing w:after="0" w:line="300" w:lineRule="auto"/>
              <w:jc w:val="right"/>
              <w:rPr>
                <w:color w:val="275317" w:themeColor="accent6" w:themeShade="80"/>
              </w:rPr>
            </w:pPr>
            <w:r w:rsidRPr="6973F342">
              <w:rPr>
                <w:color w:val="275317" w:themeColor="accent6" w:themeShade="80"/>
              </w:rPr>
              <w:t>3,300</w:t>
            </w:r>
          </w:p>
        </w:tc>
        <w:tc>
          <w:tcPr>
            <w:tcW w:w="1035" w:type="dxa"/>
            <w:vAlign w:val="center"/>
          </w:tcPr>
          <w:p w14:paraId="2DE9E8DE" w14:textId="77777777" w:rsidR="0024179F" w:rsidRDefault="0024179F" w:rsidP="00E2314B">
            <w:pPr>
              <w:spacing w:after="0" w:line="300" w:lineRule="auto"/>
              <w:jc w:val="right"/>
              <w:rPr>
                <w:color w:val="275317" w:themeColor="accent6" w:themeShade="80"/>
              </w:rPr>
            </w:pPr>
            <w:r w:rsidRPr="6973F342">
              <w:rPr>
                <w:color w:val="275317" w:themeColor="accent6" w:themeShade="80"/>
              </w:rPr>
              <w:t>13,030</w:t>
            </w:r>
          </w:p>
        </w:tc>
        <w:tc>
          <w:tcPr>
            <w:tcW w:w="975" w:type="dxa"/>
            <w:vAlign w:val="center"/>
          </w:tcPr>
          <w:p w14:paraId="019758B4" w14:textId="77777777" w:rsidR="0024179F" w:rsidRDefault="0024179F" w:rsidP="00E2314B">
            <w:pPr>
              <w:spacing w:after="0" w:line="300" w:lineRule="auto"/>
              <w:jc w:val="right"/>
              <w:rPr>
                <w:color w:val="275317" w:themeColor="accent6" w:themeShade="80"/>
              </w:rPr>
            </w:pPr>
            <w:r w:rsidRPr="6973F342">
              <w:rPr>
                <w:color w:val="275317" w:themeColor="accent6" w:themeShade="80"/>
              </w:rPr>
              <w:t>13,729</w:t>
            </w:r>
          </w:p>
        </w:tc>
        <w:tc>
          <w:tcPr>
            <w:tcW w:w="975" w:type="dxa"/>
            <w:vAlign w:val="center"/>
          </w:tcPr>
          <w:p w14:paraId="2632B2E1" w14:textId="77777777" w:rsidR="0024179F" w:rsidRDefault="0024179F" w:rsidP="00E2314B">
            <w:pPr>
              <w:spacing w:after="0" w:line="300" w:lineRule="auto"/>
              <w:jc w:val="right"/>
              <w:rPr>
                <w:color w:val="275317" w:themeColor="accent6" w:themeShade="80"/>
              </w:rPr>
            </w:pPr>
            <w:r w:rsidRPr="6973F342">
              <w:rPr>
                <w:color w:val="275317" w:themeColor="accent6" w:themeShade="80"/>
              </w:rPr>
              <w:t>32,603</w:t>
            </w:r>
          </w:p>
        </w:tc>
        <w:tc>
          <w:tcPr>
            <w:tcW w:w="870" w:type="dxa"/>
            <w:vAlign w:val="center"/>
          </w:tcPr>
          <w:p w14:paraId="02053224" w14:textId="77777777" w:rsidR="0024179F" w:rsidRDefault="0024179F" w:rsidP="00E2314B">
            <w:pPr>
              <w:spacing w:after="0" w:line="300" w:lineRule="auto"/>
              <w:jc w:val="right"/>
              <w:rPr>
                <w:color w:val="275317" w:themeColor="accent6" w:themeShade="80"/>
              </w:rPr>
            </w:pPr>
            <w:r w:rsidRPr="6973F342">
              <w:rPr>
                <w:color w:val="275317" w:themeColor="accent6" w:themeShade="80"/>
              </w:rPr>
              <w:t>41,680</w:t>
            </w:r>
          </w:p>
        </w:tc>
        <w:tc>
          <w:tcPr>
            <w:tcW w:w="1106" w:type="dxa"/>
            <w:vAlign w:val="center"/>
          </w:tcPr>
          <w:p w14:paraId="1C614A3D" w14:textId="77777777" w:rsidR="0024179F" w:rsidRDefault="0024179F" w:rsidP="00E2314B">
            <w:pPr>
              <w:spacing w:after="0" w:line="300" w:lineRule="auto"/>
              <w:jc w:val="right"/>
              <w:rPr>
                <w:color w:val="275317" w:themeColor="accent6" w:themeShade="80"/>
              </w:rPr>
            </w:pPr>
            <w:r w:rsidRPr="6973F342">
              <w:rPr>
                <w:color w:val="275317" w:themeColor="accent6" w:themeShade="80"/>
              </w:rPr>
              <w:t>106,813</w:t>
            </w:r>
          </w:p>
        </w:tc>
      </w:tr>
      <w:tr w:rsidR="001C3760" w14:paraId="1918CBB0" w14:textId="77777777">
        <w:trPr>
          <w:trHeight w:val="300"/>
        </w:trPr>
        <w:tc>
          <w:tcPr>
            <w:tcW w:w="720" w:type="dxa"/>
            <w:vAlign w:val="center"/>
          </w:tcPr>
          <w:p w14:paraId="0178212B" w14:textId="77777777" w:rsidR="0024179F" w:rsidRDefault="0024179F" w:rsidP="00E2314B">
            <w:pPr>
              <w:spacing w:after="0" w:line="300" w:lineRule="auto"/>
            </w:pPr>
            <w:r w:rsidRPr="6973F342">
              <w:rPr>
                <w:b/>
                <w:bCs/>
              </w:rPr>
              <w:t>—</w:t>
            </w:r>
          </w:p>
        </w:tc>
        <w:tc>
          <w:tcPr>
            <w:tcW w:w="1500" w:type="dxa"/>
            <w:vAlign w:val="center"/>
          </w:tcPr>
          <w:p w14:paraId="789D0D7D" w14:textId="77777777" w:rsidR="0024179F" w:rsidRDefault="0024179F" w:rsidP="00E2314B">
            <w:pPr>
              <w:spacing w:after="0" w:line="300" w:lineRule="auto"/>
            </w:pPr>
            <w:r w:rsidRPr="6973F342">
              <w:rPr>
                <w:b/>
                <w:bCs/>
              </w:rPr>
              <w:t>Grand Total</w:t>
            </w:r>
          </w:p>
        </w:tc>
        <w:tc>
          <w:tcPr>
            <w:tcW w:w="975" w:type="dxa"/>
            <w:vAlign w:val="center"/>
          </w:tcPr>
          <w:p w14:paraId="3C1B6E52" w14:textId="77777777" w:rsidR="0024179F" w:rsidRDefault="0024179F" w:rsidP="00E2314B">
            <w:pPr>
              <w:spacing w:after="0" w:line="300" w:lineRule="auto"/>
              <w:jc w:val="right"/>
            </w:pPr>
            <w:r w:rsidRPr="6973F342">
              <w:rPr>
                <w:b/>
                <w:bCs/>
              </w:rPr>
              <w:t>26,038</w:t>
            </w:r>
          </w:p>
        </w:tc>
        <w:tc>
          <w:tcPr>
            <w:tcW w:w="975" w:type="dxa"/>
            <w:vAlign w:val="center"/>
          </w:tcPr>
          <w:p w14:paraId="03641330" w14:textId="77777777" w:rsidR="0024179F" w:rsidRDefault="0024179F" w:rsidP="00E2314B">
            <w:pPr>
              <w:spacing w:after="0" w:line="300" w:lineRule="auto"/>
              <w:jc w:val="right"/>
            </w:pPr>
            <w:r w:rsidRPr="6973F342">
              <w:rPr>
                <w:b/>
                <w:bCs/>
              </w:rPr>
              <w:t>43,625</w:t>
            </w:r>
          </w:p>
        </w:tc>
        <w:tc>
          <w:tcPr>
            <w:tcW w:w="1035" w:type="dxa"/>
            <w:vAlign w:val="center"/>
          </w:tcPr>
          <w:p w14:paraId="3140D249" w14:textId="77777777" w:rsidR="0024179F" w:rsidRDefault="0024179F" w:rsidP="00E2314B">
            <w:pPr>
              <w:spacing w:after="0" w:line="300" w:lineRule="auto"/>
              <w:jc w:val="right"/>
            </w:pPr>
            <w:r w:rsidRPr="6973F342">
              <w:rPr>
                <w:b/>
                <w:bCs/>
              </w:rPr>
              <w:t>49,588</w:t>
            </w:r>
          </w:p>
        </w:tc>
        <w:tc>
          <w:tcPr>
            <w:tcW w:w="975" w:type="dxa"/>
            <w:vAlign w:val="center"/>
          </w:tcPr>
          <w:p w14:paraId="1ECFF6B0" w14:textId="77777777" w:rsidR="0024179F" w:rsidRDefault="0024179F" w:rsidP="00E2314B">
            <w:pPr>
              <w:spacing w:after="0" w:line="300" w:lineRule="auto"/>
              <w:jc w:val="right"/>
            </w:pPr>
            <w:r w:rsidRPr="6973F342">
              <w:rPr>
                <w:b/>
                <w:bCs/>
              </w:rPr>
              <w:t>41,163</w:t>
            </w:r>
          </w:p>
        </w:tc>
        <w:tc>
          <w:tcPr>
            <w:tcW w:w="975" w:type="dxa"/>
            <w:vAlign w:val="center"/>
          </w:tcPr>
          <w:p w14:paraId="2B37924F" w14:textId="77777777" w:rsidR="0024179F" w:rsidRDefault="0024179F" w:rsidP="00E2314B">
            <w:pPr>
              <w:spacing w:after="0" w:line="300" w:lineRule="auto"/>
              <w:jc w:val="right"/>
            </w:pPr>
            <w:r w:rsidRPr="6973F342">
              <w:rPr>
                <w:b/>
                <w:bCs/>
              </w:rPr>
              <w:t>57,495</w:t>
            </w:r>
          </w:p>
        </w:tc>
        <w:tc>
          <w:tcPr>
            <w:tcW w:w="870" w:type="dxa"/>
            <w:vAlign w:val="center"/>
          </w:tcPr>
          <w:p w14:paraId="0DF4A869" w14:textId="77777777" w:rsidR="0024179F" w:rsidRDefault="0024179F" w:rsidP="00E2314B">
            <w:pPr>
              <w:spacing w:after="0" w:line="300" w:lineRule="auto"/>
              <w:jc w:val="right"/>
            </w:pPr>
            <w:r w:rsidRPr="6973F342">
              <w:rPr>
                <w:b/>
                <w:bCs/>
              </w:rPr>
              <w:t>63,789</w:t>
            </w:r>
          </w:p>
        </w:tc>
        <w:tc>
          <w:tcPr>
            <w:tcW w:w="1106" w:type="dxa"/>
            <w:vAlign w:val="center"/>
          </w:tcPr>
          <w:p w14:paraId="7DED7119" w14:textId="77777777" w:rsidR="0024179F" w:rsidRDefault="0024179F" w:rsidP="00E2314B">
            <w:pPr>
              <w:spacing w:after="0" w:line="300" w:lineRule="auto"/>
              <w:jc w:val="right"/>
            </w:pPr>
            <w:r w:rsidRPr="6973F342">
              <w:rPr>
                <w:b/>
                <w:bCs/>
              </w:rPr>
              <w:t>281,698</w:t>
            </w:r>
          </w:p>
        </w:tc>
      </w:tr>
    </w:tbl>
    <w:p w14:paraId="17F50E2A" w14:textId="23AEF89B" w:rsidR="0024179F" w:rsidRDefault="0024179F" w:rsidP="50B209CA">
      <w:pPr>
        <w:rPr>
          <w:rFonts w:hint="eastAsia"/>
        </w:rPr>
      </w:pPr>
    </w:p>
    <w:p w14:paraId="2156115D" w14:textId="246DA7D9" w:rsidR="00B67B84" w:rsidRDefault="00B67B84" w:rsidP="50B209CA">
      <w:pPr>
        <w:spacing w:after="0" w:line="300" w:lineRule="auto"/>
        <w:rPr>
          <w:rFonts w:hint="eastAsia"/>
        </w:rPr>
      </w:pPr>
    </w:p>
    <w:p w14:paraId="0200F8C7" w14:textId="79A4F1C1" w:rsidR="00B67B84" w:rsidRPr="00B622B7" w:rsidRDefault="49DEF030" w:rsidP="0AF05499">
      <w:pPr>
        <w:pStyle w:val="Heading3"/>
        <w:spacing w:before="246" w:after="246" w:line="300" w:lineRule="auto"/>
        <w:rPr>
          <w:rFonts w:eastAsiaTheme="minorEastAsia" w:cstheme="minorBidi" w:hint="eastAsia"/>
          <w:sz w:val="24"/>
          <w:szCs w:val="24"/>
        </w:rPr>
      </w:pPr>
      <w:r w:rsidRPr="00B622B7">
        <w:rPr>
          <w:rFonts w:eastAsiaTheme="minorEastAsia" w:cstheme="minorBidi"/>
          <w:sz w:val="24"/>
          <w:szCs w:val="24"/>
        </w:rPr>
        <w:lastRenderedPageBreak/>
        <w:t xml:space="preserve">2.3 The 2022 category split has created avoidable enforcement </w:t>
      </w:r>
      <w:r w:rsidR="00BA1037" w:rsidRPr="00B622B7">
        <w:rPr>
          <w:rFonts w:eastAsiaTheme="minorEastAsia" w:cstheme="minorBidi"/>
          <w:sz w:val="24"/>
          <w:szCs w:val="24"/>
        </w:rPr>
        <w:t>problems.</w:t>
      </w:r>
    </w:p>
    <w:p w14:paraId="206310D3" w14:textId="7112B15A" w:rsidR="00B67B84" w:rsidRDefault="49DEF030" w:rsidP="0AF05499">
      <w:pPr>
        <w:spacing w:before="210" w:after="210" w:line="300" w:lineRule="auto"/>
        <w:rPr>
          <w:rFonts w:hint="eastAsia"/>
        </w:rPr>
      </w:pPr>
      <w:r w:rsidRPr="0AF05499">
        <w:t>Our earlier submission showed that splitting 12 products into 12A/12B:</w:t>
      </w:r>
    </w:p>
    <w:p w14:paraId="2A7F5CAF" w14:textId="4887F8A8" w:rsidR="00B67B84" w:rsidRDefault="49DEF030" w:rsidP="0AF05499">
      <w:pPr>
        <w:pStyle w:val="ListParagraph"/>
        <w:numPr>
          <w:ilvl w:val="0"/>
          <w:numId w:val="11"/>
        </w:numPr>
        <w:spacing w:after="0" w:line="300" w:lineRule="auto"/>
        <w:rPr>
          <w:rFonts w:hint="eastAsia"/>
        </w:rPr>
      </w:pPr>
      <w:r w:rsidRPr="0AF05499">
        <w:t xml:space="preserve">created administrative </w:t>
      </w:r>
      <w:r w:rsidR="00BA1037" w:rsidRPr="0AF05499">
        <w:t>complexity.</w:t>
      </w:r>
    </w:p>
    <w:p w14:paraId="46D15160" w14:textId="7AE4355C" w:rsidR="00B67B84" w:rsidRDefault="49DEF030" w:rsidP="0AF05499">
      <w:pPr>
        <w:pStyle w:val="ListParagraph"/>
        <w:numPr>
          <w:ilvl w:val="0"/>
          <w:numId w:val="11"/>
        </w:numPr>
        <w:spacing w:after="0" w:line="300" w:lineRule="auto"/>
        <w:rPr>
          <w:rFonts w:hint="eastAsia"/>
        </w:rPr>
      </w:pPr>
      <w:r w:rsidRPr="0AF05499">
        <w:t xml:space="preserve">made enforcement more difficult for </w:t>
      </w:r>
      <w:r w:rsidR="00BA1037" w:rsidRPr="0AF05499">
        <w:t>HMRC.</w:t>
      </w:r>
    </w:p>
    <w:p w14:paraId="33F76D1A" w14:textId="60DA33D1" w:rsidR="00B67B84" w:rsidRDefault="49DEF030" w:rsidP="0AF05499">
      <w:pPr>
        <w:pStyle w:val="ListParagraph"/>
        <w:numPr>
          <w:ilvl w:val="0"/>
          <w:numId w:val="11"/>
        </w:numPr>
        <w:spacing w:after="0" w:line="300" w:lineRule="auto"/>
        <w:rPr>
          <w:rFonts w:hint="eastAsia"/>
        </w:rPr>
      </w:pPr>
      <w:r w:rsidRPr="0AF05499">
        <w:t>increased errors and opened clear circumvention routes.</w:t>
      </w:r>
    </w:p>
    <w:p w14:paraId="1F6AF27A" w14:textId="5383FF7C" w:rsidR="00B67B84" w:rsidRDefault="49DEF030" w:rsidP="0AF05499">
      <w:pPr>
        <w:spacing w:before="210" w:after="210" w:line="300" w:lineRule="auto"/>
        <w:rPr>
          <w:rFonts w:hint="eastAsia"/>
        </w:rPr>
      </w:pPr>
      <w:r w:rsidRPr="0AF05499">
        <w:t xml:space="preserve">We argued that </w:t>
      </w:r>
      <w:r w:rsidRPr="0AF05499">
        <w:rPr>
          <w:b/>
          <w:bCs/>
        </w:rPr>
        <w:t>the logical policy correction is to re‑amalgamate Categories 12A and 12B</w:t>
      </w:r>
      <w:r w:rsidRPr="0AF05499">
        <w:t>, not to widen the existing loophole by removing codes from 12A entirely.</w:t>
      </w:r>
    </w:p>
    <w:p w14:paraId="0F95ECA9" w14:textId="33538EA2" w:rsidR="00B67B84" w:rsidRDefault="49DEF030" w:rsidP="50B209CA">
      <w:pPr>
        <w:spacing w:before="210" w:after="210" w:line="300" w:lineRule="auto"/>
        <w:rPr>
          <w:rFonts w:hint="eastAsia"/>
        </w:rPr>
      </w:pPr>
      <w:r w:rsidRPr="50B209CA">
        <w:t>The SIFD recognises misclassification risk but describes it as an “enforcement issue.”</w:t>
      </w:r>
      <w:r w:rsidR="00622B61">
        <w:br/>
      </w:r>
      <w:r w:rsidRPr="50B209CA">
        <w:t>With respect, this significantly underestimates the scale and practical reality of the problem.</w:t>
      </w:r>
      <w:r w:rsidR="58D9F82C" w:rsidRPr="50B209CA">
        <w:t xml:space="preserve"> It is the view of 7 Steel that this issue should </w:t>
      </w:r>
      <w:proofErr w:type="gramStart"/>
      <w:r w:rsidR="58D9F82C" w:rsidRPr="50B209CA">
        <w:t>be considered</w:t>
      </w:r>
      <w:proofErr w:type="gramEnd"/>
      <w:r w:rsidR="58D9F82C" w:rsidRPr="50B209CA">
        <w:t xml:space="preserve"> as a whole and not passed on to </w:t>
      </w:r>
      <w:proofErr w:type="gramStart"/>
      <w:r w:rsidR="58D9F82C" w:rsidRPr="50B209CA">
        <w:t>be dealt</w:t>
      </w:r>
      <w:proofErr w:type="gramEnd"/>
      <w:r w:rsidR="58D9F82C" w:rsidRPr="50B209CA">
        <w:t xml:space="preserve"> with at another time or by another agency</w:t>
      </w:r>
      <w:r w:rsidR="00CB0025" w:rsidRPr="50B209CA">
        <w:t xml:space="preserve">. </w:t>
      </w:r>
      <w:r w:rsidR="58D9F82C" w:rsidRPr="50B209CA">
        <w:t>At the very least other agencies sho</w:t>
      </w:r>
      <w:r w:rsidR="12121135" w:rsidRPr="50B209CA">
        <w:t xml:space="preserve">uld be invited to comment on your determination that will impact them. </w:t>
      </w:r>
    </w:p>
    <w:p w14:paraId="7DEDDC76" w14:textId="4756C57F" w:rsidR="00B67B84" w:rsidRDefault="49DEF030" w:rsidP="50B209CA">
      <w:pPr>
        <w:spacing w:before="210" w:after="210" w:line="300" w:lineRule="auto"/>
        <w:rPr>
          <w:rFonts w:hint="eastAsia"/>
        </w:rPr>
      </w:pPr>
      <w:r w:rsidRPr="50B209CA">
        <w:t xml:space="preserve">Enforcement challenges </w:t>
      </w:r>
      <w:r w:rsidRPr="50B209CA">
        <w:rPr>
          <w:i/>
          <w:iCs/>
        </w:rPr>
        <w:t>are</w:t>
      </w:r>
      <w:r w:rsidRPr="50B209CA">
        <w:t xml:space="preserve"> outcome‑determinative. If misclassification increases—and all evidence indicates it will—UK producers of 12B will face </w:t>
      </w:r>
      <w:proofErr w:type="gramStart"/>
      <w:r w:rsidRPr="50B209CA">
        <w:t>serious injury</w:t>
      </w:r>
      <w:proofErr w:type="gramEnd"/>
      <w:r w:rsidRPr="50B209CA">
        <w:t>.</w:t>
      </w:r>
    </w:p>
    <w:p w14:paraId="05681F81" w14:textId="053AE2C4" w:rsidR="00B67B84" w:rsidRPr="00B622B7" w:rsidRDefault="49DEF030" w:rsidP="0AF05499">
      <w:pPr>
        <w:pStyle w:val="Heading3"/>
        <w:spacing w:before="246" w:after="246" w:line="300" w:lineRule="auto"/>
        <w:rPr>
          <w:rFonts w:eastAsiaTheme="minorEastAsia" w:cstheme="minorBidi" w:hint="eastAsia"/>
          <w:sz w:val="24"/>
          <w:szCs w:val="24"/>
        </w:rPr>
      </w:pPr>
      <w:r w:rsidRPr="00B622B7">
        <w:rPr>
          <w:rFonts w:eastAsiaTheme="minorEastAsia" w:cstheme="minorBidi"/>
          <w:sz w:val="24"/>
          <w:szCs w:val="24"/>
        </w:rPr>
        <w:t>2.4 Removing 12A codes creates a direct threat to UK producers, including 7‑</w:t>
      </w:r>
      <w:r w:rsidR="00BA1037" w:rsidRPr="00B622B7">
        <w:rPr>
          <w:rFonts w:eastAsiaTheme="minorEastAsia" w:cstheme="minorBidi"/>
          <w:sz w:val="24"/>
          <w:szCs w:val="24"/>
        </w:rPr>
        <w:t>Steel.</w:t>
      </w:r>
    </w:p>
    <w:p w14:paraId="2800EAFF" w14:textId="40BA0735" w:rsidR="00B67B84" w:rsidRDefault="49DEF030" w:rsidP="0AF05499">
      <w:pPr>
        <w:spacing w:before="210" w:after="210" w:line="300" w:lineRule="auto"/>
        <w:rPr>
          <w:rFonts w:hint="eastAsia"/>
        </w:rPr>
      </w:pPr>
      <w:r w:rsidRPr="0AF05499">
        <w:t>We produce Category 12B goods that:</w:t>
      </w:r>
    </w:p>
    <w:p w14:paraId="78A04514" w14:textId="6C084BAC" w:rsidR="00B67B84" w:rsidRDefault="49DEF030" w:rsidP="0AF05499">
      <w:pPr>
        <w:pStyle w:val="ListParagraph"/>
        <w:numPr>
          <w:ilvl w:val="0"/>
          <w:numId w:val="5"/>
        </w:numPr>
        <w:spacing w:after="0" w:line="300" w:lineRule="auto"/>
        <w:rPr>
          <w:rFonts w:hint="eastAsia"/>
        </w:rPr>
      </w:pPr>
      <w:r w:rsidRPr="0AF05499">
        <w:t xml:space="preserve">are visually identical to Category 12A </w:t>
      </w:r>
      <w:r w:rsidR="00BA1037" w:rsidRPr="0AF05499">
        <w:t>goods.</w:t>
      </w:r>
    </w:p>
    <w:p w14:paraId="024AEF5D" w14:textId="1CE56C54" w:rsidR="00B67B84" w:rsidRDefault="49DEF030" w:rsidP="0AF05499">
      <w:pPr>
        <w:pStyle w:val="ListParagraph"/>
        <w:numPr>
          <w:ilvl w:val="0"/>
          <w:numId w:val="5"/>
        </w:numPr>
        <w:spacing w:after="0" w:line="300" w:lineRule="auto"/>
        <w:rPr>
          <w:rFonts w:hint="eastAsia"/>
        </w:rPr>
      </w:pPr>
      <w:r w:rsidRPr="0AF05499">
        <w:t xml:space="preserve">have traditionally competed in overlapping customer </w:t>
      </w:r>
      <w:r w:rsidR="00BA1037" w:rsidRPr="0AF05499">
        <w:t>bases.</w:t>
      </w:r>
    </w:p>
    <w:p w14:paraId="1D0084EF" w14:textId="284B33C3" w:rsidR="00B67B84" w:rsidRDefault="49DEF030" w:rsidP="50B209CA">
      <w:pPr>
        <w:pStyle w:val="ListParagraph"/>
        <w:numPr>
          <w:ilvl w:val="0"/>
          <w:numId w:val="5"/>
        </w:numPr>
        <w:spacing w:after="0" w:line="300" w:lineRule="auto"/>
        <w:rPr>
          <w:rFonts w:hint="eastAsia"/>
        </w:rPr>
      </w:pPr>
      <w:r w:rsidRPr="50B209CA">
        <w:t xml:space="preserve">would be displaced by misclassified imports if </w:t>
      </w:r>
      <w:r w:rsidR="1CBCD637" w:rsidRPr="50B209CA">
        <w:t xml:space="preserve">certain </w:t>
      </w:r>
      <w:r w:rsidRPr="50B209CA">
        <w:t>12</w:t>
      </w:r>
      <w:r w:rsidR="00BA1037" w:rsidRPr="50B209CA">
        <w:t>A codes</w:t>
      </w:r>
      <w:r w:rsidR="5E78CB6A" w:rsidRPr="50B209CA">
        <w:t xml:space="preserve"> are removed from the safeguard </w:t>
      </w:r>
      <w:r w:rsidR="00BA1037" w:rsidRPr="50B209CA">
        <w:t>system.</w:t>
      </w:r>
      <w:r w:rsidR="5E78CB6A" w:rsidRPr="50B209CA">
        <w:t xml:space="preserve"> </w:t>
      </w:r>
    </w:p>
    <w:p w14:paraId="04F59614" w14:textId="59869BB6" w:rsidR="00B67B84" w:rsidRDefault="49DEF030" w:rsidP="50B209CA">
      <w:pPr>
        <w:spacing w:before="210" w:after="210" w:line="300" w:lineRule="auto"/>
        <w:rPr>
          <w:rFonts w:hint="eastAsia"/>
        </w:rPr>
      </w:pPr>
      <w:r w:rsidRPr="50B209CA">
        <w:t>As outlined in our Annex 1:</w:t>
      </w:r>
    </w:p>
    <w:p w14:paraId="71D5C941" w14:textId="47FD8886" w:rsidR="00B67B84" w:rsidRDefault="49DEF030" w:rsidP="50B209CA">
      <w:pPr>
        <w:pStyle w:val="ListParagraph"/>
        <w:numPr>
          <w:ilvl w:val="0"/>
          <w:numId w:val="3"/>
        </w:numPr>
        <w:spacing w:after="0" w:line="300" w:lineRule="auto"/>
        <w:rPr>
          <w:rFonts w:hint="eastAsia"/>
          <w:color w:val="464FEB"/>
        </w:rPr>
      </w:pPr>
      <w:r w:rsidRPr="50B209CA">
        <w:t xml:space="preserve">Our Cardiff operations employ </w:t>
      </w:r>
      <w:r w:rsidRPr="50B209CA">
        <w:rPr>
          <w:b/>
          <w:bCs/>
        </w:rPr>
        <w:t>nearly 1,000 people</w:t>
      </w:r>
      <w:r w:rsidRPr="50B209CA">
        <w:t xml:space="preserve">, and merchant bar production forms a significant part of our integrated </w:t>
      </w:r>
      <w:r w:rsidR="00BA1037" w:rsidRPr="50B209CA">
        <w:t>processes.</w:t>
      </w:r>
      <w:r w:rsidRPr="50B209CA">
        <w:t xml:space="preserve"> </w:t>
      </w:r>
    </w:p>
    <w:p w14:paraId="717A240E" w14:textId="49CAE531" w:rsidR="00B67B84" w:rsidRDefault="49DEF030" w:rsidP="0AF05499">
      <w:pPr>
        <w:pStyle w:val="ListParagraph"/>
        <w:numPr>
          <w:ilvl w:val="0"/>
          <w:numId w:val="3"/>
        </w:numPr>
        <w:spacing w:after="0" w:line="300" w:lineRule="auto"/>
        <w:rPr>
          <w:rFonts w:hint="eastAsia"/>
        </w:rPr>
      </w:pPr>
      <w:r w:rsidRPr="0AF05499">
        <w:t xml:space="preserve">Increased inflow of incorrectly classified (or intentionally alloy‑modified) 12B-like imports would result in </w:t>
      </w:r>
      <w:r w:rsidRPr="0AF05499">
        <w:rPr>
          <w:b/>
          <w:bCs/>
        </w:rPr>
        <w:t>material injury</w:t>
      </w:r>
      <w:r w:rsidRPr="0AF05499">
        <w:t>—not hypothetical or marginal.</w:t>
      </w:r>
    </w:p>
    <w:p w14:paraId="3D0844F9" w14:textId="59B3310E" w:rsidR="00B67B84" w:rsidRDefault="49DEF030" w:rsidP="50B209CA">
      <w:pPr>
        <w:spacing w:before="210" w:after="210" w:line="300" w:lineRule="auto"/>
        <w:rPr>
          <w:rFonts w:hint="eastAsia"/>
        </w:rPr>
      </w:pPr>
      <w:r w:rsidRPr="50B209CA">
        <w:t>The SIFD reaches the conclusion that 12B products are not “directly competitive” with 12A.</w:t>
      </w:r>
      <w:r w:rsidR="00C856EF" w:rsidRPr="50B209CA">
        <w:t xml:space="preserve"> Whilst we accept that the end use</w:t>
      </w:r>
      <w:r w:rsidR="0883A896" w:rsidRPr="50B209CA">
        <w:t xml:space="preserve">s of 12A and 12B products </w:t>
      </w:r>
      <w:r w:rsidR="182F3D22" w:rsidRPr="50B209CA">
        <w:t>can be</w:t>
      </w:r>
      <w:r w:rsidR="4D223626" w:rsidRPr="50B209CA">
        <w:t xml:space="preserve"> different, </w:t>
      </w:r>
      <w:r w:rsidR="484A5AC8" w:rsidRPr="50B209CA">
        <w:t xml:space="preserve">there is no obvious </w:t>
      </w:r>
      <w:r w:rsidR="556A0750" w:rsidRPr="50B209CA">
        <w:t>visual difference</w:t>
      </w:r>
      <w:r w:rsidR="3F23D9E9" w:rsidRPr="50B209CA">
        <w:t xml:space="preserve"> between the products and according to the </w:t>
      </w:r>
      <w:r w:rsidR="7621A132" w:rsidRPr="50B209CA">
        <w:t xml:space="preserve">strict alloy steel definition, many 12B supplies can </w:t>
      </w:r>
      <w:r w:rsidR="449B8C7B" w:rsidRPr="50B209CA">
        <w:t xml:space="preserve">easily be </w:t>
      </w:r>
      <w:r w:rsidR="71754265" w:rsidRPr="50B209CA">
        <w:t>classified as alloys, particularly th</w:t>
      </w:r>
      <w:r w:rsidR="3C166ED5" w:rsidRPr="50B209CA">
        <w:t xml:space="preserve">ose </w:t>
      </w:r>
      <w:r w:rsidR="49C06E38" w:rsidRPr="50B209CA">
        <w:t>with a copper content in excess of 0.40</w:t>
      </w:r>
      <w:r w:rsidR="6AC8237C" w:rsidRPr="50B209CA">
        <w:t xml:space="preserve">. </w:t>
      </w:r>
      <w:r w:rsidR="2A55AC64" w:rsidRPr="50B209CA">
        <w:t>This is particularly relevant in codes 7228307000 and 7228</w:t>
      </w:r>
      <w:r w:rsidR="606EA239" w:rsidRPr="50B209CA">
        <w:t xml:space="preserve">306900. </w:t>
      </w:r>
      <w:r w:rsidR="64DF37E2" w:rsidRPr="50B209CA">
        <w:t xml:space="preserve">The difference that the TRA relies on in the SIFD is that </w:t>
      </w:r>
      <w:r w:rsidR="64DF37E2" w:rsidRPr="50B209CA">
        <w:lastRenderedPageBreak/>
        <w:t xml:space="preserve">the mechanical </w:t>
      </w:r>
      <w:r w:rsidR="00BA1037" w:rsidRPr="50B209CA">
        <w:t>property</w:t>
      </w:r>
      <w:r w:rsidR="2ED55928" w:rsidRPr="50B209CA">
        <w:t xml:space="preserve"> for certain applications </w:t>
      </w:r>
      <w:r w:rsidR="0ED34597" w:rsidRPr="50B209CA">
        <w:t>makes a fundamental difference</w:t>
      </w:r>
      <w:r w:rsidR="63EC3C08" w:rsidRPr="50B209CA">
        <w:t xml:space="preserve"> </w:t>
      </w:r>
      <w:r w:rsidR="00BA1037" w:rsidRPr="50B209CA">
        <w:t>and that</w:t>
      </w:r>
      <w:r w:rsidR="6FF0A20B" w:rsidRPr="50B209CA">
        <w:t xml:space="preserve"> </w:t>
      </w:r>
      <w:r w:rsidR="54C83F5E" w:rsidRPr="50B209CA">
        <w:t>they consider it a matter for HMRC customs offic</w:t>
      </w:r>
      <w:r w:rsidR="514A6F0F" w:rsidRPr="50B209CA">
        <w:t xml:space="preserve">ials to determine whether </w:t>
      </w:r>
      <w:r w:rsidR="0E7DEBB1" w:rsidRPr="50B209CA">
        <w:t xml:space="preserve">imports are being declared correctly. </w:t>
      </w:r>
      <w:r w:rsidR="18AC1901" w:rsidRPr="50B209CA">
        <w:t xml:space="preserve">Even a cursory look at the changes in volumes of imports of </w:t>
      </w:r>
      <w:proofErr w:type="gramStart"/>
      <w:r w:rsidR="18AC1901" w:rsidRPr="50B209CA">
        <w:t>some of</w:t>
      </w:r>
      <w:proofErr w:type="gramEnd"/>
      <w:r w:rsidR="18AC1901" w:rsidRPr="50B209CA">
        <w:t xml:space="preserve"> the </w:t>
      </w:r>
      <w:r w:rsidR="2852702B" w:rsidRPr="50B209CA">
        <w:t>12A products in the last</w:t>
      </w:r>
      <w:r w:rsidR="14156D32" w:rsidRPr="50B209CA">
        <w:t xml:space="preserve"> 5</w:t>
      </w:r>
      <w:r w:rsidR="2852702B" w:rsidRPr="50B209CA">
        <w:t xml:space="preserve"> years (see table in section 2.2 above)</w:t>
      </w:r>
      <w:r w:rsidR="31AEA78B" w:rsidRPr="50B209CA">
        <w:t xml:space="preserve"> shows </w:t>
      </w:r>
      <w:proofErr w:type="gramStart"/>
      <w:r w:rsidR="31AEA78B" w:rsidRPr="50B209CA">
        <w:t>some</w:t>
      </w:r>
      <w:proofErr w:type="gramEnd"/>
      <w:r w:rsidR="31AEA78B" w:rsidRPr="50B209CA">
        <w:t xml:space="preserve"> very stra</w:t>
      </w:r>
      <w:r w:rsidR="5D81FF1E" w:rsidRPr="50B209CA">
        <w:t>nge (and seemingly very contradictory) trends in</w:t>
      </w:r>
      <w:r w:rsidR="5C4AD2CD" w:rsidRPr="50B209CA">
        <w:t xml:space="preserve"> apparent</w:t>
      </w:r>
      <w:r w:rsidR="5D81FF1E" w:rsidRPr="50B209CA">
        <w:t xml:space="preserve"> demand for those products</w:t>
      </w:r>
      <w:r w:rsidR="49655922" w:rsidRPr="50B209CA">
        <w:t xml:space="preserve"> – see commodity codes 7228306900, 7228307000, 7228</w:t>
      </w:r>
      <w:r w:rsidR="73CC538C" w:rsidRPr="50B209CA">
        <w:t>701000</w:t>
      </w:r>
      <w:r w:rsidR="12BA0947" w:rsidRPr="50B209CA">
        <w:t xml:space="preserve">. It is </w:t>
      </w:r>
      <w:r w:rsidR="591709B8" w:rsidRPr="50B209CA">
        <w:t xml:space="preserve">also very strange that the TRA has chosen </w:t>
      </w:r>
      <w:r w:rsidR="6A879660" w:rsidRPr="50B209CA">
        <w:t>2017/18 as the comparative base year</w:t>
      </w:r>
      <w:r w:rsidR="2C61D124" w:rsidRPr="50B209CA">
        <w:t xml:space="preserve"> for analysing changes in import levels</w:t>
      </w:r>
      <w:r w:rsidR="6E42A712" w:rsidRPr="50B209CA">
        <w:t xml:space="preserve"> for 12A products</w:t>
      </w:r>
      <w:r w:rsidR="208BB0BD" w:rsidRPr="50B209CA">
        <w:t xml:space="preserve"> </w:t>
      </w:r>
      <w:r w:rsidR="56AA09D0" w:rsidRPr="50B209CA">
        <w:t>and does not seem to question massive changes in origins of imports</w:t>
      </w:r>
      <w:r w:rsidR="6C42059E" w:rsidRPr="50B209CA">
        <w:t xml:space="preserve"> and the possible </w:t>
      </w:r>
      <w:r w:rsidR="2D864F94" w:rsidRPr="50B209CA">
        <w:t>reasons for those changes</w:t>
      </w:r>
      <w:r w:rsidR="2499DC91" w:rsidRPr="50B209CA">
        <w:t xml:space="preserve">, nor accept our assertion that it is because of misdeclaration of </w:t>
      </w:r>
      <w:r w:rsidR="6958F6B2" w:rsidRPr="50B209CA">
        <w:t xml:space="preserve">goods, </w:t>
      </w:r>
      <w:r w:rsidR="4FAA0C27" w:rsidRPr="50B209CA">
        <w:t>either accidentally or deliberately.</w:t>
      </w:r>
    </w:p>
    <w:p w14:paraId="1AC29C22" w14:textId="6E071FA5" w:rsidR="00B67B84" w:rsidRPr="00B622B7" w:rsidRDefault="49DEF030" w:rsidP="0AF05499">
      <w:pPr>
        <w:pStyle w:val="Heading3"/>
        <w:spacing w:before="246" w:after="246" w:line="300" w:lineRule="auto"/>
        <w:rPr>
          <w:rFonts w:eastAsiaTheme="minorEastAsia" w:cstheme="minorBidi" w:hint="eastAsia"/>
          <w:sz w:val="24"/>
          <w:szCs w:val="24"/>
        </w:rPr>
      </w:pPr>
      <w:r w:rsidRPr="00B622B7">
        <w:rPr>
          <w:rFonts w:eastAsiaTheme="minorEastAsia" w:cstheme="minorBidi"/>
          <w:sz w:val="24"/>
          <w:szCs w:val="24"/>
        </w:rPr>
        <w:t xml:space="preserve">2.5 The situation at SSUK should not justify altering the safeguard in a way that harms other UK </w:t>
      </w:r>
      <w:r w:rsidR="00BA1037" w:rsidRPr="00B622B7">
        <w:rPr>
          <w:rFonts w:eastAsiaTheme="minorEastAsia" w:cstheme="minorBidi"/>
          <w:sz w:val="24"/>
          <w:szCs w:val="24"/>
        </w:rPr>
        <w:t>producers.</w:t>
      </w:r>
    </w:p>
    <w:p w14:paraId="07BF094B" w14:textId="18411268" w:rsidR="00B67B84" w:rsidRDefault="49DEF030" w:rsidP="0AF05499">
      <w:pPr>
        <w:spacing w:before="210" w:after="210" w:line="300" w:lineRule="auto"/>
        <w:rPr>
          <w:rFonts w:hint="eastAsia"/>
        </w:rPr>
      </w:pPr>
      <w:r w:rsidRPr="0AF05499">
        <w:t>We understand the TRA’s detailed assessment of SSUK’s position and the cessation of output at Rotherham. However:</w:t>
      </w:r>
    </w:p>
    <w:p w14:paraId="2BF968EA" w14:textId="2366BCDC" w:rsidR="00B67B84" w:rsidRDefault="49DEF030" w:rsidP="0AF05499">
      <w:pPr>
        <w:pStyle w:val="ListParagraph"/>
        <w:numPr>
          <w:ilvl w:val="0"/>
          <w:numId w:val="4"/>
        </w:numPr>
        <w:spacing w:after="0" w:line="300" w:lineRule="auto"/>
        <w:rPr>
          <w:rFonts w:hint="eastAsia"/>
        </w:rPr>
      </w:pPr>
      <w:r w:rsidRPr="0AF05499">
        <w:t xml:space="preserve">SSUK’s temporary insolvency should </w:t>
      </w:r>
      <w:r w:rsidRPr="0AF05499">
        <w:rPr>
          <w:b/>
          <w:bCs/>
        </w:rPr>
        <w:t>not</w:t>
      </w:r>
      <w:r w:rsidRPr="0AF05499">
        <w:t xml:space="preserve"> be used to justify weakening safeguards in a way that materially harms other UK steel producers.</w:t>
      </w:r>
    </w:p>
    <w:p w14:paraId="5AECBAE7" w14:textId="1AE0A00D" w:rsidR="00B67B84" w:rsidRDefault="49DEF030" w:rsidP="0AF05499">
      <w:pPr>
        <w:pStyle w:val="ListParagraph"/>
        <w:numPr>
          <w:ilvl w:val="0"/>
          <w:numId w:val="4"/>
        </w:numPr>
        <w:spacing w:after="0" w:line="300" w:lineRule="auto"/>
        <w:rPr>
          <w:rFonts w:hint="eastAsia"/>
        </w:rPr>
      </w:pPr>
      <w:r w:rsidRPr="0AF05499">
        <w:t xml:space="preserve">The SIFD itself acknowledges that </w:t>
      </w:r>
      <w:r w:rsidRPr="0AF05499">
        <w:rPr>
          <w:b/>
          <w:bCs/>
        </w:rPr>
        <w:t>UK producers still exist</w:t>
      </w:r>
      <w:r w:rsidRPr="0AF05499">
        <w:t>, including 7‑Steel and British Steel (for specific codes).</w:t>
      </w:r>
    </w:p>
    <w:p w14:paraId="1BA7D0DE" w14:textId="7BE6AD19" w:rsidR="00B67B84" w:rsidRDefault="49DEF030" w:rsidP="0AF05499">
      <w:pPr>
        <w:pStyle w:val="ListParagraph"/>
        <w:numPr>
          <w:ilvl w:val="0"/>
          <w:numId w:val="4"/>
        </w:numPr>
        <w:spacing w:after="0" w:line="300" w:lineRule="auto"/>
        <w:rPr>
          <w:rFonts w:hint="eastAsia"/>
        </w:rPr>
      </w:pPr>
      <w:r w:rsidRPr="0AF05499">
        <w:t xml:space="preserve">The TRA found </w:t>
      </w:r>
      <w:r w:rsidRPr="0AF05499">
        <w:rPr>
          <w:b/>
          <w:bCs/>
        </w:rPr>
        <w:t>sufficient UK production for two commodity codes</w:t>
      </w:r>
      <w:r w:rsidRPr="0AF05499">
        <w:t>, and therefore the TRQ cannot legally be revoked.</w:t>
      </w:r>
    </w:p>
    <w:p w14:paraId="0328935C" w14:textId="7265DB38" w:rsidR="00B67B84" w:rsidRDefault="49DEF030" w:rsidP="0AF05499">
      <w:pPr>
        <w:pStyle w:val="ListParagraph"/>
        <w:numPr>
          <w:ilvl w:val="0"/>
          <w:numId w:val="4"/>
        </w:numPr>
        <w:spacing w:after="0" w:line="300" w:lineRule="auto"/>
        <w:rPr>
          <w:rFonts w:hint="eastAsia"/>
        </w:rPr>
      </w:pPr>
      <w:r w:rsidRPr="0AF05499">
        <w:t>But instead of maintaining the status quo, the SIFD’s proposed variation removes six codes from the TRQ entirely, despite no evidence that these codes' removal will benefit UK industry.</w:t>
      </w:r>
    </w:p>
    <w:p w14:paraId="715D96BD" w14:textId="50A063A5" w:rsidR="00B67B84" w:rsidRDefault="49DEF030" w:rsidP="50B209CA">
      <w:pPr>
        <w:spacing w:before="210" w:after="210" w:line="300" w:lineRule="auto"/>
        <w:rPr>
          <w:rFonts w:hint="eastAsia"/>
        </w:rPr>
      </w:pPr>
      <w:r w:rsidRPr="50B209CA">
        <w:t>This outcome risks undermining investment confidence at a time when stability and a level playing field are critical.</w:t>
      </w:r>
    </w:p>
    <w:p w14:paraId="61F18705" w14:textId="3A3031A7" w:rsidR="00B67B84" w:rsidRPr="008C5811" w:rsidRDefault="49DEF030" w:rsidP="008C5811">
      <w:pPr>
        <w:pStyle w:val="Heading2"/>
        <w:rPr>
          <w:rFonts w:hint="eastAsia"/>
          <w:b/>
          <w:bCs/>
          <w:u w:val="single"/>
        </w:rPr>
      </w:pPr>
      <w:r w:rsidRPr="008C5811">
        <w:rPr>
          <w:b/>
          <w:bCs/>
          <w:u w:val="single"/>
        </w:rPr>
        <w:t xml:space="preserve">3. </w:t>
      </w:r>
      <w:r w:rsidR="487CFF0C" w:rsidRPr="008C5811">
        <w:rPr>
          <w:b/>
          <w:bCs/>
          <w:u w:val="single"/>
        </w:rPr>
        <w:t xml:space="preserve">Additional </w:t>
      </w:r>
      <w:r w:rsidR="615EBB54" w:rsidRPr="008C5811">
        <w:rPr>
          <w:b/>
          <w:bCs/>
          <w:u w:val="single"/>
        </w:rPr>
        <w:t>evidence</w:t>
      </w:r>
      <w:r w:rsidR="487CFF0C" w:rsidRPr="008C5811">
        <w:rPr>
          <w:b/>
          <w:bCs/>
          <w:u w:val="single"/>
        </w:rPr>
        <w:t xml:space="preserve"> further to our original submission. </w:t>
      </w:r>
    </w:p>
    <w:p w14:paraId="072988C0" w14:textId="7826E113" w:rsidR="00B67B84" w:rsidRPr="00B622B7" w:rsidRDefault="7D69FEF5" w:rsidP="50B209CA">
      <w:pPr>
        <w:rPr>
          <w:rFonts w:hint="eastAsia"/>
          <w:color w:val="0F4761" w:themeColor="accent1" w:themeShade="BF"/>
        </w:rPr>
      </w:pPr>
      <w:r w:rsidRPr="00B622B7">
        <w:rPr>
          <w:color w:val="0F4761" w:themeColor="accent1" w:themeShade="BF"/>
        </w:rPr>
        <w:t xml:space="preserve">3.1 </w:t>
      </w:r>
      <w:r w:rsidR="1C291C38" w:rsidRPr="00B622B7">
        <w:rPr>
          <w:color w:val="0F4761" w:themeColor="accent1" w:themeShade="BF"/>
        </w:rPr>
        <w:t>7</w:t>
      </w:r>
      <w:r w:rsidRPr="00B622B7">
        <w:rPr>
          <w:color w:val="0F4761" w:themeColor="accent1" w:themeShade="BF"/>
        </w:rPr>
        <w:t xml:space="preserve"> Steel production of 12A commodities </w:t>
      </w:r>
    </w:p>
    <w:p w14:paraId="1DB0BBFD" w14:textId="5C09677F" w:rsidR="00B67B84" w:rsidRPr="00071B58" w:rsidRDefault="57CB3F92" w:rsidP="50B209CA">
      <w:pPr>
        <w:spacing w:after="0" w:line="300" w:lineRule="auto"/>
        <w:rPr>
          <w:rFonts w:hint="eastAsia"/>
        </w:rPr>
      </w:pPr>
      <w:r w:rsidRPr="00071B58">
        <w:t xml:space="preserve">Further analysis of 7 Steel UK’s production data indicates that the company manufactures a range of alloy‑steel products that fall within 12 A‑classified commodity codes, with the specific classification dependent on the copper, or other alloying elements present in each product. Review of the 2023–2025 tonnage records </w:t>
      </w:r>
      <w:r w:rsidR="00BA1037" w:rsidRPr="00071B58">
        <w:t>show</w:t>
      </w:r>
      <w:r w:rsidRPr="00071B58">
        <w:t xml:space="preserve"> output across </w:t>
      </w:r>
      <w:proofErr w:type="gramStart"/>
      <w:r w:rsidRPr="00071B58">
        <w:t>several</w:t>
      </w:r>
      <w:proofErr w:type="gramEnd"/>
      <w:r w:rsidRPr="00071B58">
        <w:t xml:space="preserve"> key product categories—equal angles, unequal angles, flats, PFC </w:t>
      </w:r>
      <w:r w:rsidRPr="00071B58">
        <w:lastRenderedPageBreak/>
        <w:t xml:space="preserve">sections, rounds, and UPN sections—totalling 105.521 tonnes over the period.  These are detailed </w:t>
      </w:r>
      <w:r w:rsidR="237F8834" w:rsidRPr="00071B58">
        <w:t xml:space="preserve">in the </w:t>
      </w:r>
      <w:r w:rsidRPr="00071B58">
        <w:t>below</w:t>
      </w:r>
      <w:r w:rsidR="7CA673FC" w:rsidRPr="00071B58">
        <w:t xml:space="preserve"> </w:t>
      </w:r>
      <w:r w:rsidR="00BA1037" w:rsidRPr="00071B58">
        <w:t>table.</w:t>
      </w:r>
    </w:p>
    <w:p w14:paraId="7A10B98D" w14:textId="27F58B40" w:rsidR="00B67B84" w:rsidRPr="00071B58" w:rsidRDefault="00B67B84" w:rsidP="50B209CA">
      <w:pPr>
        <w:spacing w:after="0" w:line="300" w:lineRule="auto"/>
        <w:rPr>
          <w:rFonts w:hint="eastAsia"/>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785"/>
        <w:gridCol w:w="1272"/>
        <w:gridCol w:w="1213"/>
        <w:gridCol w:w="1169"/>
        <w:gridCol w:w="1557"/>
      </w:tblGrid>
      <w:tr w:rsidR="00EC2213" w:rsidRPr="00071B58" w14:paraId="35355139" w14:textId="77777777" w:rsidTr="50B209CA">
        <w:trPr>
          <w:trHeight w:val="315"/>
        </w:trPr>
        <w:tc>
          <w:tcPr>
            <w:tcW w:w="3795" w:type="dxa"/>
            <w:shd w:val="clear" w:color="auto" w:fill="C0E6F5"/>
            <w:tcMar>
              <w:left w:w="108" w:type="dxa"/>
              <w:right w:w="108" w:type="dxa"/>
            </w:tcMar>
            <w:vAlign w:val="center"/>
          </w:tcPr>
          <w:p w14:paraId="39BCCD9D" w14:textId="35176182" w:rsidR="50B209CA" w:rsidRPr="00071B58" w:rsidRDefault="50B209CA" w:rsidP="50B209CA">
            <w:pPr>
              <w:spacing w:after="0"/>
              <w:rPr>
                <w:rFonts w:ascii="Aptos" w:eastAsia="Aptos" w:hAnsi="Aptos" w:cs="Aptos"/>
                <w:b/>
                <w:bCs/>
                <w:color w:val="000000" w:themeColor="text1"/>
              </w:rPr>
            </w:pPr>
            <w:r w:rsidRPr="00071B58">
              <w:rPr>
                <w:rFonts w:ascii="Aptos" w:eastAsia="Aptos" w:hAnsi="Aptos" w:cs="Aptos"/>
                <w:b/>
                <w:bCs/>
                <w:color w:val="000000" w:themeColor="text1"/>
              </w:rPr>
              <w:t>Tons</w:t>
            </w:r>
          </w:p>
        </w:tc>
        <w:tc>
          <w:tcPr>
            <w:tcW w:w="1275" w:type="dxa"/>
            <w:shd w:val="clear" w:color="auto" w:fill="C0E6F5"/>
            <w:tcMar>
              <w:left w:w="108" w:type="dxa"/>
              <w:right w:w="108" w:type="dxa"/>
            </w:tcMar>
            <w:vAlign w:val="center"/>
          </w:tcPr>
          <w:p w14:paraId="14DBC09C" w14:textId="774CC1E7" w:rsidR="50B209CA" w:rsidRPr="00071B58" w:rsidRDefault="50B209CA" w:rsidP="50B209CA">
            <w:pPr>
              <w:spacing w:after="0"/>
              <w:rPr>
                <w:rFonts w:ascii="Aptos" w:eastAsia="Aptos" w:hAnsi="Aptos" w:cs="Aptos"/>
                <w:b/>
                <w:bCs/>
                <w:color w:val="000000" w:themeColor="text1"/>
              </w:rPr>
            </w:pPr>
            <w:r w:rsidRPr="00071B58">
              <w:rPr>
                <w:rFonts w:ascii="Aptos" w:eastAsia="Aptos" w:hAnsi="Aptos" w:cs="Aptos"/>
                <w:b/>
                <w:bCs/>
                <w:color w:val="000000" w:themeColor="text1"/>
              </w:rPr>
              <w:t xml:space="preserve"> </w:t>
            </w:r>
          </w:p>
        </w:tc>
        <w:tc>
          <w:tcPr>
            <w:tcW w:w="1215" w:type="dxa"/>
            <w:shd w:val="clear" w:color="auto" w:fill="C0E6F5"/>
            <w:tcMar>
              <w:left w:w="108" w:type="dxa"/>
              <w:right w:w="108" w:type="dxa"/>
            </w:tcMar>
          </w:tcPr>
          <w:p w14:paraId="20A6E6F6" w14:textId="7A23458F" w:rsidR="50B209CA" w:rsidRPr="00071B58" w:rsidRDefault="50B209CA" w:rsidP="50B209CA">
            <w:pPr>
              <w:spacing w:after="0"/>
              <w:rPr>
                <w:rFonts w:ascii="Times New Roman" w:eastAsia="Times New Roman" w:hAnsi="Times New Roman" w:cs="Times New Roman"/>
                <w:color w:val="000000" w:themeColor="text1"/>
                <w:sz w:val="20"/>
                <w:szCs w:val="20"/>
              </w:rPr>
            </w:pPr>
            <w:r w:rsidRPr="00071B58">
              <w:rPr>
                <w:rFonts w:ascii="Times New Roman" w:eastAsia="Times New Roman" w:hAnsi="Times New Roman" w:cs="Times New Roman"/>
                <w:color w:val="000000" w:themeColor="text1"/>
                <w:sz w:val="20"/>
                <w:szCs w:val="20"/>
              </w:rPr>
              <w:t xml:space="preserve"> </w:t>
            </w:r>
          </w:p>
        </w:tc>
        <w:tc>
          <w:tcPr>
            <w:tcW w:w="1170" w:type="dxa"/>
            <w:shd w:val="clear" w:color="auto" w:fill="C0E6F5"/>
            <w:tcMar>
              <w:left w:w="108" w:type="dxa"/>
              <w:right w:w="108" w:type="dxa"/>
            </w:tcMar>
          </w:tcPr>
          <w:p w14:paraId="7D28A7D0" w14:textId="5C62B696" w:rsidR="50B209CA" w:rsidRPr="00071B58" w:rsidRDefault="50B209CA" w:rsidP="50B209CA">
            <w:pPr>
              <w:spacing w:after="0"/>
              <w:rPr>
                <w:rFonts w:ascii="Times New Roman" w:eastAsia="Times New Roman" w:hAnsi="Times New Roman" w:cs="Times New Roman"/>
                <w:color w:val="000000" w:themeColor="text1"/>
                <w:sz w:val="20"/>
                <w:szCs w:val="20"/>
              </w:rPr>
            </w:pPr>
            <w:r w:rsidRPr="00071B58">
              <w:rPr>
                <w:rFonts w:ascii="Times New Roman" w:eastAsia="Times New Roman" w:hAnsi="Times New Roman" w:cs="Times New Roman"/>
                <w:color w:val="000000" w:themeColor="text1"/>
                <w:sz w:val="20"/>
                <w:szCs w:val="20"/>
              </w:rPr>
              <w:t xml:space="preserve"> </w:t>
            </w:r>
          </w:p>
        </w:tc>
        <w:tc>
          <w:tcPr>
            <w:tcW w:w="1560" w:type="dxa"/>
            <w:shd w:val="clear" w:color="auto" w:fill="C0E6F5"/>
            <w:tcMar>
              <w:left w:w="108" w:type="dxa"/>
              <w:right w:w="108" w:type="dxa"/>
            </w:tcMar>
          </w:tcPr>
          <w:p w14:paraId="21895E73" w14:textId="7191A4C7" w:rsidR="50B209CA" w:rsidRPr="00071B58" w:rsidRDefault="50B209CA" w:rsidP="50B209CA">
            <w:pPr>
              <w:spacing w:after="0"/>
              <w:rPr>
                <w:rFonts w:ascii="Times New Roman" w:eastAsia="Times New Roman" w:hAnsi="Times New Roman" w:cs="Times New Roman"/>
                <w:color w:val="000000" w:themeColor="text1"/>
                <w:sz w:val="20"/>
                <w:szCs w:val="20"/>
              </w:rPr>
            </w:pPr>
            <w:r w:rsidRPr="00071B58">
              <w:rPr>
                <w:rFonts w:ascii="Times New Roman" w:eastAsia="Times New Roman" w:hAnsi="Times New Roman" w:cs="Times New Roman"/>
                <w:color w:val="000000" w:themeColor="text1"/>
                <w:sz w:val="20"/>
                <w:szCs w:val="20"/>
              </w:rPr>
              <w:t xml:space="preserve"> </w:t>
            </w:r>
          </w:p>
        </w:tc>
      </w:tr>
      <w:tr w:rsidR="00EC2213" w:rsidRPr="00071B58" w14:paraId="70111342" w14:textId="77777777" w:rsidTr="50B209CA">
        <w:trPr>
          <w:trHeight w:val="315"/>
        </w:trPr>
        <w:tc>
          <w:tcPr>
            <w:tcW w:w="3795" w:type="dxa"/>
            <w:shd w:val="clear" w:color="auto" w:fill="C0E6F5"/>
            <w:tcMar>
              <w:left w:w="108" w:type="dxa"/>
              <w:right w:w="108" w:type="dxa"/>
            </w:tcMar>
            <w:vAlign w:val="center"/>
          </w:tcPr>
          <w:p w14:paraId="62059201" w14:textId="3F1CBFE2" w:rsidR="50B209CA" w:rsidRPr="00071B58" w:rsidRDefault="50B209CA" w:rsidP="50B209CA">
            <w:pPr>
              <w:spacing w:after="0"/>
              <w:rPr>
                <w:rFonts w:ascii="Aptos" w:eastAsia="Aptos" w:hAnsi="Aptos" w:cs="Aptos"/>
                <w:b/>
                <w:bCs/>
                <w:color w:val="000000" w:themeColor="text1"/>
              </w:rPr>
            </w:pPr>
            <w:r w:rsidRPr="00071B58">
              <w:rPr>
                <w:rFonts w:ascii="Aptos" w:eastAsia="Aptos" w:hAnsi="Aptos" w:cs="Aptos"/>
                <w:b/>
                <w:bCs/>
                <w:color w:val="000000" w:themeColor="text1"/>
              </w:rPr>
              <w:t>Product</w:t>
            </w:r>
          </w:p>
        </w:tc>
        <w:tc>
          <w:tcPr>
            <w:tcW w:w="1275" w:type="dxa"/>
            <w:shd w:val="clear" w:color="auto" w:fill="C0E6F5"/>
            <w:tcMar>
              <w:left w:w="108" w:type="dxa"/>
              <w:right w:w="108" w:type="dxa"/>
            </w:tcMar>
            <w:vAlign w:val="center"/>
          </w:tcPr>
          <w:p w14:paraId="600165C2" w14:textId="26A4CB23" w:rsidR="50B209CA" w:rsidRPr="00071B58" w:rsidRDefault="50B209CA" w:rsidP="50B209CA">
            <w:pPr>
              <w:spacing w:after="0"/>
              <w:jc w:val="right"/>
              <w:rPr>
                <w:rFonts w:ascii="Aptos" w:eastAsia="Aptos" w:hAnsi="Aptos" w:cs="Aptos"/>
                <w:b/>
                <w:bCs/>
                <w:color w:val="000000" w:themeColor="text1"/>
              </w:rPr>
            </w:pPr>
            <w:r w:rsidRPr="00071B58">
              <w:rPr>
                <w:rFonts w:ascii="Aptos" w:eastAsia="Aptos" w:hAnsi="Aptos" w:cs="Aptos"/>
                <w:b/>
                <w:bCs/>
                <w:color w:val="000000" w:themeColor="text1"/>
              </w:rPr>
              <w:t>2023</w:t>
            </w:r>
          </w:p>
        </w:tc>
        <w:tc>
          <w:tcPr>
            <w:tcW w:w="1215" w:type="dxa"/>
            <w:shd w:val="clear" w:color="auto" w:fill="C0E6F5"/>
            <w:tcMar>
              <w:left w:w="108" w:type="dxa"/>
              <w:right w:w="108" w:type="dxa"/>
            </w:tcMar>
            <w:vAlign w:val="center"/>
          </w:tcPr>
          <w:p w14:paraId="5B7622C8" w14:textId="7196CE4B" w:rsidR="50B209CA" w:rsidRPr="00071B58" w:rsidRDefault="50B209CA" w:rsidP="50B209CA">
            <w:pPr>
              <w:spacing w:after="0"/>
              <w:jc w:val="right"/>
              <w:rPr>
                <w:rFonts w:ascii="Aptos" w:eastAsia="Aptos" w:hAnsi="Aptos" w:cs="Aptos"/>
                <w:b/>
                <w:bCs/>
                <w:color w:val="000000" w:themeColor="text1"/>
              </w:rPr>
            </w:pPr>
            <w:r w:rsidRPr="00071B58">
              <w:rPr>
                <w:rFonts w:ascii="Aptos" w:eastAsia="Aptos" w:hAnsi="Aptos" w:cs="Aptos"/>
                <w:b/>
                <w:bCs/>
                <w:color w:val="000000" w:themeColor="text1"/>
              </w:rPr>
              <w:t>2024</w:t>
            </w:r>
          </w:p>
        </w:tc>
        <w:tc>
          <w:tcPr>
            <w:tcW w:w="1170" w:type="dxa"/>
            <w:shd w:val="clear" w:color="auto" w:fill="C0E6F5"/>
            <w:tcMar>
              <w:left w:w="108" w:type="dxa"/>
              <w:right w:w="108" w:type="dxa"/>
            </w:tcMar>
            <w:vAlign w:val="center"/>
          </w:tcPr>
          <w:p w14:paraId="082D9B80" w14:textId="13E5B658" w:rsidR="50B209CA" w:rsidRPr="00071B58" w:rsidRDefault="50B209CA" w:rsidP="50B209CA">
            <w:pPr>
              <w:spacing w:after="0"/>
              <w:jc w:val="right"/>
              <w:rPr>
                <w:rFonts w:ascii="Aptos" w:eastAsia="Aptos" w:hAnsi="Aptos" w:cs="Aptos"/>
                <w:b/>
                <w:bCs/>
                <w:color w:val="000000" w:themeColor="text1"/>
              </w:rPr>
            </w:pPr>
            <w:r w:rsidRPr="00071B58">
              <w:rPr>
                <w:rFonts w:ascii="Aptos" w:eastAsia="Aptos" w:hAnsi="Aptos" w:cs="Aptos"/>
                <w:b/>
                <w:bCs/>
                <w:color w:val="000000" w:themeColor="text1"/>
              </w:rPr>
              <w:t>2025</w:t>
            </w:r>
          </w:p>
        </w:tc>
        <w:tc>
          <w:tcPr>
            <w:tcW w:w="1560" w:type="dxa"/>
            <w:shd w:val="clear" w:color="auto" w:fill="C0E6F5"/>
            <w:tcMar>
              <w:left w:w="108" w:type="dxa"/>
              <w:right w:w="108" w:type="dxa"/>
            </w:tcMar>
            <w:vAlign w:val="center"/>
          </w:tcPr>
          <w:p w14:paraId="26B54C14" w14:textId="1BCDB754" w:rsidR="50B209CA" w:rsidRPr="00071B58" w:rsidRDefault="50B209CA" w:rsidP="50B209CA">
            <w:pPr>
              <w:spacing w:after="0"/>
              <w:rPr>
                <w:rFonts w:ascii="Aptos" w:eastAsia="Aptos" w:hAnsi="Aptos" w:cs="Aptos"/>
                <w:b/>
                <w:bCs/>
                <w:color w:val="000000" w:themeColor="text1"/>
              </w:rPr>
            </w:pPr>
            <w:r w:rsidRPr="00071B58">
              <w:rPr>
                <w:rFonts w:ascii="Aptos" w:eastAsia="Aptos" w:hAnsi="Aptos" w:cs="Aptos"/>
                <w:b/>
                <w:bCs/>
                <w:color w:val="000000" w:themeColor="text1"/>
              </w:rPr>
              <w:t>Grand Total</w:t>
            </w:r>
          </w:p>
        </w:tc>
      </w:tr>
      <w:tr w:rsidR="00EC2213" w:rsidRPr="00071B58" w14:paraId="2B900CF1" w14:textId="77777777" w:rsidTr="50B209CA">
        <w:trPr>
          <w:trHeight w:val="315"/>
        </w:trPr>
        <w:tc>
          <w:tcPr>
            <w:tcW w:w="3795" w:type="dxa"/>
            <w:tcMar>
              <w:left w:w="108" w:type="dxa"/>
              <w:right w:w="108" w:type="dxa"/>
            </w:tcMar>
            <w:vAlign w:val="center"/>
          </w:tcPr>
          <w:p w14:paraId="1681F421" w14:textId="719540AD"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Equal Angle (72287010000)</w:t>
            </w:r>
          </w:p>
        </w:tc>
        <w:tc>
          <w:tcPr>
            <w:tcW w:w="1275" w:type="dxa"/>
            <w:tcMar>
              <w:left w:w="108" w:type="dxa"/>
              <w:right w:w="108" w:type="dxa"/>
            </w:tcMar>
            <w:vAlign w:val="center"/>
          </w:tcPr>
          <w:p w14:paraId="3A3FBB4D" w14:textId="28167CE4" w:rsidR="50B209CA" w:rsidRPr="00071B58" w:rsidRDefault="50B209CA" w:rsidP="50B209CA">
            <w:pPr>
              <w:spacing w:after="0"/>
              <w:jc w:val="right"/>
              <w:rPr>
                <w:rFonts w:ascii="Aptos" w:eastAsia="Aptos" w:hAnsi="Aptos" w:cs="Aptos"/>
                <w:color w:val="000000" w:themeColor="text1"/>
              </w:rPr>
            </w:pPr>
            <w:r w:rsidRPr="00071B58">
              <w:rPr>
                <w:rFonts w:ascii="Aptos" w:eastAsia="Aptos" w:hAnsi="Aptos" w:cs="Aptos"/>
                <w:color w:val="000000" w:themeColor="text1"/>
              </w:rPr>
              <w:t>1.125</w:t>
            </w:r>
          </w:p>
        </w:tc>
        <w:tc>
          <w:tcPr>
            <w:tcW w:w="1215" w:type="dxa"/>
            <w:tcMar>
              <w:left w:w="108" w:type="dxa"/>
              <w:right w:w="108" w:type="dxa"/>
            </w:tcMar>
            <w:vAlign w:val="center"/>
          </w:tcPr>
          <w:p w14:paraId="5BE5F3FF" w14:textId="6B147D10"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14.018</w:t>
            </w:r>
          </w:p>
        </w:tc>
        <w:tc>
          <w:tcPr>
            <w:tcW w:w="1170" w:type="dxa"/>
            <w:tcMar>
              <w:left w:w="108" w:type="dxa"/>
              <w:right w:w="108" w:type="dxa"/>
            </w:tcMar>
            <w:vAlign w:val="center"/>
          </w:tcPr>
          <w:p w14:paraId="17587C56" w14:textId="244C865A"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5.791</w:t>
            </w:r>
          </w:p>
        </w:tc>
        <w:tc>
          <w:tcPr>
            <w:tcW w:w="1560" w:type="dxa"/>
            <w:tcMar>
              <w:left w:w="108" w:type="dxa"/>
              <w:right w:w="108" w:type="dxa"/>
            </w:tcMar>
            <w:vAlign w:val="center"/>
          </w:tcPr>
          <w:p w14:paraId="63597102" w14:textId="518A0B91"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20.934</w:t>
            </w:r>
          </w:p>
        </w:tc>
      </w:tr>
      <w:tr w:rsidR="00EC2213" w:rsidRPr="00071B58" w14:paraId="08364611" w14:textId="77777777" w:rsidTr="50B209CA">
        <w:trPr>
          <w:trHeight w:val="315"/>
        </w:trPr>
        <w:tc>
          <w:tcPr>
            <w:tcW w:w="3795" w:type="dxa"/>
            <w:tcMar>
              <w:left w:w="108" w:type="dxa"/>
              <w:right w:w="108" w:type="dxa"/>
            </w:tcMar>
            <w:vAlign w:val="center"/>
          </w:tcPr>
          <w:p w14:paraId="0E7C2C7D" w14:textId="1ED6E28E"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Flat (72283070000)</w:t>
            </w:r>
          </w:p>
        </w:tc>
        <w:tc>
          <w:tcPr>
            <w:tcW w:w="1275" w:type="dxa"/>
            <w:tcMar>
              <w:left w:w="108" w:type="dxa"/>
              <w:right w:w="108" w:type="dxa"/>
            </w:tcMar>
            <w:vAlign w:val="center"/>
          </w:tcPr>
          <w:p w14:paraId="15666935" w14:textId="41E6808B" w:rsidR="50B209CA" w:rsidRPr="00071B58" w:rsidRDefault="50B209CA" w:rsidP="50B209CA">
            <w:pPr>
              <w:spacing w:after="0"/>
              <w:jc w:val="right"/>
              <w:rPr>
                <w:rFonts w:ascii="Aptos" w:eastAsia="Aptos" w:hAnsi="Aptos" w:cs="Aptos"/>
                <w:color w:val="000000" w:themeColor="text1"/>
              </w:rPr>
            </w:pPr>
            <w:r w:rsidRPr="00071B58">
              <w:rPr>
                <w:rFonts w:ascii="Aptos" w:eastAsia="Aptos" w:hAnsi="Aptos" w:cs="Aptos"/>
                <w:color w:val="000000" w:themeColor="text1"/>
              </w:rPr>
              <w:t>3.961</w:t>
            </w:r>
          </w:p>
        </w:tc>
        <w:tc>
          <w:tcPr>
            <w:tcW w:w="1215" w:type="dxa"/>
            <w:tcMar>
              <w:left w:w="108" w:type="dxa"/>
              <w:right w:w="108" w:type="dxa"/>
            </w:tcMar>
            <w:vAlign w:val="center"/>
          </w:tcPr>
          <w:p w14:paraId="2D560CCF" w14:textId="2572C882"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38.322</w:t>
            </w:r>
          </w:p>
        </w:tc>
        <w:tc>
          <w:tcPr>
            <w:tcW w:w="1170" w:type="dxa"/>
            <w:tcMar>
              <w:left w:w="108" w:type="dxa"/>
              <w:right w:w="108" w:type="dxa"/>
            </w:tcMar>
            <w:vAlign w:val="center"/>
          </w:tcPr>
          <w:p w14:paraId="1ADF0B6D" w14:textId="3F2AAF85"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14.039</w:t>
            </w:r>
          </w:p>
        </w:tc>
        <w:tc>
          <w:tcPr>
            <w:tcW w:w="1560" w:type="dxa"/>
            <w:tcMar>
              <w:left w:w="108" w:type="dxa"/>
              <w:right w:w="108" w:type="dxa"/>
            </w:tcMar>
            <w:vAlign w:val="center"/>
          </w:tcPr>
          <w:p w14:paraId="7CD67E6D" w14:textId="63E86632"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56.322</w:t>
            </w:r>
          </w:p>
        </w:tc>
      </w:tr>
      <w:tr w:rsidR="00EC2213" w:rsidRPr="00071B58" w14:paraId="24604950" w14:textId="77777777" w:rsidTr="50B209CA">
        <w:trPr>
          <w:trHeight w:val="315"/>
        </w:trPr>
        <w:tc>
          <w:tcPr>
            <w:tcW w:w="3795" w:type="dxa"/>
            <w:tcMar>
              <w:left w:w="108" w:type="dxa"/>
              <w:right w:w="108" w:type="dxa"/>
            </w:tcMar>
            <w:vAlign w:val="center"/>
          </w:tcPr>
          <w:p w14:paraId="597D8562" w14:textId="259C053A"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PFC (72287010000)</w:t>
            </w:r>
          </w:p>
        </w:tc>
        <w:tc>
          <w:tcPr>
            <w:tcW w:w="1275" w:type="dxa"/>
            <w:tcMar>
              <w:left w:w="108" w:type="dxa"/>
              <w:right w:w="108" w:type="dxa"/>
            </w:tcMar>
            <w:vAlign w:val="center"/>
          </w:tcPr>
          <w:p w14:paraId="58F3BD3E" w14:textId="0F5F26B2" w:rsidR="50B209CA" w:rsidRPr="00071B58" w:rsidRDefault="50B209CA" w:rsidP="50B209CA">
            <w:pPr>
              <w:spacing w:after="0"/>
              <w:jc w:val="right"/>
              <w:rPr>
                <w:rFonts w:ascii="Aptos" w:eastAsia="Aptos" w:hAnsi="Aptos" w:cs="Aptos"/>
                <w:color w:val="000000" w:themeColor="text1"/>
              </w:rPr>
            </w:pPr>
            <w:r w:rsidRPr="00071B58">
              <w:rPr>
                <w:rFonts w:ascii="Aptos" w:eastAsia="Aptos" w:hAnsi="Aptos" w:cs="Aptos"/>
                <w:color w:val="000000" w:themeColor="text1"/>
              </w:rPr>
              <w:t>955</w:t>
            </w:r>
          </w:p>
        </w:tc>
        <w:tc>
          <w:tcPr>
            <w:tcW w:w="1215" w:type="dxa"/>
            <w:tcMar>
              <w:left w:w="108" w:type="dxa"/>
              <w:right w:w="108" w:type="dxa"/>
            </w:tcMar>
            <w:vAlign w:val="center"/>
          </w:tcPr>
          <w:p w14:paraId="2037F481" w14:textId="185BEA8E"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8.608</w:t>
            </w:r>
          </w:p>
        </w:tc>
        <w:tc>
          <w:tcPr>
            <w:tcW w:w="1170" w:type="dxa"/>
            <w:tcMar>
              <w:left w:w="108" w:type="dxa"/>
              <w:right w:w="108" w:type="dxa"/>
            </w:tcMar>
            <w:vAlign w:val="center"/>
          </w:tcPr>
          <w:p w14:paraId="59FF3C70" w14:textId="2D5AEDB6"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4.883</w:t>
            </w:r>
          </w:p>
        </w:tc>
        <w:tc>
          <w:tcPr>
            <w:tcW w:w="1560" w:type="dxa"/>
            <w:tcMar>
              <w:left w:w="108" w:type="dxa"/>
              <w:right w:w="108" w:type="dxa"/>
            </w:tcMar>
            <w:vAlign w:val="center"/>
          </w:tcPr>
          <w:p w14:paraId="0D507AD5" w14:textId="2167431F"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14.446</w:t>
            </w:r>
          </w:p>
        </w:tc>
      </w:tr>
      <w:tr w:rsidR="00EC2213" w:rsidRPr="00071B58" w14:paraId="5D7B73FE" w14:textId="77777777" w:rsidTr="50B209CA">
        <w:trPr>
          <w:trHeight w:val="315"/>
        </w:trPr>
        <w:tc>
          <w:tcPr>
            <w:tcW w:w="3795" w:type="dxa"/>
            <w:tcMar>
              <w:left w:w="108" w:type="dxa"/>
              <w:right w:w="108" w:type="dxa"/>
            </w:tcMar>
            <w:vAlign w:val="center"/>
          </w:tcPr>
          <w:p w14:paraId="5D47EA92" w14:textId="5D253241"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Round (72283069000)</w:t>
            </w:r>
          </w:p>
        </w:tc>
        <w:tc>
          <w:tcPr>
            <w:tcW w:w="1275" w:type="dxa"/>
            <w:tcMar>
              <w:left w:w="108" w:type="dxa"/>
              <w:right w:w="108" w:type="dxa"/>
            </w:tcMar>
            <w:vAlign w:val="center"/>
          </w:tcPr>
          <w:p w14:paraId="256E0378" w14:textId="2524FFBD" w:rsidR="50B209CA" w:rsidRPr="00071B58" w:rsidRDefault="50B209CA" w:rsidP="50B209CA">
            <w:pPr>
              <w:spacing w:after="0"/>
              <w:jc w:val="right"/>
              <w:rPr>
                <w:rFonts w:ascii="Aptos" w:eastAsia="Aptos" w:hAnsi="Aptos" w:cs="Aptos"/>
                <w:color w:val="000000" w:themeColor="text1"/>
              </w:rPr>
            </w:pPr>
            <w:r w:rsidRPr="00071B58">
              <w:rPr>
                <w:rFonts w:ascii="Aptos" w:eastAsia="Aptos" w:hAnsi="Aptos" w:cs="Aptos"/>
                <w:color w:val="000000" w:themeColor="text1"/>
              </w:rPr>
              <w:t>286</w:t>
            </w:r>
          </w:p>
        </w:tc>
        <w:tc>
          <w:tcPr>
            <w:tcW w:w="1215" w:type="dxa"/>
            <w:tcMar>
              <w:left w:w="108" w:type="dxa"/>
              <w:right w:w="108" w:type="dxa"/>
            </w:tcMar>
            <w:vAlign w:val="center"/>
          </w:tcPr>
          <w:p w14:paraId="04DD4A35" w14:textId="6048AFD4"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484</w:t>
            </w:r>
          </w:p>
        </w:tc>
        <w:tc>
          <w:tcPr>
            <w:tcW w:w="1170" w:type="dxa"/>
            <w:tcMar>
              <w:left w:w="108" w:type="dxa"/>
              <w:right w:w="108" w:type="dxa"/>
            </w:tcMar>
            <w:vAlign w:val="center"/>
          </w:tcPr>
          <w:p w14:paraId="42D511D3" w14:textId="3BD1676F"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106</w:t>
            </w:r>
          </w:p>
        </w:tc>
        <w:tc>
          <w:tcPr>
            <w:tcW w:w="1560" w:type="dxa"/>
            <w:tcMar>
              <w:left w:w="108" w:type="dxa"/>
              <w:right w:w="108" w:type="dxa"/>
            </w:tcMar>
            <w:vAlign w:val="center"/>
          </w:tcPr>
          <w:p w14:paraId="2D5B7878" w14:textId="4955AA43"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877</w:t>
            </w:r>
          </w:p>
        </w:tc>
      </w:tr>
      <w:tr w:rsidR="00EC2213" w:rsidRPr="00071B58" w14:paraId="47E155AC" w14:textId="77777777" w:rsidTr="50B209CA">
        <w:trPr>
          <w:trHeight w:val="315"/>
        </w:trPr>
        <w:tc>
          <w:tcPr>
            <w:tcW w:w="3795" w:type="dxa"/>
            <w:tcMar>
              <w:left w:w="108" w:type="dxa"/>
              <w:right w:w="108" w:type="dxa"/>
            </w:tcMar>
            <w:vAlign w:val="center"/>
          </w:tcPr>
          <w:p w14:paraId="20B1EF7E" w14:textId="066F3AEF"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Unequal Angle (72287010000)</w:t>
            </w:r>
          </w:p>
        </w:tc>
        <w:tc>
          <w:tcPr>
            <w:tcW w:w="1275" w:type="dxa"/>
            <w:tcMar>
              <w:left w:w="108" w:type="dxa"/>
              <w:right w:w="108" w:type="dxa"/>
            </w:tcMar>
            <w:vAlign w:val="center"/>
          </w:tcPr>
          <w:p w14:paraId="78FC7924" w14:textId="78633C06" w:rsidR="50B209CA" w:rsidRPr="00071B58" w:rsidRDefault="50B209CA" w:rsidP="50B209CA">
            <w:pPr>
              <w:spacing w:after="0"/>
              <w:jc w:val="right"/>
              <w:rPr>
                <w:rFonts w:ascii="Aptos" w:eastAsia="Aptos" w:hAnsi="Aptos" w:cs="Aptos"/>
                <w:color w:val="000000" w:themeColor="text1"/>
              </w:rPr>
            </w:pPr>
            <w:r w:rsidRPr="00071B58">
              <w:rPr>
                <w:rFonts w:ascii="Aptos" w:eastAsia="Aptos" w:hAnsi="Aptos" w:cs="Aptos"/>
                <w:color w:val="000000" w:themeColor="text1"/>
              </w:rPr>
              <w:t>676</w:t>
            </w:r>
          </w:p>
        </w:tc>
        <w:tc>
          <w:tcPr>
            <w:tcW w:w="1215" w:type="dxa"/>
            <w:tcMar>
              <w:left w:w="108" w:type="dxa"/>
              <w:right w:w="108" w:type="dxa"/>
            </w:tcMar>
            <w:vAlign w:val="center"/>
          </w:tcPr>
          <w:p w14:paraId="602CF79F" w14:textId="314D9DB9"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6.108</w:t>
            </w:r>
          </w:p>
        </w:tc>
        <w:tc>
          <w:tcPr>
            <w:tcW w:w="1170" w:type="dxa"/>
            <w:tcMar>
              <w:left w:w="108" w:type="dxa"/>
              <w:right w:w="108" w:type="dxa"/>
            </w:tcMar>
            <w:vAlign w:val="center"/>
          </w:tcPr>
          <w:p w14:paraId="100A4AC5" w14:textId="2C17007A"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4.216</w:t>
            </w:r>
          </w:p>
        </w:tc>
        <w:tc>
          <w:tcPr>
            <w:tcW w:w="1560" w:type="dxa"/>
            <w:tcMar>
              <w:left w:w="108" w:type="dxa"/>
              <w:right w:w="108" w:type="dxa"/>
            </w:tcMar>
            <w:vAlign w:val="center"/>
          </w:tcPr>
          <w:p w14:paraId="0413B354" w14:textId="3AC1E1CA"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11.001</w:t>
            </w:r>
          </w:p>
        </w:tc>
      </w:tr>
      <w:tr w:rsidR="00EC2213" w:rsidRPr="00071B58" w14:paraId="0BA3F0A4" w14:textId="77777777" w:rsidTr="50B209CA">
        <w:trPr>
          <w:trHeight w:val="315"/>
        </w:trPr>
        <w:tc>
          <w:tcPr>
            <w:tcW w:w="3795" w:type="dxa"/>
            <w:tcMar>
              <w:left w:w="108" w:type="dxa"/>
              <w:right w:w="108" w:type="dxa"/>
            </w:tcMar>
            <w:vAlign w:val="center"/>
          </w:tcPr>
          <w:p w14:paraId="2487200D" w14:textId="723189F2"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UPN (72287010000)</w:t>
            </w:r>
          </w:p>
        </w:tc>
        <w:tc>
          <w:tcPr>
            <w:tcW w:w="1275" w:type="dxa"/>
            <w:tcMar>
              <w:left w:w="108" w:type="dxa"/>
              <w:right w:w="108" w:type="dxa"/>
            </w:tcMar>
            <w:vAlign w:val="center"/>
          </w:tcPr>
          <w:p w14:paraId="51197080" w14:textId="13E8D4F4" w:rsidR="50B209CA" w:rsidRPr="00071B58" w:rsidRDefault="50B209CA" w:rsidP="50B209CA">
            <w:pPr>
              <w:spacing w:after="0"/>
              <w:jc w:val="right"/>
              <w:rPr>
                <w:rFonts w:ascii="Aptos" w:eastAsia="Aptos" w:hAnsi="Aptos" w:cs="Aptos"/>
                <w:color w:val="000000" w:themeColor="text1"/>
              </w:rPr>
            </w:pPr>
            <w:r w:rsidRPr="00071B58">
              <w:rPr>
                <w:rFonts w:ascii="Aptos" w:eastAsia="Aptos" w:hAnsi="Aptos" w:cs="Aptos"/>
                <w:color w:val="000000" w:themeColor="text1"/>
              </w:rPr>
              <w:t>281</w:t>
            </w:r>
          </w:p>
        </w:tc>
        <w:tc>
          <w:tcPr>
            <w:tcW w:w="1215" w:type="dxa"/>
            <w:tcMar>
              <w:left w:w="108" w:type="dxa"/>
              <w:right w:w="108" w:type="dxa"/>
            </w:tcMar>
            <w:vAlign w:val="center"/>
          </w:tcPr>
          <w:p w14:paraId="14C62468" w14:textId="5C7F2F23"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96</w:t>
            </w:r>
          </w:p>
        </w:tc>
        <w:tc>
          <w:tcPr>
            <w:tcW w:w="1170" w:type="dxa"/>
            <w:tcMar>
              <w:left w:w="108" w:type="dxa"/>
              <w:right w:w="108" w:type="dxa"/>
            </w:tcMar>
            <w:vAlign w:val="center"/>
          </w:tcPr>
          <w:p w14:paraId="246D3FC6" w14:textId="232FD855"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1.565</w:t>
            </w:r>
          </w:p>
        </w:tc>
        <w:tc>
          <w:tcPr>
            <w:tcW w:w="1560" w:type="dxa"/>
            <w:tcMar>
              <w:left w:w="108" w:type="dxa"/>
              <w:right w:w="108" w:type="dxa"/>
            </w:tcMar>
            <w:vAlign w:val="center"/>
          </w:tcPr>
          <w:p w14:paraId="3DA13FB2" w14:textId="66075323" w:rsidR="50B209CA" w:rsidRPr="00071B58" w:rsidRDefault="50B209CA" w:rsidP="50B209CA">
            <w:pPr>
              <w:spacing w:after="0"/>
              <w:rPr>
                <w:rFonts w:ascii="Aptos" w:eastAsia="Aptos" w:hAnsi="Aptos" w:cs="Aptos"/>
                <w:color w:val="000000" w:themeColor="text1"/>
              </w:rPr>
            </w:pPr>
            <w:r w:rsidRPr="00071B58">
              <w:rPr>
                <w:rFonts w:ascii="Aptos" w:eastAsia="Aptos" w:hAnsi="Aptos" w:cs="Aptos"/>
                <w:color w:val="000000" w:themeColor="text1"/>
              </w:rPr>
              <w:t xml:space="preserve"> 1.941</w:t>
            </w:r>
          </w:p>
        </w:tc>
      </w:tr>
      <w:tr w:rsidR="00EC2213" w:rsidRPr="00071B58" w14:paraId="0EE7952F" w14:textId="77777777" w:rsidTr="50B209CA">
        <w:trPr>
          <w:trHeight w:val="315"/>
        </w:trPr>
        <w:tc>
          <w:tcPr>
            <w:tcW w:w="3795" w:type="dxa"/>
            <w:shd w:val="clear" w:color="auto" w:fill="C0E6F5"/>
            <w:tcMar>
              <w:left w:w="108" w:type="dxa"/>
              <w:right w:w="108" w:type="dxa"/>
            </w:tcMar>
            <w:vAlign w:val="center"/>
          </w:tcPr>
          <w:p w14:paraId="673C341D" w14:textId="2050CD50" w:rsidR="50B209CA" w:rsidRPr="00071B58" w:rsidRDefault="50B209CA" w:rsidP="50B209CA">
            <w:pPr>
              <w:spacing w:after="0"/>
              <w:rPr>
                <w:rFonts w:ascii="Aptos" w:eastAsia="Aptos" w:hAnsi="Aptos" w:cs="Aptos"/>
                <w:b/>
                <w:bCs/>
                <w:color w:val="000000" w:themeColor="text1"/>
              </w:rPr>
            </w:pPr>
            <w:r w:rsidRPr="00071B58">
              <w:rPr>
                <w:rFonts w:ascii="Aptos" w:eastAsia="Aptos" w:hAnsi="Aptos" w:cs="Aptos"/>
                <w:b/>
                <w:bCs/>
                <w:color w:val="000000" w:themeColor="text1"/>
              </w:rPr>
              <w:t>Grand Total</w:t>
            </w:r>
          </w:p>
        </w:tc>
        <w:tc>
          <w:tcPr>
            <w:tcW w:w="1275" w:type="dxa"/>
            <w:shd w:val="clear" w:color="auto" w:fill="C0E6F5"/>
            <w:tcMar>
              <w:left w:w="108" w:type="dxa"/>
              <w:right w:w="108" w:type="dxa"/>
            </w:tcMar>
            <w:vAlign w:val="center"/>
          </w:tcPr>
          <w:p w14:paraId="7CB54D23" w14:textId="68491B88" w:rsidR="50B209CA" w:rsidRPr="00071B58" w:rsidRDefault="50B209CA" w:rsidP="50B209CA">
            <w:pPr>
              <w:spacing w:after="0"/>
              <w:jc w:val="right"/>
              <w:rPr>
                <w:rFonts w:ascii="Aptos" w:eastAsia="Aptos" w:hAnsi="Aptos" w:cs="Aptos"/>
                <w:b/>
                <w:bCs/>
                <w:color w:val="000000" w:themeColor="text1"/>
              </w:rPr>
            </w:pPr>
            <w:r w:rsidRPr="00071B58">
              <w:rPr>
                <w:rFonts w:ascii="Aptos" w:eastAsia="Aptos" w:hAnsi="Aptos" w:cs="Aptos"/>
                <w:b/>
                <w:bCs/>
                <w:color w:val="000000" w:themeColor="text1"/>
              </w:rPr>
              <w:t>7.284</w:t>
            </w:r>
          </w:p>
        </w:tc>
        <w:tc>
          <w:tcPr>
            <w:tcW w:w="1215" w:type="dxa"/>
            <w:shd w:val="clear" w:color="auto" w:fill="C0E6F5"/>
            <w:tcMar>
              <w:left w:w="108" w:type="dxa"/>
              <w:right w:w="108" w:type="dxa"/>
            </w:tcMar>
            <w:vAlign w:val="center"/>
          </w:tcPr>
          <w:p w14:paraId="2011B359" w14:textId="1356A2FF" w:rsidR="50B209CA" w:rsidRPr="00071B58" w:rsidRDefault="50B209CA" w:rsidP="50B209CA">
            <w:pPr>
              <w:spacing w:after="0"/>
              <w:rPr>
                <w:rFonts w:ascii="Aptos" w:eastAsia="Aptos" w:hAnsi="Aptos" w:cs="Aptos"/>
                <w:b/>
                <w:bCs/>
                <w:color w:val="000000" w:themeColor="text1"/>
              </w:rPr>
            </w:pPr>
            <w:r w:rsidRPr="00071B58">
              <w:rPr>
                <w:rFonts w:ascii="Aptos" w:eastAsia="Aptos" w:hAnsi="Aptos" w:cs="Aptos"/>
                <w:b/>
                <w:bCs/>
                <w:color w:val="000000" w:themeColor="text1"/>
              </w:rPr>
              <w:t xml:space="preserve"> 67.636 </w:t>
            </w:r>
          </w:p>
        </w:tc>
        <w:tc>
          <w:tcPr>
            <w:tcW w:w="1170" w:type="dxa"/>
            <w:shd w:val="clear" w:color="auto" w:fill="C0E6F5"/>
            <w:tcMar>
              <w:left w:w="108" w:type="dxa"/>
              <w:right w:w="108" w:type="dxa"/>
            </w:tcMar>
            <w:vAlign w:val="center"/>
          </w:tcPr>
          <w:p w14:paraId="5C043501" w14:textId="2C7E1D6B" w:rsidR="50B209CA" w:rsidRPr="00071B58" w:rsidRDefault="50B209CA" w:rsidP="50B209CA">
            <w:pPr>
              <w:spacing w:after="0"/>
              <w:rPr>
                <w:rFonts w:ascii="Aptos" w:eastAsia="Aptos" w:hAnsi="Aptos" w:cs="Aptos"/>
                <w:b/>
                <w:bCs/>
                <w:color w:val="000000" w:themeColor="text1"/>
              </w:rPr>
            </w:pPr>
            <w:r w:rsidRPr="00071B58">
              <w:rPr>
                <w:rFonts w:ascii="Aptos" w:eastAsia="Aptos" w:hAnsi="Aptos" w:cs="Aptos"/>
                <w:b/>
                <w:bCs/>
                <w:color w:val="000000" w:themeColor="text1"/>
              </w:rPr>
              <w:t xml:space="preserve"> 30.601 </w:t>
            </w:r>
          </w:p>
        </w:tc>
        <w:tc>
          <w:tcPr>
            <w:tcW w:w="1560" w:type="dxa"/>
            <w:shd w:val="clear" w:color="auto" w:fill="C0E6F5"/>
            <w:tcMar>
              <w:left w:w="108" w:type="dxa"/>
              <w:right w:w="108" w:type="dxa"/>
            </w:tcMar>
            <w:vAlign w:val="center"/>
          </w:tcPr>
          <w:p w14:paraId="4AFD19B7" w14:textId="10FB4D3F" w:rsidR="50B209CA" w:rsidRPr="00071B58" w:rsidRDefault="50B209CA" w:rsidP="50B209CA">
            <w:pPr>
              <w:spacing w:after="0"/>
              <w:rPr>
                <w:rFonts w:ascii="Aptos" w:eastAsia="Aptos" w:hAnsi="Aptos" w:cs="Aptos"/>
                <w:b/>
                <w:bCs/>
                <w:color w:val="000000" w:themeColor="text1"/>
              </w:rPr>
            </w:pPr>
            <w:r w:rsidRPr="00071B58">
              <w:rPr>
                <w:rFonts w:ascii="Aptos" w:eastAsia="Aptos" w:hAnsi="Aptos" w:cs="Aptos"/>
                <w:b/>
                <w:bCs/>
                <w:color w:val="000000" w:themeColor="text1"/>
              </w:rPr>
              <w:t xml:space="preserve"> 105.521</w:t>
            </w:r>
          </w:p>
        </w:tc>
      </w:tr>
    </w:tbl>
    <w:p w14:paraId="4DF1CEAD" w14:textId="553D6D86" w:rsidR="00B67B84" w:rsidRPr="00071B58" w:rsidRDefault="00B67B84" w:rsidP="50B209CA">
      <w:pPr>
        <w:spacing w:after="0" w:line="300" w:lineRule="auto"/>
        <w:rPr>
          <w:rFonts w:ascii="Aptos" w:eastAsia="Aptos" w:hAnsi="Aptos" w:cs="Aptos"/>
          <w:sz w:val="22"/>
          <w:szCs w:val="22"/>
        </w:rPr>
      </w:pPr>
    </w:p>
    <w:p w14:paraId="75B82252" w14:textId="2C111715" w:rsidR="00B67B84" w:rsidRPr="00071B58" w:rsidRDefault="57CB3F92" w:rsidP="50B209CA">
      <w:pPr>
        <w:spacing w:after="0" w:line="300" w:lineRule="auto"/>
        <w:rPr>
          <w:rFonts w:hint="eastAsia"/>
        </w:rPr>
      </w:pPr>
      <w:proofErr w:type="gramStart"/>
      <w:r w:rsidRPr="00071B58">
        <w:t>Most of</w:t>
      </w:r>
      <w:proofErr w:type="gramEnd"/>
      <w:r w:rsidRPr="00071B58">
        <w:t xml:space="preserve"> these products align with HS codes 72287010000 (angles, </w:t>
      </w:r>
      <w:r w:rsidR="00CB0025" w:rsidRPr="00071B58">
        <w:t>shapes,</w:t>
      </w:r>
      <w:r w:rsidRPr="00071B58">
        <w:t xml:space="preserve"> and sections of other alloy steel) and 72283070000 (other alloy‑steel bars and flats), while round bar products may also </w:t>
      </w:r>
      <w:proofErr w:type="gramStart"/>
      <w:r w:rsidRPr="00071B58">
        <w:t>be correctly captured</w:t>
      </w:r>
      <w:proofErr w:type="gramEnd"/>
      <w:r w:rsidRPr="00071B58">
        <w:t xml:space="preserve"> under 72283041000. In addition, code 7228308900 provides a broad “other” alloy‑steel category and could reasonably apply to </w:t>
      </w:r>
      <w:proofErr w:type="gramStart"/>
      <w:r w:rsidRPr="00071B58">
        <w:t>some of</w:t>
      </w:r>
      <w:proofErr w:type="gramEnd"/>
      <w:r w:rsidRPr="00071B58">
        <w:t xml:space="preserve"> the above product lines due to its generic description. Conversely, codes 72283020000 and 72286020000 specifically reference tool steel and would only be appropriate where the chemical composition confirms tool‑steel grade. </w:t>
      </w:r>
    </w:p>
    <w:p w14:paraId="45AD848D" w14:textId="2CE48400" w:rsidR="00B67B84" w:rsidRPr="00071B58" w:rsidRDefault="00B67B84" w:rsidP="50B209CA">
      <w:pPr>
        <w:spacing w:after="0" w:line="300" w:lineRule="auto"/>
        <w:rPr>
          <w:rFonts w:hint="eastAsia"/>
        </w:rPr>
      </w:pPr>
    </w:p>
    <w:p w14:paraId="430C1711" w14:textId="23A84218" w:rsidR="00B67B84" w:rsidRPr="00071B58" w:rsidRDefault="57CB3F92" w:rsidP="50B209CA">
      <w:pPr>
        <w:spacing w:after="0" w:line="300" w:lineRule="auto"/>
        <w:rPr>
          <w:rFonts w:hint="eastAsia"/>
        </w:rPr>
      </w:pPr>
      <w:r w:rsidRPr="00071B58">
        <w:t xml:space="preserve">Overall, the data </w:t>
      </w:r>
      <w:r w:rsidR="1884D916" w:rsidRPr="00071B58">
        <w:t xml:space="preserve">shows </w:t>
      </w:r>
      <w:r w:rsidRPr="00071B58">
        <w:t xml:space="preserve">that </w:t>
      </w:r>
      <w:r w:rsidR="49176697" w:rsidRPr="00071B58">
        <w:t xml:space="preserve">7 </w:t>
      </w:r>
      <w:r w:rsidRPr="00071B58">
        <w:t>Steel UK’s output legitimately spans multiple 12 A codes, with final allocation dependent on the precise alloy composition declared for each product type.</w:t>
      </w:r>
    </w:p>
    <w:p w14:paraId="685650AD" w14:textId="5D5AE4C1" w:rsidR="00B67B84" w:rsidRDefault="00B67B84" w:rsidP="50B209CA">
      <w:pPr>
        <w:spacing w:after="0" w:line="300" w:lineRule="auto"/>
        <w:rPr>
          <w:rFonts w:hint="eastAsia"/>
        </w:rPr>
      </w:pPr>
    </w:p>
    <w:p w14:paraId="435641C5" w14:textId="3AF3AA0C" w:rsidR="00B67B84" w:rsidRDefault="487CFF0C" w:rsidP="50B209CA">
      <w:pPr>
        <w:pStyle w:val="Heading2"/>
        <w:spacing w:before="261" w:after="261" w:line="300" w:lineRule="auto"/>
        <w:rPr>
          <w:rFonts w:asciiTheme="minorHAnsi" w:eastAsiaTheme="minorEastAsia" w:hAnsiTheme="minorHAnsi" w:cstheme="minorBidi" w:hint="eastAsia"/>
          <w:b/>
          <w:bCs/>
          <w:sz w:val="24"/>
          <w:szCs w:val="24"/>
        </w:rPr>
      </w:pPr>
      <w:r w:rsidRPr="50B209CA">
        <w:rPr>
          <w:rFonts w:asciiTheme="minorHAnsi" w:eastAsiaTheme="minorEastAsia" w:hAnsiTheme="minorHAnsi" w:cstheme="minorBidi"/>
          <w:b/>
          <w:bCs/>
          <w:sz w:val="24"/>
          <w:szCs w:val="24"/>
        </w:rPr>
        <w:t xml:space="preserve">4. </w:t>
      </w:r>
      <w:r w:rsidR="49DEF030" w:rsidRPr="50B209CA">
        <w:rPr>
          <w:rFonts w:asciiTheme="minorHAnsi" w:eastAsiaTheme="minorEastAsia" w:hAnsiTheme="minorHAnsi" w:cstheme="minorBidi"/>
          <w:b/>
          <w:bCs/>
          <w:sz w:val="24"/>
          <w:szCs w:val="24"/>
        </w:rPr>
        <w:t>Why the TRA Should Reconsider Its Intended Determination</w:t>
      </w:r>
    </w:p>
    <w:p w14:paraId="76A202B7" w14:textId="749AA785" w:rsidR="00B67B84" w:rsidRDefault="49DEF030" w:rsidP="50B209CA">
      <w:pPr>
        <w:spacing w:before="210" w:after="210" w:line="300" w:lineRule="auto"/>
        <w:rPr>
          <w:rFonts w:hint="eastAsia"/>
        </w:rPr>
      </w:pPr>
      <w:r w:rsidRPr="50B209CA">
        <w:t xml:space="preserve">We respectfully submit that the SIFD does not fully </w:t>
      </w:r>
      <w:r w:rsidR="1B9B0724" w:rsidRPr="50B209CA">
        <w:t>consider</w:t>
      </w:r>
      <w:r w:rsidRPr="50B209CA">
        <w:t xml:space="preserve"> </w:t>
      </w:r>
      <w:proofErr w:type="gramStart"/>
      <w:r w:rsidRPr="50B209CA">
        <w:t>several</w:t>
      </w:r>
      <w:proofErr w:type="gramEnd"/>
      <w:r w:rsidRPr="50B209CA">
        <w:t xml:space="preserve"> factors:</w:t>
      </w:r>
    </w:p>
    <w:p w14:paraId="47D83086" w14:textId="0352E7C4" w:rsidR="00B67B84" w:rsidRPr="00B622B7" w:rsidRDefault="1A7D1A1B" w:rsidP="50B209CA">
      <w:pPr>
        <w:pStyle w:val="Heading3"/>
        <w:spacing w:before="246" w:after="246" w:line="300" w:lineRule="auto"/>
        <w:rPr>
          <w:rFonts w:eastAsiaTheme="minorEastAsia" w:cstheme="minorBidi" w:hint="eastAsia"/>
          <w:sz w:val="24"/>
          <w:szCs w:val="24"/>
        </w:rPr>
      </w:pPr>
      <w:r w:rsidRPr="00B622B7">
        <w:rPr>
          <w:rFonts w:eastAsiaTheme="minorEastAsia" w:cstheme="minorBidi"/>
          <w:sz w:val="24"/>
          <w:szCs w:val="24"/>
        </w:rPr>
        <w:t>4</w:t>
      </w:r>
      <w:r w:rsidR="49DEF030" w:rsidRPr="00B622B7">
        <w:rPr>
          <w:rFonts w:eastAsiaTheme="minorEastAsia" w:cstheme="minorBidi"/>
          <w:sz w:val="24"/>
          <w:szCs w:val="24"/>
        </w:rPr>
        <w:t xml:space="preserve">.1 Misclassification risk is not a minor enforcement issue—it is the central economic risk of this </w:t>
      </w:r>
      <w:r w:rsidR="00BA1037" w:rsidRPr="00B622B7">
        <w:rPr>
          <w:rFonts w:eastAsiaTheme="minorEastAsia" w:cstheme="minorBidi"/>
          <w:sz w:val="24"/>
          <w:szCs w:val="24"/>
        </w:rPr>
        <w:t>case.</w:t>
      </w:r>
    </w:p>
    <w:p w14:paraId="3DDED2E1" w14:textId="6D25E1D8" w:rsidR="00B67B84" w:rsidRDefault="49DEF030" w:rsidP="0AF05499">
      <w:pPr>
        <w:spacing w:before="210" w:after="210" w:line="300" w:lineRule="auto"/>
        <w:rPr>
          <w:rFonts w:hint="eastAsia"/>
        </w:rPr>
      </w:pPr>
      <w:r w:rsidRPr="0AF05499">
        <w:t>If the measure is varied as proposed, misclassification will surge. HMRC cannot resolve this through enforcement alone because:</w:t>
      </w:r>
    </w:p>
    <w:p w14:paraId="6EF66807" w14:textId="628FA471" w:rsidR="00B67B84" w:rsidRDefault="49DEF030" w:rsidP="0AF05499">
      <w:pPr>
        <w:pStyle w:val="ListParagraph"/>
        <w:numPr>
          <w:ilvl w:val="0"/>
          <w:numId w:val="6"/>
        </w:numPr>
        <w:spacing w:after="0" w:line="300" w:lineRule="auto"/>
        <w:rPr>
          <w:rFonts w:hint="eastAsia"/>
        </w:rPr>
      </w:pPr>
      <w:r w:rsidRPr="0AF05499">
        <w:t xml:space="preserve">alloy vs. non‑alloy differences are microscopic, not </w:t>
      </w:r>
      <w:r w:rsidR="00BA1037" w:rsidRPr="0AF05499">
        <w:t>visible.</w:t>
      </w:r>
    </w:p>
    <w:p w14:paraId="390B3B8D" w14:textId="2FD67719" w:rsidR="00B67B84" w:rsidRDefault="49DEF030" w:rsidP="0AF05499">
      <w:pPr>
        <w:pStyle w:val="ListParagraph"/>
        <w:numPr>
          <w:ilvl w:val="0"/>
          <w:numId w:val="6"/>
        </w:numPr>
        <w:spacing w:after="0" w:line="300" w:lineRule="auto"/>
        <w:rPr>
          <w:rFonts w:hint="eastAsia"/>
        </w:rPr>
      </w:pPr>
      <w:r w:rsidRPr="0AF05499">
        <w:t xml:space="preserve">importers can alter chemistry slightly to shift </w:t>
      </w:r>
      <w:r w:rsidR="00BA1037" w:rsidRPr="0AF05499">
        <w:t>category.</w:t>
      </w:r>
    </w:p>
    <w:p w14:paraId="7D04D73D" w14:textId="6B69632E" w:rsidR="00B67B84" w:rsidRDefault="49DEF030" w:rsidP="0AF05499">
      <w:pPr>
        <w:pStyle w:val="ListParagraph"/>
        <w:numPr>
          <w:ilvl w:val="0"/>
          <w:numId w:val="6"/>
        </w:numPr>
        <w:spacing w:after="0" w:line="300" w:lineRule="auto"/>
        <w:rPr>
          <w:rFonts w:hint="eastAsia"/>
        </w:rPr>
      </w:pPr>
      <w:r w:rsidRPr="0AF05499">
        <w:t>the incentive to circumvent safeguards will increase significantly.</w:t>
      </w:r>
    </w:p>
    <w:p w14:paraId="3B3B3675" w14:textId="00B8E7EA" w:rsidR="00B67B84" w:rsidRDefault="49DEF030" w:rsidP="0AF05499">
      <w:pPr>
        <w:spacing w:before="210" w:after="210" w:line="300" w:lineRule="auto"/>
        <w:rPr>
          <w:rFonts w:hint="eastAsia"/>
        </w:rPr>
      </w:pPr>
      <w:r w:rsidRPr="0AF05499">
        <w:lastRenderedPageBreak/>
        <w:t>This will materially injure UK producers of category 12B.</w:t>
      </w:r>
    </w:p>
    <w:p w14:paraId="64B429F7" w14:textId="45653FCB" w:rsidR="00B67B84" w:rsidRPr="00B622B7" w:rsidRDefault="23DCBA55" w:rsidP="50B209CA">
      <w:pPr>
        <w:pStyle w:val="Heading3"/>
        <w:spacing w:before="246" w:after="246" w:line="300" w:lineRule="auto"/>
        <w:rPr>
          <w:rFonts w:eastAsiaTheme="minorEastAsia" w:cstheme="minorBidi" w:hint="eastAsia"/>
          <w:sz w:val="24"/>
          <w:szCs w:val="24"/>
        </w:rPr>
      </w:pPr>
      <w:r w:rsidRPr="00B622B7">
        <w:rPr>
          <w:rFonts w:eastAsiaTheme="minorEastAsia" w:cstheme="minorBidi"/>
          <w:sz w:val="24"/>
          <w:szCs w:val="24"/>
        </w:rPr>
        <w:t>4</w:t>
      </w:r>
      <w:r w:rsidR="49DEF030" w:rsidRPr="00B622B7">
        <w:rPr>
          <w:rFonts w:eastAsiaTheme="minorEastAsia" w:cstheme="minorBidi"/>
          <w:sz w:val="24"/>
          <w:szCs w:val="24"/>
        </w:rPr>
        <w:t xml:space="preserve">.2 The safeguard is not restricting </w:t>
      </w:r>
      <w:r w:rsidR="00BA1037" w:rsidRPr="00B622B7">
        <w:rPr>
          <w:rFonts w:eastAsiaTheme="minorEastAsia" w:cstheme="minorBidi"/>
          <w:sz w:val="24"/>
          <w:szCs w:val="24"/>
        </w:rPr>
        <w:t>trade.</w:t>
      </w:r>
    </w:p>
    <w:p w14:paraId="1F74693E" w14:textId="1DF71924" w:rsidR="00B67B84" w:rsidRDefault="49DEF030" w:rsidP="0AF05499">
      <w:pPr>
        <w:spacing w:before="210" w:after="210" w:line="300" w:lineRule="auto"/>
        <w:rPr>
          <w:rFonts w:hint="eastAsia"/>
        </w:rPr>
      </w:pPr>
      <w:r w:rsidRPr="0AF05499">
        <w:t>Quota utilisation below 55% demonstrates that existing arrangements do not hinder the market. Removal of codes therefore does not solve a real problem—it risks creating one.</w:t>
      </w:r>
    </w:p>
    <w:p w14:paraId="5155B3F3" w14:textId="6E7A30BB" w:rsidR="00B67B84" w:rsidRPr="00B622B7" w:rsidRDefault="05E4932C" w:rsidP="50B209CA">
      <w:pPr>
        <w:pStyle w:val="Heading3"/>
        <w:spacing w:before="246" w:after="246" w:line="300" w:lineRule="auto"/>
        <w:rPr>
          <w:rFonts w:eastAsiaTheme="minorEastAsia" w:cstheme="minorBidi" w:hint="eastAsia"/>
          <w:sz w:val="24"/>
          <w:szCs w:val="24"/>
        </w:rPr>
      </w:pPr>
      <w:r w:rsidRPr="00B622B7">
        <w:rPr>
          <w:rFonts w:eastAsiaTheme="minorEastAsia" w:cstheme="minorBidi"/>
          <w:sz w:val="24"/>
          <w:szCs w:val="24"/>
        </w:rPr>
        <w:t>4</w:t>
      </w:r>
      <w:r w:rsidR="49DEF030" w:rsidRPr="00B622B7">
        <w:rPr>
          <w:rFonts w:eastAsiaTheme="minorEastAsia" w:cstheme="minorBidi"/>
          <w:sz w:val="24"/>
          <w:szCs w:val="24"/>
        </w:rPr>
        <w:t xml:space="preserve">.3 There is no evidence that removing six codes will meaningfully improve supply for downstream </w:t>
      </w:r>
      <w:r w:rsidR="00BA1037" w:rsidRPr="00B622B7">
        <w:rPr>
          <w:rFonts w:eastAsiaTheme="minorEastAsia" w:cstheme="minorBidi"/>
          <w:sz w:val="24"/>
          <w:szCs w:val="24"/>
        </w:rPr>
        <w:t>users.</w:t>
      </w:r>
    </w:p>
    <w:p w14:paraId="24BC6C0B" w14:textId="77DFB460" w:rsidR="49DEF030" w:rsidRDefault="49DEF030" w:rsidP="50B209CA">
      <w:pPr>
        <w:spacing w:before="210" w:after="210" w:line="300" w:lineRule="auto"/>
        <w:rPr>
          <w:rFonts w:hint="eastAsia"/>
        </w:rPr>
      </w:pPr>
      <w:r w:rsidRPr="50B209CA">
        <w:t>No shortages have been demonstrated for 12A products. The SIFD acknowledges that import volumes have increased substantially.</w:t>
      </w:r>
      <w:r w:rsidR="13050753" w:rsidRPr="50B209CA">
        <w:t xml:space="preserve"> </w:t>
      </w:r>
    </w:p>
    <w:p w14:paraId="2A651716" w14:textId="793B8091" w:rsidR="00B67B84" w:rsidRPr="00B622B7" w:rsidRDefault="1391D9BC" w:rsidP="50B209CA">
      <w:pPr>
        <w:spacing w:before="246" w:after="246" w:line="300" w:lineRule="auto"/>
        <w:rPr>
          <w:rFonts w:hint="eastAsia"/>
          <w:color w:val="0F4761" w:themeColor="accent1" w:themeShade="BF"/>
        </w:rPr>
      </w:pPr>
      <w:r w:rsidRPr="00B622B7">
        <w:rPr>
          <w:color w:val="0F4761" w:themeColor="accent1" w:themeShade="BF"/>
        </w:rPr>
        <w:t>4</w:t>
      </w:r>
      <w:r w:rsidR="49DEF030" w:rsidRPr="00B622B7">
        <w:rPr>
          <w:color w:val="0F4761" w:themeColor="accent1" w:themeShade="BF"/>
        </w:rPr>
        <w:t xml:space="preserve">.4 </w:t>
      </w:r>
      <w:r w:rsidR="246CF7ED" w:rsidRPr="00B622B7">
        <w:rPr>
          <w:color w:val="0F4761" w:themeColor="accent1" w:themeShade="BF"/>
        </w:rPr>
        <w:t xml:space="preserve">7 Steel UK clarification on what is produces in category </w:t>
      </w:r>
      <w:r w:rsidR="00BA1037" w:rsidRPr="00B622B7">
        <w:rPr>
          <w:color w:val="0F4761" w:themeColor="accent1" w:themeShade="BF"/>
        </w:rPr>
        <w:t>12A.</w:t>
      </w:r>
      <w:r w:rsidR="246CF7ED" w:rsidRPr="00B622B7">
        <w:rPr>
          <w:color w:val="0F4761" w:themeColor="accent1" w:themeShade="BF"/>
        </w:rPr>
        <w:t xml:space="preserve"> </w:t>
      </w:r>
    </w:p>
    <w:p w14:paraId="369E74ED" w14:textId="767F774D" w:rsidR="00B67B84" w:rsidRPr="00B622B7" w:rsidRDefault="246CF7ED" w:rsidP="50B209CA">
      <w:pPr>
        <w:spacing w:after="0" w:line="300" w:lineRule="auto"/>
        <w:rPr>
          <w:rFonts w:ascii="Aptos" w:eastAsia="Aptos" w:hAnsi="Aptos" w:cs="Aptos"/>
          <w:color w:val="000000" w:themeColor="text1"/>
        </w:rPr>
      </w:pPr>
      <w:r w:rsidRPr="00B622B7">
        <w:t>7 Steel UK also has now clarified</w:t>
      </w:r>
      <w:r w:rsidR="10FCCA77" w:rsidRPr="00B622B7">
        <w:t xml:space="preserve"> in section 3 that</w:t>
      </w:r>
      <w:r w:rsidRPr="00B622B7">
        <w:t xml:space="preserve"> we are able to produce and do produce commodities in 12</w:t>
      </w:r>
      <w:r w:rsidR="767935B8" w:rsidRPr="00B622B7">
        <w:t>A. An</w:t>
      </w:r>
      <w:r w:rsidRPr="00B622B7">
        <w:t xml:space="preserve"> issue that we believe underpins the confusion in th</w:t>
      </w:r>
      <w:r w:rsidR="04891A8D" w:rsidRPr="00B622B7">
        <w:t>is</w:t>
      </w:r>
      <w:r w:rsidRPr="00B622B7">
        <w:t xml:space="preserve"> exercise</w:t>
      </w:r>
      <w:r w:rsidRPr="00B622B7">
        <w:rPr>
          <w:rFonts w:ascii="Aptos" w:eastAsia="Aptos" w:hAnsi="Aptos" w:cs="Aptos"/>
          <w:color w:val="000000" w:themeColor="text1"/>
        </w:rPr>
        <w:t xml:space="preserve"> is that customer</w:t>
      </w:r>
      <w:r w:rsidR="7F3B3F64" w:rsidRPr="00B622B7">
        <w:rPr>
          <w:rFonts w:ascii="Aptos" w:eastAsia="Aptos" w:hAnsi="Aptos" w:cs="Aptos"/>
          <w:color w:val="000000" w:themeColor="text1"/>
        </w:rPr>
        <w:t xml:space="preserve">s do </w:t>
      </w:r>
      <w:r w:rsidR="3B6AD14D" w:rsidRPr="00B622B7">
        <w:rPr>
          <w:rFonts w:ascii="Aptos" w:eastAsia="Aptos" w:hAnsi="Aptos" w:cs="Aptos"/>
          <w:color w:val="000000" w:themeColor="text1"/>
        </w:rPr>
        <w:t>not order</w:t>
      </w:r>
      <w:r w:rsidRPr="00B622B7">
        <w:rPr>
          <w:rFonts w:ascii="Aptos" w:eastAsia="Aptos" w:hAnsi="Aptos" w:cs="Aptos"/>
          <w:color w:val="000000" w:themeColor="text1"/>
        </w:rPr>
        <w:t xml:space="preserve"> their steel to the commodity code. The customer wants a format (size, length </w:t>
      </w:r>
      <w:proofErr w:type="gramStart"/>
      <w:r w:rsidRPr="00B622B7">
        <w:rPr>
          <w:rFonts w:ascii="Aptos" w:eastAsia="Aptos" w:hAnsi="Aptos" w:cs="Aptos"/>
          <w:color w:val="000000" w:themeColor="text1"/>
        </w:rPr>
        <w:t>etc</w:t>
      </w:r>
      <w:proofErr w:type="gramEnd"/>
      <w:r w:rsidRPr="00B622B7">
        <w:rPr>
          <w:rFonts w:ascii="Aptos" w:eastAsia="Aptos" w:hAnsi="Aptos" w:cs="Aptos"/>
          <w:color w:val="000000" w:themeColor="text1"/>
        </w:rPr>
        <w:t>) and grade of steel that satisfies their end use, and orders accordingly. The producer then supplies what the customer wants. The commodity code system is an attempt to collect all those different requirements together for trade reporting purposes</w:t>
      </w:r>
      <w:r w:rsidR="0B7701DB" w:rsidRPr="00B622B7">
        <w:rPr>
          <w:rFonts w:ascii="Aptos" w:eastAsia="Aptos" w:hAnsi="Aptos" w:cs="Aptos"/>
          <w:color w:val="000000" w:themeColor="text1"/>
        </w:rPr>
        <w:t xml:space="preserve"> only. </w:t>
      </w:r>
      <w:r w:rsidR="3D102078" w:rsidRPr="00B622B7">
        <w:rPr>
          <w:rFonts w:ascii="Aptos" w:eastAsia="Aptos" w:hAnsi="Aptos" w:cs="Aptos"/>
          <w:color w:val="000000" w:themeColor="text1"/>
        </w:rPr>
        <w:t>This creates the current situation where we can produce something which fits a commodity code, but the alloy steel customers say that does not satisfy their end use.</w:t>
      </w:r>
    </w:p>
    <w:p w14:paraId="218B0CDD" w14:textId="6B9A5028" w:rsidR="00B67B84" w:rsidRPr="00B622B7" w:rsidRDefault="246CF7ED" w:rsidP="50B209CA">
      <w:pPr>
        <w:pStyle w:val="Heading3"/>
        <w:spacing w:before="246" w:after="246" w:line="300" w:lineRule="auto"/>
        <w:rPr>
          <w:rFonts w:eastAsiaTheme="minorEastAsia" w:cstheme="minorBidi" w:hint="eastAsia"/>
          <w:sz w:val="24"/>
          <w:szCs w:val="24"/>
        </w:rPr>
      </w:pPr>
      <w:r w:rsidRPr="00B622B7">
        <w:rPr>
          <w:rFonts w:eastAsiaTheme="minorEastAsia" w:cstheme="minorBidi"/>
          <w:sz w:val="24"/>
          <w:szCs w:val="24"/>
        </w:rPr>
        <w:t xml:space="preserve">4.5 </w:t>
      </w:r>
      <w:r w:rsidR="49DEF030" w:rsidRPr="00B622B7">
        <w:rPr>
          <w:rFonts w:eastAsiaTheme="minorEastAsia" w:cstheme="minorBidi"/>
          <w:sz w:val="24"/>
          <w:szCs w:val="24"/>
        </w:rPr>
        <w:t xml:space="preserve">The correct structural solution is to re‑amalgamate Category 12A and </w:t>
      </w:r>
      <w:r w:rsidR="00BA1037" w:rsidRPr="00B622B7">
        <w:rPr>
          <w:rFonts w:eastAsiaTheme="minorEastAsia" w:cstheme="minorBidi"/>
          <w:sz w:val="24"/>
          <w:szCs w:val="24"/>
        </w:rPr>
        <w:t>12B.</w:t>
      </w:r>
    </w:p>
    <w:p w14:paraId="13F78E58" w14:textId="56E00A89" w:rsidR="00B67B84" w:rsidRDefault="49DEF030" w:rsidP="0AF05499">
      <w:pPr>
        <w:spacing w:before="210" w:after="210" w:line="300" w:lineRule="auto"/>
        <w:rPr>
          <w:rFonts w:hint="eastAsia"/>
        </w:rPr>
      </w:pPr>
      <w:r w:rsidRPr="0AF05499">
        <w:t>This remains our recommended approach. Re‑amalgamation:</w:t>
      </w:r>
    </w:p>
    <w:p w14:paraId="4B54906E" w14:textId="5C103336" w:rsidR="00B67B84" w:rsidRDefault="49DEF030" w:rsidP="0AF05499">
      <w:pPr>
        <w:pStyle w:val="ListParagraph"/>
        <w:numPr>
          <w:ilvl w:val="0"/>
          <w:numId w:val="10"/>
        </w:numPr>
        <w:spacing w:after="0" w:line="300" w:lineRule="auto"/>
        <w:rPr>
          <w:rFonts w:hint="eastAsia"/>
        </w:rPr>
      </w:pPr>
      <w:r w:rsidRPr="0AF05499">
        <w:t xml:space="preserve">eliminates misclassification </w:t>
      </w:r>
      <w:r w:rsidR="00BA1037" w:rsidRPr="0AF05499">
        <w:t>issues.</w:t>
      </w:r>
    </w:p>
    <w:p w14:paraId="3CF9DA57" w14:textId="5C516A79" w:rsidR="00B67B84" w:rsidRDefault="49DEF030" w:rsidP="0AF05499">
      <w:pPr>
        <w:pStyle w:val="ListParagraph"/>
        <w:numPr>
          <w:ilvl w:val="0"/>
          <w:numId w:val="10"/>
        </w:numPr>
        <w:spacing w:after="0" w:line="300" w:lineRule="auto"/>
        <w:rPr>
          <w:rFonts w:hint="eastAsia"/>
        </w:rPr>
      </w:pPr>
      <w:r w:rsidRPr="0AF05499">
        <w:t xml:space="preserve">simplifies customs </w:t>
      </w:r>
      <w:r w:rsidR="00BA1037" w:rsidRPr="0AF05499">
        <w:t>enforcement.</w:t>
      </w:r>
    </w:p>
    <w:p w14:paraId="35995E23" w14:textId="3BEE0C01" w:rsidR="00B67B84" w:rsidRDefault="49DEF030" w:rsidP="0AF05499">
      <w:pPr>
        <w:pStyle w:val="ListParagraph"/>
        <w:numPr>
          <w:ilvl w:val="0"/>
          <w:numId w:val="10"/>
        </w:numPr>
        <w:spacing w:after="0" w:line="300" w:lineRule="auto"/>
        <w:rPr>
          <w:rFonts w:hint="eastAsia"/>
        </w:rPr>
      </w:pPr>
      <w:r w:rsidRPr="0AF05499">
        <w:t xml:space="preserve">avoids incentivising minor alloy </w:t>
      </w:r>
      <w:r w:rsidR="00BA1037" w:rsidRPr="0AF05499">
        <w:t>modifications.</w:t>
      </w:r>
    </w:p>
    <w:p w14:paraId="580D40DD" w14:textId="27B18D3D" w:rsidR="00B67B84" w:rsidRDefault="49DEF030" w:rsidP="0AF05499">
      <w:pPr>
        <w:pStyle w:val="ListParagraph"/>
        <w:numPr>
          <w:ilvl w:val="0"/>
          <w:numId w:val="10"/>
        </w:numPr>
        <w:spacing w:after="0" w:line="300" w:lineRule="auto"/>
        <w:rPr>
          <w:rFonts w:hint="eastAsia"/>
        </w:rPr>
      </w:pPr>
      <w:r w:rsidRPr="0AF05499">
        <w:t>protects UK producers without restricting legitimate trade.</w:t>
      </w:r>
    </w:p>
    <w:p w14:paraId="5D2A69ED" w14:textId="6AE0F1CE" w:rsidR="00B67B84" w:rsidRDefault="00B67B84" w:rsidP="50B209CA">
      <w:pPr>
        <w:spacing w:after="0" w:line="300" w:lineRule="auto"/>
        <w:rPr>
          <w:rFonts w:hint="eastAsia"/>
        </w:rPr>
      </w:pPr>
    </w:p>
    <w:p w14:paraId="0D23ABE0" w14:textId="1281CF05" w:rsidR="2E26D736" w:rsidRDefault="2E26D736" w:rsidP="50B209CA">
      <w:pPr>
        <w:spacing w:after="0"/>
        <w:rPr>
          <w:rFonts w:ascii="Aptos" w:eastAsia="Aptos" w:hAnsi="Aptos" w:cs="Aptos"/>
          <w:color w:val="000000" w:themeColor="text1"/>
        </w:rPr>
      </w:pPr>
      <w:r w:rsidRPr="50B209CA">
        <w:rPr>
          <w:rFonts w:ascii="Aptos" w:eastAsia="Aptos" w:hAnsi="Aptos" w:cs="Aptos"/>
          <w:color w:val="000000" w:themeColor="text1"/>
        </w:rPr>
        <w:t>Trying to take individual commodity codes out of the quota system results in unintended consequences. That is why no other jurisdiction has attempted to split categories and why cat 12 should be put back together again.</w:t>
      </w:r>
    </w:p>
    <w:p w14:paraId="77E5F1A4" w14:textId="058FC090" w:rsidR="50B209CA" w:rsidRDefault="50B209CA" w:rsidP="50B209CA">
      <w:pPr>
        <w:spacing w:after="0" w:line="300" w:lineRule="auto"/>
        <w:rPr>
          <w:rFonts w:hint="eastAsia"/>
        </w:rPr>
      </w:pPr>
    </w:p>
    <w:p w14:paraId="13E2F6D9" w14:textId="73BA7868" w:rsidR="00B67B84" w:rsidRPr="00C226A9" w:rsidRDefault="77A7C384" w:rsidP="50B209CA">
      <w:pPr>
        <w:pStyle w:val="Heading2"/>
        <w:spacing w:before="261" w:after="261" w:line="300" w:lineRule="auto"/>
        <w:rPr>
          <w:rFonts w:asciiTheme="minorHAnsi" w:eastAsiaTheme="minorEastAsia" w:hAnsiTheme="minorHAnsi" w:cstheme="minorBidi" w:hint="eastAsia"/>
          <w:b/>
          <w:bCs/>
          <w:sz w:val="24"/>
          <w:szCs w:val="24"/>
        </w:rPr>
      </w:pPr>
      <w:r w:rsidRPr="00C226A9">
        <w:rPr>
          <w:rFonts w:asciiTheme="minorHAnsi" w:eastAsiaTheme="minorEastAsia" w:hAnsiTheme="minorHAnsi" w:cstheme="minorBidi"/>
          <w:b/>
          <w:bCs/>
          <w:sz w:val="24"/>
          <w:szCs w:val="24"/>
        </w:rPr>
        <w:lastRenderedPageBreak/>
        <w:t>5</w:t>
      </w:r>
      <w:r w:rsidR="49DEF030" w:rsidRPr="00C226A9">
        <w:rPr>
          <w:rFonts w:asciiTheme="minorHAnsi" w:eastAsiaTheme="minorEastAsia" w:hAnsiTheme="minorHAnsi" w:cstheme="minorBidi"/>
          <w:b/>
          <w:bCs/>
          <w:sz w:val="24"/>
          <w:szCs w:val="24"/>
        </w:rPr>
        <w:t>. Conclusion and Request</w:t>
      </w:r>
    </w:p>
    <w:p w14:paraId="6C4B3B48" w14:textId="30C884F7" w:rsidR="00B67B84" w:rsidRDefault="49DEF030" w:rsidP="0AF05499">
      <w:pPr>
        <w:spacing w:before="210" w:after="210" w:line="300" w:lineRule="auto"/>
        <w:rPr>
          <w:rFonts w:hint="eastAsia"/>
        </w:rPr>
      </w:pPr>
      <w:r w:rsidRPr="0AF05499">
        <w:t>For the reasons above, 7‑Steel UK requests that the TRA:</w:t>
      </w:r>
    </w:p>
    <w:p w14:paraId="3FB6498D" w14:textId="6378BEB5" w:rsidR="00B67B84" w:rsidRDefault="49DEF030" w:rsidP="0AF05499">
      <w:pPr>
        <w:pStyle w:val="ListParagraph"/>
        <w:numPr>
          <w:ilvl w:val="0"/>
          <w:numId w:val="2"/>
        </w:numPr>
        <w:spacing w:after="0" w:line="300" w:lineRule="auto"/>
        <w:rPr>
          <w:rFonts w:hint="eastAsia"/>
        </w:rPr>
      </w:pPr>
      <w:r w:rsidRPr="0AF05499">
        <w:rPr>
          <w:b/>
          <w:bCs/>
        </w:rPr>
        <w:t>Reconsider the intended variation of the TRQ</w:t>
      </w:r>
      <w:r w:rsidRPr="0AF05499">
        <w:t xml:space="preserve">, and in particular the proposal to exclude </w:t>
      </w:r>
      <w:r w:rsidR="00EC2213">
        <w:t xml:space="preserve">certain </w:t>
      </w:r>
      <w:r w:rsidRPr="0AF05499">
        <w:t>commodity codes from Category 12A.</w:t>
      </w:r>
    </w:p>
    <w:p w14:paraId="7773CBBC" w14:textId="6C9F539F" w:rsidR="00B67B84" w:rsidRDefault="49DEF030" w:rsidP="0AF05499">
      <w:pPr>
        <w:pStyle w:val="ListParagraph"/>
        <w:numPr>
          <w:ilvl w:val="0"/>
          <w:numId w:val="2"/>
        </w:numPr>
        <w:spacing w:after="0" w:line="300" w:lineRule="auto"/>
        <w:rPr>
          <w:rFonts w:hint="eastAsia"/>
        </w:rPr>
      </w:pPr>
      <w:r w:rsidRPr="0AF05499">
        <w:rPr>
          <w:b/>
          <w:bCs/>
        </w:rPr>
        <w:t>Recognise the substantial and evidenced risk of misclassification</w:t>
      </w:r>
      <w:r w:rsidRPr="0AF05499">
        <w:t>, which will materially injure domestic 12B producers—an issue the SIFD acknowledges but underweights.</w:t>
      </w:r>
    </w:p>
    <w:p w14:paraId="75D84666" w14:textId="247D252A" w:rsidR="00B67B84" w:rsidRDefault="49DEF030" w:rsidP="0AF05499">
      <w:pPr>
        <w:pStyle w:val="ListParagraph"/>
        <w:numPr>
          <w:ilvl w:val="0"/>
          <w:numId w:val="2"/>
        </w:numPr>
        <w:spacing w:after="0" w:line="300" w:lineRule="auto"/>
        <w:rPr>
          <w:rFonts w:hint="eastAsia"/>
        </w:rPr>
      </w:pPr>
      <w:r w:rsidRPr="0AF05499">
        <w:rPr>
          <w:b/>
          <w:bCs/>
        </w:rPr>
        <w:t>Retain the existing Category 12A/12B scope</w:t>
      </w:r>
      <w:r w:rsidRPr="0AF05499">
        <w:t>, or preferably:</w:t>
      </w:r>
    </w:p>
    <w:p w14:paraId="5B02B36F" w14:textId="09103B0E" w:rsidR="00B67B84" w:rsidRDefault="49DEF030" w:rsidP="0AF05499">
      <w:pPr>
        <w:pStyle w:val="ListParagraph"/>
        <w:numPr>
          <w:ilvl w:val="0"/>
          <w:numId w:val="2"/>
        </w:numPr>
        <w:spacing w:after="0" w:line="300" w:lineRule="auto"/>
        <w:rPr>
          <w:rFonts w:hint="eastAsia"/>
        </w:rPr>
      </w:pPr>
      <w:r w:rsidRPr="0AF05499">
        <w:rPr>
          <w:b/>
          <w:bCs/>
        </w:rPr>
        <w:t>Re‑amalgamate Category 12A and 12B</w:t>
      </w:r>
      <w:r w:rsidRPr="0AF05499">
        <w:t xml:space="preserve"> to resolve structural enforcement and classification challenges.</w:t>
      </w:r>
    </w:p>
    <w:p w14:paraId="603E6E82" w14:textId="123080AF" w:rsidR="00B67B84" w:rsidRDefault="49DEF030" w:rsidP="0AF05499">
      <w:pPr>
        <w:spacing w:before="210" w:after="210" w:line="300" w:lineRule="auto"/>
        <w:rPr>
          <w:rFonts w:hint="eastAsia"/>
        </w:rPr>
      </w:pPr>
      <w:r w:rsidRPr="0AF05499">
        <w:t xml:space="preserve">We </w:t>
      </w:r>
      <w:r w:rsidR="00F75E20">
        <w:t xml:space="preserve">have appreciated the </w:t>
      </w:r>
      <w:r w:rsidR="00F33808">
        <w:t xml:space="preserve">engagement to discuss </w:t>
      </w:r>
      <w:r w:rsidR="007754A6">
        <w:t xml:space="preserve">these issues and remain ready should any further </w:t>
      </w:r>
      <w:r w:rsidR="00633480">
        <w:t xml:space="preserve">clarification </w:t>
      </w:r>
      <w:r w:rsidR="00BA1037">
        <w:t xml:space="preserve">or </w:t>
      </w:r>
      <w:r w:rsidR="00BA1037" w:rsidRPr="0AF05499">
        <w:t>technical</w:t>
      </w:r>
      <w:r w:rsidRPr="0AF05499">
        <w:t xml:space="preserve"> evidence i</w:t>
      </w:r>
      <w:r w:rsidR="00633480">
        <w:t xml:space="preserve">s required if </w:t>
      </w:r>
      <w:r w:rsidR="00BA1037">
        <w:t>helpful.</w:t>
      </w:r>
      <w:r w:rsidR="00633480">
        <w:t xml:space="preserve"> </w:t>
      </w:r>
    </w:p>
    <w:p w14:paraId="75D4918C" w14:textId="1C02E0CF" w:rsidR="00B67B84" w:rsidRDefault="00B67B84" w:rsidP="0AF05499">
      <w:pPr>
        <w:spacing w:after="0" w:line="300" w:lineRule="auto"/>
        <w:rPr>
          <w:rFonts w:hint="eastAsia"/>
        </w:rPr>
      </w:pPr>
    </w:p>
    <w:p w14:paraId="5E5787A5" w14:textId="15E31C55" w:rsidR="00B67B84" w:rsidRDefault="00B67B84">
      <w:pPr>
        <w:rPr>
          <w:rFonts w:hint="eastAsia"/>
        </w:rPr>
      </w:pPr>
    </w:p>
    <w:sectPr w:rsidR="00B67B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51E1"/>
    <w:multiLevelType w:val="hybridMultilevel"/>
    <w:tmpl w:val="FFFFFFFF"/>
    <w:lvl w:ilvl="0" w:tplc="650AAAD6">
      <w:start w:val="1"/>
      <w:numFmt w:val="bullet"/>
      <w:lvlText w:val=""/>
      <w:lvlJc w:val="left"/>
      <w:pPr>
        <w:ind w:left="720" w:hanging="360"/>
      </w:pPr>
      <w:rPr>
        <w:rFonts w:ascii="Symbol" w:hAnsi="Symbol" w:hint="default"/>
      </w:rPr>
    </w:lvl>
    <w:lvl w:ilvl="1" w:tplc="3D2ACD6E">
      <w:start w:val="1"/>
      <w:numFmt w:val="bullet"/>
      <w:lvlText w:val="o"/>
      <w:lvlJc w:val="left"/>
      <w:pPr>
        <w:ind w:left="1440" w:hanging="360"/>
      </w:pPr>
      <w:rPr>
        <w:rFonts w:ascii="Courier New" w:hAnsi="Courier New" w:hint="default"/>
      </w:rPr>
    </w:lvl>
    <w:lvl w:ilvl="2" w:tplc="6F00F002">
      <w:start w:val="1"/>
      <w:numFmt w:val="bullet"/>
      <w:lvlText w:val=""/>
      <w:lvlJc w:val="left"/>
      <w:pPr>
        <w:ind w:left="2160" w:hanging="360"/>
      </w:pPr>
      <w:rPr>
        <w:rFonts w:ascii="Wingdings" w:hAnsi="Wingdings" w:hint="default"/>
      </w:rPr>
    </w:lvl>
    <w:lvl w:ilvl="3" w:tplc="45F06420">
      <w:start w:val="1"/>
      <w:numFmt w:val="bullet"/>
      <w:lvlText w:val=""/>
      <w:lvlJc w:val="left"/>
      <w:pPr>
        <w:ind w:left="2880" w:hanging="360"/>
      </w:pPr>
      <w:rPr>
        <w:rFonts w:ascii="Symbol" w:hAnsi="Symbol" w:hint="default"/>
      </w:rPr>
    </w:lvl>
    <w:lvl w:ilvl="4" w:tplc="9A6A833A">
      <w:start w:val="1"/>
      <w:numFmt w:val="bullet"/>
      <w:lvlText w:val="o"/>
      <w:lvlJc w:val="left"/>
      <w:pPr>
        <w:ind w:left="3600" w:hanging="360"/>
      </w:pPr>
      <w:rPr>
        <w:rFonts w:ascii="Courier New" w:hAnsi="Courier New" w:hint="default"/>
      </w:rPr>
    </w:lvl>
    <w:lvl w:ilvl="5" w:tplc="D088907C">
      <w:start w:val="1"/>
      <w:numFmt w:val="bullet"/>
      <w:lvlText w:val=""/>
      <w:lvlJc w:val="left"/>
      <w:pPr>
        <w:ind w:left="4320" w:hanging="360"/>
      </w:pPr>
      <w:rPr>
        <w:rFonts w:ascii="Wingdings" w:hAnsi="Wingdings" w:hint="default"/>
      </w:rPr>
    </w:lvl>
    <w:lvl w:ilvl="6" w:tplc="4F980EFC">
      <w:start w:val="1"/>
      <w:numFmt w:val="bullet"/>
      <w:lvlText w:val=""/>
      <w:lvlJc w:val="left"/>
      <w:pPr>
        <w:ind w:left="5040" w:hanging="360"/>
      </w:pPr>
      <w:rPr>
        <w:rFonts w:ascii="Symbol" w:hAnsi="Symbol" w:hint="default"/>
      </w:rPr>
    </w:lvl>
    <w:lvl w:ilvl="7" w:tplc="3624681A">
      <w:start w:val="1"/>
      <w:numFmt w:val="bullet"/>
      <w:lvlText w:val="o"/>
      <w:lvlJc w:val="left"/>
      <w:pPr>
        <w:ind w:left="5760" w:hanging="360"/>
      </w:pPr>
      <w:rPr>
        <w:rFonts w:ascii="Courier New" w:hAnsi="Courier New" w:hint="default"/>
      </w:rPr>
    </w:lvl>
    <w:lvl w:ilvl="8" w:tplc="2CAE9CC0">
      <w:start w:val="1"/>
      <w:numFmt w:val="bullet"/>
      <w:lvlText w:val=""/>
      <w:lvlJc w:val="left"/>
      <w:pPr>
        <w:ind w:left="6480" w:hanging="360"/>
      </w:pPr>
      <w:rPr>
        <w:rFonts w:ascii="Wingdings" w:hAnsi="Wingdings" w:hint="default"/>
      </w:rPr>
    </w:lvl>
  </w:abstractNum>
  <w:abstractNum w:abstractNumId="1" w15:restartNumberingAfterBreak="0">
    <w:nsid w:val="1D93F771"/>
    <w:multiLevelType w:val="hybridMultilevel"/>
    <w:tmpl w:val="FFFFFFFF"/>
    <w:lvl w:ilvl="0" w:tplc="256CE3B0">
      <w:start w:val="1"/>
      <w:numFmt w:val="bullet"/>
      <w:lvlText w:val=""/>
      <w:lvlJc w:val="left"/>
      <w:pPr>
        <w:ind w:left="720" w:hanging="360"/>
      </w:pPr>
      <w:rPr>
        <w:rFonts w:ascii="Symbol" w:hAnsi="Symbol" w:hint="default"/>
      </w:rPr>
    </w:lvl>
    <w:lvl w:ilvl="1" w:tplc="60BEE5B8">
      <w:start w:val="1"/>
      <w:numFmt w:val="bullet"/>
      <w:lvlText w:val="o"/>
      <w:lvlJc w:val="left"/>
      <w:pPr>
        <w:ind w:left="1440" w:hanging="360"/>
      </w:pPr>
      <w:rPr>
        <w:rFonts w:ascii="Courier New" w:hAnsi="Courier New" w:hint="default"/>
      </w:rPr>
    </w:lvl>
    <w:lvl w:ilvl="2" w:tplc="74CAD2AC">
      <w:start w:val="1"/>
      <w:numFmt w:val="bullet"/>
      <w:lvlText w:val=""/>
      <w:lvlJc w:val="left"/>
      <w:pPr>
        <w:ind w:left="2160" w:hanging="360"/>
      </w:pPr>
      <w:rPr>
        <w:rFonts w:ascii="Wingdings" w:hAnsi="Wingdings" w:hint="default"/>
      </w:rPr>
    </w:lvl>
    <w:lvl w:ilvl="3" w:tplc="A93CF2D4">
      <w:start w:val="1"/>
      <w:numFmt w:val="bullet"/>
      <w:lvlText w:val=""/>
      <w:lvlJc w:val="left"/>
      <w:pPr>
        <w:ind w:left="2880" w:hanging="360"/>
      </w:pPr>
      <w:rPr>
        <w:rFonts w:ascii="Symbol" w:hAnsi="Symbol" w:hint="default"/>
      </w:rPr>
    </w:lvl>
    <w:lvl w:ilvl="4" w:tplc="5DB455F0">
      <w:start w:val="1"/>
      <w:numFmt w:val="bullet"/>
      <w:lvlText w:val="o"/>
      <w:lvlJc w:val="left"/>
      <w:pPr>
        <w:ind w:left="3600" w:hanging="360"/>
      </w:pPr>
      <w:rPr>
        <w:rFonts w:ascii="Courier New" w:hAnsi="Courier New" w:hint="default"/>
      </w:rPr>
    </w:lvl>
    <w:lvl w:ilvl="5" w:tplc="4000B86C">
      <w:start w:val="1"/>
      <w:numFmt w:val="bullet"/>
      <w:lvlText w:val=""/>
      <w:lvlJc w:val="left"/>
      <w:pPr>
        <w:ind w:left="4320" w:hanging="360"/>
      </w:pPr>
      <w:rPr>
        <w:rFonts w:ascii="Wingdings" w:hAnsi="Wingdings" w:hint="default"/>
      </w:rPr>
    </w:lvl>
    <w:lvl w:ilvl="6" w:tplc="9C480C5C">
      <w:start w:val="1"/>
      <w:numFmt w:val="bullet"/>
      <w:lvlText w:val=""/>
      <w:lvlJc w:val="left"/>
      <w:pPr>
        <w:ind w:left="5040" w:hanging="360"/>
      </w:pPr>
      <w:rPr>
        <w:rFonts w:ascii="Symbol" w:hAnsi="Symbol" w:hint="default"/>
      </w:rPr>
    </w:lvl>
    <w:lvl w:ilvl="7" w:tplc="99445C1E">
      <w:start w:val="1"/>
      <w:numFmt w:val="bullet"/>
      <w:lvlText w:val="o"/>
      <w:lvlJc w:val="left"/>
      <w:pPr>
        <w:ind w:left="5760" w:hanging="360"/>
      </w:pPr>
      <w:rPr>
        <w:rFonts w:ascii="Courier New" w:hAnsi="Courier New" w:hint="default"/>
      </w:rPr>
    </w:lvl>
    <w:lvl w:ilvl="8" w:tplc="700866DA">
      <w:start w:val="1"/>
      <w:numFmt w:val="bullet"/>
      <w:lvlText w:val=""/>
      <w:lvlJc w:val="left"/>
      <w:pPr>
        <w:ind w:left="6480" w:hanging="360"/>
      </w:pPr>
      <w:rPr>
        <w:rFonts w:ascii="Wingdings" w:hAnsi="Wingdings" w:hint="default"/>
      </w:rPr>
    </w:lvl>
  </w:abstractNum>
  <w:abstractNum w:abstractNumId="2" w15:restartNumberingAfterBreak="0">
    <w:nsid w:val="2A5A00E5"/>
    <w:multiLevelType w:val="hybridMultilevel"/>
    <w:tmpl w:val="FFFFFFFF"/>
    <w:lvl w:ilvl="0" w:tplc="79206036">
      <w:start w:val="1"/>
      <w:numFmt w:val="bullet"/>
      <w:lvlText w:val=""/>
      <w:lvlJc w:val="left"/>
      <w:pPr>
        <w:ind w:left="720" w:hanging="360"/>
      </w:pPr>
      <w:rPr>
        <w:rFonts w:ascii="Symbol" w:hAnsi="Symbol" w:hint="default"/>
      </w:rPr>
    </w:lvl>
    <w:lvl w:ilvl="1" w:tplc="6F081C46">
      <w:start w:val="1"/>
      <w:numFmt w:val="bullet"/>
      <w:lvlText w:val="o"/>
      <w:lvlJc w:val="left"/>
      <w:pPr>
        <w:ind w:left="1440" w:hanging="360"/>
      </w:pPr>
      <w:rPr>
        <w:rFonts w:ascii="Courier New" w:hAnsi="Courier New" w:hint="default"/>
      </w:rPr>
    </w:lvl>
    <w:lvl w:ilvl="2" w:tplc="F2D0CF34">
      <w:start w:val="1"/>
      <w:numFmt w:val="bullet"/>
      <w:lvlText w:val=""/>
      <w:lvlJc w:val="left"/>
      <w:pPr>
        <w:ind w:left="2160" w:hanging="360"/>
      </w:pPr>
      <w:rPr>
        <w:rFonts w:ascii="Wingdings" w:hAnsi="Wingdings" w:hint="default"/>
      </w:rPr>
    </w:lvl>
    <w:lvl w:ilvl="3" w:tplc="BBF40044">
      <w:start w:val="1"/>
      <w:numFmt w:val="bullet"/>
      <w:lvlText w:val=""/>
      <w:lvlJc w:val="left"/>
      <w:pPr>
        <w:ind w:left="2880" w:hanging="360"/>
      </w:pPr>
      <w:rPr>
        <w:rFonts w:ascii="Symbol" w:hAnsi="Symbol" w:hint="default"/>
      </w:rPr>
    </w:lvl>
    <w:lvl w:ilvl="4" w:tplc="AEE87152">
      <w:start w:val="1"/>
      <w:numFmt w:val="bullet"/>
      <w:lvlText w:val="o"/>
      <w:lvlJc w:val="left"/>
      <w:pPr>
        <w:ind w:left="3600" w:hanging="360"/>
      </w:pPr>
      <w:rPr>
        <w:rFonts w:ascii="Courier New" w:hAnsi="Courier New" w:hint="default"/>
      </w:rPr>
    </w:lvl>
    <w:lvl w:ilvl="5" w:tplc="E846496A">
      <w:start w:val="1"/>
      <w:numFmt w:val="bullet"/>
      <w:lvlText w:val=""/>
      <w:lvlJc w:val="left"/>
      <w:pPr>
        <w:ind w:left="4320" w:hanging="360"/>
      </w:pPr>
      <w:rPr>
        <w:rFonts w:ascii="Wingdings" w:hAnsi="Wingdings" w:hint="default"/>
      </w:rPr>
    </w:lvl>
    <w:lvl w:ilvl="6" w:tplc="E228AE74">
      <w:start w:val="1"/>
      <w:numFmt w:val="bullet"/>
      <w:lvlText w:val=""/>
      <w:lvlJc w:val="left"/>
      <w:pPr>
        <w:ind w:left="5040" w:hanging="360"/>
      </w:pPr>
      <w:rPr>
        <w:rFonts w:ascii="Symbol" w:hAnsi="Symbol" w:hint="default"/>
      </w:rPr>
    </w:lvl>
    <w:lvl w:ilvl="7" w:tplc="20AA7A2E">
      <w:start w:val="1"/>
      <w:numFmt w:val="bullet"/>
      <w:lvlText w:val="o"/>
      <w:lvlJc w:val="left"/>
      <w:pPr>
        <w:ind w:left="5760" w:hanging="360"/>
      </w:pPr>
      <w:rPr>
        <w:rFonts w:ascii="Courier New" w:hAnsi="Courier New" w:hint="default"/>
      </w:rPr>
    </w:lvl>
    <w:lvl w:ilvl="8" w:tplc="D8FE11D0">
      <w:start w:val="1"/>
      <w:numFmt w:val="bullet"/>
      <w:lvlText w:val=""/>
      <w:lvlJc w:val="left"/>
      <w:pPr>
        <w:ind w:left="6480" w:hanging="360"/>
      </w:pPr>
      <w:rPr>
        <w:rFonts w:ascii="Wingdings" w:hAnsi="Wingdings" w:hint="default"/>
      </w:rPr>
    </w:lvl>
  </w:abstractNum>
  <w:abstractNum w:abstractNumId="3" w15:restartNumberingAfterBreak="0">
    <w:nsid w:val="4AB6BB2E"/>
    <w:multiLevelType w:val="hybridMultilevel"/>
    <w:tmpl w:val="FFFFFFFF"/>
    <w:lvl w:ilvl="0" w:tplc="F5CC1D10">
      <w:start w:val="1"/>
      <w:numFmt w:val="decimal"/>
      <w:lvlText w:val="%1."/>
      <w:lvlJc w:val="left"/>
      <w:pPr>
        <w:ind w:left="720" w:hanging="360"/>
      </w:pPr>
    </w:lvl>
    <w:lvl w:ilvl="1" w:tplc="3EA6C6BA">
      <w:start w:val="1"/>
      <w:numFmt w:val="lowerLetter"/>
      <w:lvlText w:val="%2."/>
      <w:lvlJc w:val="left"/>
      <w:pPr>
        <w:ind w:left="1440" w:hanging="360"/>
      </w:pPr>
    </w:lvl>
    <w:lvl w:ilvl="2" w:tplc="888E34DA">
      <w:start w:val="1"/>
      <w:numFmt w:val="lowerRoman"/>
      <w:lvlText w:val="%3."/>
      <w:lvlJc w:val="right"/>
      <w:pPr>
        <w:ind w:left="2160" w:hanging="180"/>
      </w:pPr>
    </w:lvl>
    <w:lvl w:ilvl="3" w:tplc="F570911C">
      <w:start w:val="1"/>
      <w:numFmt w:val="decimal"/>
      <w:lvlText w:val="%4."/>
      <w:lvlJc w:val="left"/>
      <w:pPr>
        <w:ind w:left="2880" w:hanging="360"/>
      </w:pPr>
    </w:lvl>
    <w:lvl w:ilvl="4" w:tplc="4FA017EC">
      <w:start w:val="1"/>
      <w:numFmt w:val="lowerLetter"/>
      <w:lvlText w:val="%5."/>
      <w:lvlJc w:val="left"/>
      <w:pPr>
        <w:ind w:left="3600" w:hanging="360"/>
      </w:pPr>
    </w:lvl>
    <w:lvl w:ilvl="5" w:tplc="12C67302">
      <w:start w:val="1"/>
      <w:numFmt w:val="lowerRoman"/>
      <w:lvlText w:val="%6."/>
      <w:lvlJc w:val="right"/>
      <w:pPr>
        <w:ind w:left="4320" w:hanging="180"/>
      </w:pPr>
    </w:lvl>
    <w:lvl w:ilvl="6" w:tplc="A050B168">
      <w:start w:val="1"/>
      <w:numFmt w:val="decimal"/>
      <w:lvlText w:val="%7."/>
      <w:lvlJc w:val="left"/>
      <w:pPr>
        <w:ind w:left="5040" w:hanging="360"/>
      </w:pPr>
    </w:lvl>
    <w:lvl w:ilvl="7" w:tplc="5078A5E0">
      <w:start w:val="1"/>
      <w:numFmt w:val="lowerLetter"/>
      <w:lvlText w:val="%8."/>
      <w:lvlJc w:val="left"/>
      <w:pPr>
        <w:ind w:left="5760" w:hanging="360"/>
      </w:pPr>
    </w:lvl>
    <w:lvl w:ilvl="8" w:tplc="EA8806BE">
      <w:start w:val="1"/>
      <w:numFmt w:val="lowerRoman"/>
      <w:lvlText w:val="%9."/>
      <w:lvlJc w:val="right"/>
      <w:pPr>
        <w:ind w:left="6480" w:hanging="180"/>
      </w:pPr>
    </w:lvl>
  </w:abstractNum>
  <w:abstractNum w:abstractNumId="4" w15:restartNumberingAfterBreak="0">
    <w:nsid w:val="4D2BE562"/>
    <w:multiLevelType w:val="hybridMultilevel"/>
    <w:tmpl w:val="FFFFFFFF"/>
    <w:lvl w:ilvl="0" w:tplc="7D4EB518">
      <w:start w:val="1"/>
      <w:numFmt w:val="bullet"/>
      <w:lvlText w:val=""/>
      <w:lvlJc w:val="left"/>
      <w:pPr>
        <w:ind w:left="720" w:hanging="360"/>
      </w:pPr>
      <w:rPr>
        <w:rFonts w:ascii="Symbol" w:hAnsi="Symbol" w:hint="default"/>
      </w:rPr>
    </w:lvl>
    <w:lvl w:ilvl="1" w:tplc="E5A45360">
      <w:start w:val="1"/>
      <w:numFmt w:val="bullet"/>
      <w:lvlText w:val="o"/>
      <w:lvlJc w:val="left"/>
      <w:pPr>
        <w:ind w:left="1440" w:hanging="360"/>
      </w:pPr>
      <w:rPr>
        <w:rFonts w:ascii="Courier New" w:hAnsi="Courier New" w:hint="default"/>
      </w:rPr>
    </w:lvl>
    <w:lvl w:ilvl="2" w:tplc="FE083E3C">
      <w:start w:val="1"/>
      <w:numFmt w:val="bullet"/>
      <w:lvlText w:val=""/>
      <w:lvlJc w:val="left"/>
      <w:pPr>
        <w:ind w:left="2160" w:hanging="360"/>
      </w:pPr>
      <w:rPr>
        <w:rFonts w:ascii="Wingdings" w:hAnsi="Wingdings" w:hint="default"/>
      </w:rPr>
    </w:lvl>
    <w:lvl w:ilvl="3" w:tplc="F80A275E">
      <w:start w:val="1"/>
      <w:numFmt w:val="bullet"/>
      <w:lvlText w:val=""/>
      <w:lvlJc w:val="left"/>
      <w:pPr>
        <w:ind w:left="2880" w:hanging="360"/>
      </w:pPr>
      <w:rPr>
        <w:rFonts w:ascii="Symbol" w:hAnsi="Symbol" w:hint="default"/>
      </w:rPr>
    </w:lvl>
    <w:lvl w:ilvl="4" w:tplc="9FE248BE">
      <w:start w:val="1"/>
      <w:numFmt w:val="bullet"/>
      <w:lvlText w:val="o"/>
      <w:lvlJc w:val="left"/>
      <w:pPr>
        <w:ind w:left="3600" w:hanging="360"/>
      </w:pPr>
      <w:rPr>
        <w:rFonts w:ascii="Courier New" w:hAnsi="Courier New" w:hint="default"/>
      </w:rPr>
    </w:lvl>
    <w:lvl w:ilvl="5" w:tplc="2FE48EDC">
      <w:start w:val="1"/>
      <w:numFmt w:val="bullet"/>
      <w:lvlText w:val=""/>
      <w:lvlJc w:val="left"/>
      <w:pPr>
        <w:ind w:left="4320" w:hanging="360"/>
      </w:pPr>
      <w:rPr>
        <w:rFonts w:ascii="Wingdings" w:hAnsi="Wingdings" w:hint="default"/>
      </w:rPr>
    </w:lvl>
    <w:lvl w:ilvl="6" w:tplc="109A544C">
      <w:start w:val="1"/>
      <w:numFmt w:val="bullet"/>
      <w:lvlText w:val=""/>
      <w:lvlJc w:val="left"/>
      <w:pPr>
        <w:ind w:left="5040" w:hanging="360"/>
      </w:pPr>
      <w:rPr>
        <w:rFonts w:ascii="Symbol" w:hAnsi="Symbol" w:hint="default"/>
      </w:rPr>
    </w:lvl>
    <w:lvl w:ilvl="7" w:tplc="4B7658B6">
      <w:start w:val="1"/>
      <w:numFmt w:val="bullet"/>
      <w:lvlText w:val="o"/>
      <w:lvlJc w:val="left"/>
      <w:pPr>
        <w:ind w:left="5760" w:hanging="360"/>
      </w:pPr>
      <w:rPr>
        <w:rFonts w:ascii="Courier New" w:hAnsi="Courier New" w:hint="default"/>
      </w:rPr>
    </w:lvl>
    <w:lvl w:ilvl="8" w:tplc="D3F02BC2">
      <w:start w:val="1"/>
      <w:numFmt w:val="bullet"/>
      <w:lvlText w:val=""/>
      <w:lvlJc w:val="left"/>
      <w:pPr>
        <w:ind w:left="6480" w:hanging="360"/>
      </w:pPr>
      <w:rPr>
        <w:rFonts w:ascii="Wingdings" w:hAnsi="Wingdings" w:hint="default"/>
      </w:rPr>
    </w:lvl>
  </w:abstractNum>
  <w:abstractNum w:abstractNumId="5" w15:restartNumberingAfterBreak="0">
    <w:nsid w:val="5167D051"/>
    <w:multiLevelType w:val="hybridMultilevel"/>
    <w:tmpl w:val="FFFFFFFF"/>
    <w:lvl w:ilvl="0" w:tplc="7F985736">
      <w:start w:val="1"/>
      <w:numFmt w:val="bullet"/>
      <w:lvlText w:val=""/>
      <w:lvlJc w:val="left"/>
      <w:pPr>
        <w:ind w:left="720" w:hanging="360"/>
      </w:pPr>
      <w:rPr>
        <w:rFonts w:ascii="Symbol" w:hAnsi="Symbol" w:hint="default"/>
      </w:rPr>
    </w:lvl>
    <w:lvl w:ilvl="1" w:tplc="05E0DABE">
      <w:start w:val="1"/>
      <w:numFmt w:val="bullet"/>
      <w:lvlText w:val="o"/>
      <w:lvlJc w:val="left"/>
      <w:pPr>
        <w:ind w:left="1440" w:hanging="360"/>
      </w:pPr>
      <w:rPr>
        <w:rFonts w:ascii="Courier New" w:hAnsi="Courier New" w:hint="default"/>
      </w:rPr>
    </w:lvl>
    <w:lvl w:ilvl="2" w:tplc="342E19D6">
      <w:start w:val="1"/>
      <w:numFmt w:val="bullet"/>
      <w:lvlText w:val=""/>
      <w:lvlJc w:val="left"/>
      <w:pPr>
        <w:ind w:left="2160" w:hanging="360"/>
      </w:pPr>
      <w:rPr>
        <w:rFonts w:ascii="Wingdings" w:hAnsi="Wingdings" w:hint="default"/>
      </w:rPr>
    </w:lvl>
    <w:lvl w:ilvl="3" w:tplc="696A7FC0">
      <w:start w:val="1"/>
      <w:numFmt w:val="bullet"/>
      <w:lvlText w:val=""/>
      <w:lvlJc w:val="left"/>
      <w:pPr>
        <w:ind w:left="2880" w:hanging="360"/>
      </w:pPr>
      <w:rPr>
        <w:rFonts w:ascii="Symbol" w:hAnsi="Symbol" w:hint="default"/>
      </w:rPr>
    </w:lvl>
    <w:lvl w:ilvl="4" w:tplc="88362636">
      <w:start w:val="1"/>
      <w:numFmt w:val="bullet"/>
      <w:lvlText w:val="o"/>
      <w:lvlJc w:val="left"/>
      <w:pPr>
        <w:ind w:left="3600" w:hanging="360"/>
      </w:pPr>
      <w:rPr>
        <w:rFonts w:ascii="Courier New" w:hAnsi="Courier New" w:hint="default"/>
      </w:rPr>
    </w:lvl>
    <w:lvl w:ilvl="5" w:tplc="3D0C5252">
      <w:start w:val="1"/>
      <w:numFmt w:val="bullet"/>
      <w:lvlText w:val=""/>
      <w:lvlJc w:val="left"/>
      <w:pPr>
        <w:ind w:left="4320" w:hanging="360"/>
      </w:pPr>
      <w:rPr>
        <w:rFonts w:ascii="Wingdings" w:hAnsi="Wingdings" w:hint="default"/>
      </w:rPr>
    </w:lvl>
    <w:lvl w:ilvl="6" w:tplc="719A8684">
      <w:start w:val="1"/>
      <w:numFmt w:val="bullet"/>
      <w:lvlText w:val=""/>
      <w:lvlJc w:val="left"/>
      <w:pPr>
        <w:ind w:left="5040" w:hanging="360"/>
      </w:pPr>
      <w:rPr>
        <w:rFonts w:ascii="Symbol" w:hAnsi="Symbol" w:hint="default"/>
      </w:rPr>
    </w:lvl>
    <w:lvl w:ilvl="7" w:tplc="F3D609A0">
      <w:start w:val="1"/>
      <w:numFmt w:val="bullet"/>
      <w:lvlText w:val="o"/>
      <w:lvlJc w:val="left"/>
      <w:pPr>
        <w:ind w:left="5760" w:hanging="360"/>
      </w:pPr>
      <w:rPr>
        <w:rFonts w:ascii="Courier New" w:hAnsi="Courier New" w:hint="default"/>
      </w:rPr>
    </w:lvl>
    <w:lvl w:ilvl="8" w:tplc="B1209D3A">
      <w:start w:val="1"/>
      <w:numFmt w:val="bullet"/>
      <w:lvlText w:val=""/>
      <w:lvlJc w:val="left"/>
      <w:pPr>
        <w:ind w:left="6480" w:hanging="360"/>
      </w:pPr>
      <w:rPr>
        <w:rFonts w:ascii="Wingdings" w:hAnsi="Wingdings" w:hint="default"/>
      </w:rPr>
    </w:lvl>
  </w:abstractNum>
  <w:abstractNum w:abstractNumId="6" w15:restartNumberingAfterBreak="0">
    <w:nsid w:val="5C96799A"/>
    <w:multiLevelType w:val="hybridMultilevel"/>
    <w:tmpl w:val="FFFFFFFF"/>
    <w:lvl w:ilvl="0" w:tplc="0128B864">
      <w:start w:val="1"/>
      <w:numFmt w:val="bullet"/>
      <w:lvlText w:val=""/>
      <w:lvlJc w:val="left"/>
      <w:pPr>
        <w:ind w:left="720" w:hanging="360"/>
      </w:pPr>
      <w:rPr>
        <w:rFonts w:ascii="Symbol" w:hAnsi="Symbol" w:hint="default"/>
      </w:rPr>
    </w:lvl>
    <w:lvl w:ilvl="1" w:tplc="52EC9CB0">
      <w:start w:val="1"/>
      <w:numFmt w:val="bullet"/>
      <w:lvlText w:val="o"/>
      <w:lvlJc w:val="left"/>
      <w:pPr>
        <w:ind w:left="1440" w:hanging="360"/>
      </w:pPr>
      <w:rPr>
        <w:rFonts w:ascii="Courier New" w:hAnsi="Courier New" w:hint="default"/>
      </w:rPr>
    </w:lvl>
    <w:lvl w:ilvl="2" w:tplc="83E08E62">
      <w:start w:val="1"/>
      <w:numFmt w:val="bullet"/>
      <w:lvlText w:val=""/>
      <w:lvlJc w:val="left"/>
      <w:pPr>
        <w:ind w:left="2160" w:hanging="360"/>
      </w:pPr>
      <w:rPr>
        <w:rFonts w:ascii="Wingdings" w:hAnsi="Wingdings" w:hint="default"/>
      </w:rPr>
    </w:lvl>
    <w:lvl w:ilvl="3" w:tplc="BACE07FC">
      <w:start w:val="1"/>
      <w:numFmt w:val="bullet"/>
      <w:lvlText w:val=""/>
      <w:lvlJc w:val="left"/>
      <w:pPr>
        <w:ind w:left="2880" w:hanging="360"/>
      </w:pPr>
      <w:rPr>
        <w:rFonts w:ascii="Symbol" w:hAnsi="Symbol" w:hint="default"/>
      </w:rPr>
    </w:lvl>
    <w:lvl w:ilvl="4" w:tplc="B008A1BC">
      <w:start w:val="1"/>
      <w:numFmt w:val="bullet"/>
      <w:lvlText w:val="o"/>
      <w:lvlJc w:val="left"/>
      <w:pPr>
        <w:ind w:left="3600" w:hanging="360"/>
      </w:pPr>
      <w:rPr>
        <w:rFonts w:ascii="Courier New" w:hAnsi="Courier New" w:hint="default"/>
      </w:rPr>
    </w:lvl>
    <w:lvl w:ilvl="5" w:tplc="4132776C">
      <w:start w:val="1"/>
      <w:numFmt w:val="bullet"/>
      <w:lvlText w:val=""/>
      <w:lvlJc w:val="left"/>
      <w:pPr>
        <w:ind w:left="4320" w:hanging="360"/>
      </w:pPr>
      <w:rPr>
        <w:rFonts w:ascii="Wingdings" w:hAnsi="Wingdings" w:hint="default"/>
      </w:rPr>
    </w:lvl>
    <w:lvl w:ilvl="6" w:tplc="FFD8C3D0">
      <w:start w:val="1"/>
      <w:numFmt w:val="bullet"/>
      <w:lvlText w:val=""/>
      <w:lvlJc w:val="left"/>
      <w:pPr>
        <w:ind w:left="5040" w:hanging="360"/>
      </w:pPr>
      <w:rPr>
        <w:rFonts w:ascii="Symbol" w:hAnsi="Symbol" w:hint="default"/>
      </w:rPr>
    </w:lvl>
    <w:lvl w:ilvl="7" w:tplc="A53C5ADE">
      <w:start w:val="1"/>
      <w:numFmt w:val="bullet"/>
      <w:lvlText w:val="o"/>
      <w:lvlJc w:val="left"/>
      <w:pPr>
        <w:ind w:left="5760" w:hanging="360"/>
      </w:pPr>
      <w:rPr>
        <w:rFonts w:ascii="Courier New" w:hAnsi="Courier New" w:hint="default"/>
      </w:rPr>
    </w:lvl>
    <w:lvl w:ilvl="8" w:tplc="8C04F210">
      <w:start w:val="1"/>
      <w:numFmt w:val="bullet"/>
      <w:lvlText w:val=""/>
      <w:lvlJc w:val="left"/>
      <w:pPr>
        <w:ind w:left="6480" w:hanging="360"/>
      </w:pPr>
      <w:rPr>
        <w:rFonts w:ascii="Wingdings" w:hAnsi="Wingdings" w:hint="default"/>
      </w:rPr>
    </w:lvl>
  </w:abstractNum>
  <w:abstractNum w:abstractNumId="7" w15:restartNumberingAfterBreak="0">
    <w:nsid w:val="5FB174B2"/>
    <w:multiLevelType w:val="hybridMultilevel"/>
    <w:tmpl w:val="FFFFFFFF"/>
    <w:lvl w:ilvl="0" w:tplc="CAD009DC">
      <w:start w:val="1"/>
      <w:numFmt w:val="bullet"/>
      <w:lvlText w:val=""/>
      <w:lvlJc w:val="left"/>
      <w:pPr>
        <w:ind w:left="720" w:hanging="360"/>
      </w:pPr>
      <w:rPr>
        <w:rFonts w:ascii="Symbol" w:hAnsi="Symbol" w:hint="default"/>
      </w:rPr>
    </w:lvl>
    <w:lvl w:ilvl="1" w:tplc="BA942DE0">
      <w:start w:val="1"/>
      <w:numFmt w:val="bullet"/>
      <w:lvlText w:val="o"/>
      <w:lvlJc w:val="left"/>
      <w:pPr>
        <w:ind w:left="1440" w:hanging="360"/>
      </w:pPr>
      <w:rPr>
        <w:rFonts w:ascii="Courier New" w:hAnsi="Courier New" w:hint="default"/>
      </w:rPr>
    </w:lvl>
    <w:lvl w:ilvl="2" w:tplc="30BAA91A">
      <w:start w:val="1"/>
      <w:numFmt w:val="bullet"/>
      <w:lvlText w:val=""/>
      <w:lvlJc w:val="left"/>
      <w:pPr>
        <w:ind w:left="2160" w:hanging="360"/>
      </w:pPr>
      <w:rPr>
        <w:rFonts w:ascii="Wingdings" w:hAnsi="Wingdings" w:hint="default"/>
      </w:rPr>
    </w:lvl>
    <w:lvl w:ilvl="3" w:tplc="B9BC0F46">
      <w:start w:val="1"/>
      <w:numFmt w:val="bullet"/>
      <w:lvlText w:val=""/>
      <w:lvlJc w:val="left"/>
      <w:pPr>
        <w:ind w:left="2880" w:hanging="360"/>
      </w:pPr>
      <w:rPr>
        <w:rFonts w:ascii="Symbol" w:hAnsi="Symbol" w:hint="default"/>
      </w:rPr>
    </w:lvl>
    <w:lvl w:ilvl="4" w:tplc="43B85282">
      <w:start w:val="1"/>
      <w:numFmt w:val="bullet"/>
      <w:lvlText w:val="o"/>
      <w:lvlJc w:val="left"/>
      <w:pPr>
        <w:ind w:left="3600" w:hanging="360"/>
      </w:pPr>
      <w:rPr>
        <w:rFonts w:ascii="Courier New" w:hAnsi="Courier New" w:hint="default"/>
      </w:rPr>
    </w:lvl>
    <w:lvl w:ilvl="5" w:tplc="ADB8EBC8">
      <w:start w:val="1"/>
      <w:numFmt w:val="bullet"/>
      <w:lvlText w:val=""/>
      <w:lvlJc w:val="left"/>
      <w:pPr>
        <w:ind w:left="4320" w:hanging="360"/>
      </w:pPr>
      <w:rPr>
        <w:rFonts w:ascii="Wingdings" w:hAnsi="Wingdings" w:hint="default"/>
      </w:rPr>
    </w:lvl>
    <w:lvl w:ilvl="6" w:tplc="034A8770">
      <w:start w:val="1"/>
      <w:numFmt w:val="bullet"/>
      <w:lvlText w:val=""/>
      <w:lvlJc w:val="left"/>
      <w:pPr>
        <w:ind w:left="5040" w:hanging="360"/>
      </w:pPr>
      <w:rPr>
        <w:rFonts w:ascii="Symbol" w:hAnsi="Symbol" w:hint="default"/>
      </w:rPr>
    </w:lvl>
    <w:lvl w:ilvl="7" w:tplc="520E5FCC">
      <w:start w:val="1"/>
      <w:numFmt w:val="bullet"/>
      <w:lvlText w:val="o"/>
      <w:lvlJc w:val="left"/>
      <w:pPr>
        <w:ind w:left="5760" w:hanging="360"/>
      </w:pPr>
      <w:rPr>
        <w:rFonts w:ascii="Courier New" w:hAnsi="Courier New" w:hint="default"/>
      </w:rPr>
    </w:lvl>
    <w:lvl w:ilvl="8" w:tplc="83CA5904">
      <w:start w:val="1"/>
      <w:numFmt w:val="bullet"/>
      <w:lvlText w:val=""/>
      <w:lvlJc w:val="left"/>
      <w:pPr>
        <w:ind w:left="6480" w:hanging="360"/>
      </w:pPr>
      <w:rPr>
        <w:rFonts w:ascii="Wingdings" w:hAnsi="Wingdings" w:hint="default"/>
      </w:rPr>
    </w:lvl>
  </w:abstractNum>
  <w:abstractNum w:abstractNumId="8" w15:restartNumberingAfterBreak="0">
    <w:nsid w:val="60461573"/>
    <w:multiLevelType w:val="hybridMultilevel"/>
    <w:tmpl w:val="FFFFFFFF"/>
    <w:lvl w:ilvl="0" w:tplc="733423E0">
      <w:start w:val="1"/>
      <w:numFmt w:val="bullet"/>
      <w:lvlText w:val=""/>
      <w:lvlJc w:val="left"/>
      <w:pPr>
        <w:ind w:left="720" w:hanging="360"/>
      </w:pPr>
      <w:rPr>
        <w:rFonts w:ascii="Symbol" w:hAnsi="Symbol" w:hint="default"/>
      </w:rPr>
    </w:lvl>
    <w:lvl w:ilvl="1" w:tplc="CF78C36E">
      <w:start w:val="1"/>
      <w:numFmt w:val="bullet"/>
      <w:lvlText w:val="o"/>
      <w:lvlJc w:val="left"/>
      <w:pPr>
        <w:ind w:left="1440" w:hanging="360"/>
      </w:pPr>
      <w:rPr>
        <w:rFonts w:ascii="Courier New" w:hAnsi="Courier New" w:hint="default"/>
      </w:rPr>
    </w:lvl>
    <w:lvl w:ilvl="2" w:tplc="DC8C651E">
      <w:start w:val="1"/>
      <w:numFmt w:val="bullet"/>
      <w:lvlText w:val=""/>
      <w:lvlJc w:val="left"/>
      <w:pPr>
        <w:ind w:left="2160" w:hanging="360"/>
      </w:pPr>
      <w:rPr>
        <w:rFonts w:ascii="Wingdings" w:hAnsi="Wingdings" w:hint="default"/>
      </w:rPr>
    </w:lvl>
    <w:lvl w:ilvl="3" w:tplc="9FD08FA4">
      <w:start w:val="1"/>
      <w:numFmt w:val="bullet"/>
      <w:lvlText w:val=""/>
      <w:lvlJc w:val="left"/>
      <w:pPr>
        <w:ind w:left="2880" w:hanging="360"/>
      </w:pPr>
      <w:rPr>
        <w:rFonts w:ascii="Symbol" w:hAnsi="Symbol" w:hint="default"/>
      </w:rPr>
    </w:lvl>
    <w:lvl w:ilvl="4" w:tplc="238E510E">
      <w:start w:val="1"/>
      <w:numFmt w:val="bullet"/>
      <w:lvlText w:val="o"/>
      <w:lvlJc w:val="left"/>
      <w:pPr>
        <w:ind w:left="3600" w:hanging="360"/>
      </w:pPr>
      <w:rPr>
        <w:rFonts w:ascii="Courier New" w:hAnsi="Courier New" w:hint="default"/>
      </w:rPr>
    </w:lvl>
    <w:lvl w:ilvl="5" w:tplc="D49CDBEE">
      <w:start w:val="1"/>
      <w:numFmt w:val="bullet"/>
      <w:lvlText w:val=""/>
      <w:lvlJc w:val="left"/>
      <w:pPr>
        <w:ind w:left="4320" w:hanging="360"/>
      </w:pPr>
      <w:rPr>
        <w:rFonts w:ascii="Wingdings" w:hAnsi="Wingdings" w:hint="default"/>
      </w:rPr>
    </w:lvl>
    <w:lvl w:ilvl="6" w:tplc="F0E06CB0">
      <w:start w:val="1"/>
      <w:numFmt w:val="bullet"/>
      <w:lvlText w:val=""/>
      <w:lvlJc w:val="left"/>
      <w:pPr>
        <w:ind w:left="5040" w:hanging="360"/>
      </w:pPr>
      <w:rPr>
        <w:rFonts w:ascii="Symbol" w:hAnsi="Symbol" w:hint="default"/>
      </w:rPr>
    </w:lvl>
    <w:lvl w:ilvl="7" w:tplc="22BC0484">
      <w:start w:val="1"/>
      <w:numFmt w:val="bullet"/>
      <w:lvlText w:val="o"/>
      <w:lvlJc w:val="left"/>
      <w:pPr>
        <w:ind w:left="5760" w:hanging="360"/>
      </w:pPr>
      <w:rPr>
        <w:rFonts w:ascii="Courier New" w:hAnsi="Courier New" w:hint="default"/>
      </w:rPr>
    </w:lvl>
    <w:lvl w:ilvl="8" w:tplc="B9C44DA0">
      <w:start w:val="1"/>
      <w:numFmt w:val="bullet"/>
      <w:lvlText w:val=""/>
      <w:lvlJc w:val="left"/>
      <w:pPr>
        <w:ind w:left="6480" w:hanging="360"/>
      </w:pPr>
      <w:rPr>
        <w:rFonts w:ascii="Wingdings" w:hAnsi="Wingdings" w:hint="default"/>
      </w:rPr>
    </w:lvl>
  </w:abstractNum>
  <w:abstractNum w:abstractNumId="9" w15:restartNumberingAfterBreak="0">
    <w:nsid w:val="67BDA192"/>
    <w:multiLevelType w:val="hybridMultilevel"/>
    <w:tmpl w:val="FFFFFFFF"/>
    <w:lvl w:ilvl="0" w:tplc="B9849C9C">
      <w:start w:val="1"/>
      <w:numFmt w:val="bullet"/>
      <w:lvlText w:val=""/>
      <w:lvlJc w:val="left"/>
      <w:pPr>
        <w:ind w:left="720" w:hanging="360"/>
      </w:pPr>
      <w:rPr>
        <w:rFonts w:ascii="Symbol" w:hAnsi="Symbol" w:hint="default"/>
      </w:rPr>
    </w:lvl>
    <w:lvl w:ilvl="1" w:tplc="8F2638A6">
      <w:start w:val="1"/>
      <w:numFmt w:val="bullet"/>
      <w:lvlText w:val="o"/>
      <w:lvlJc w:val="left"/>
      <w:pPr>
        <w:ind w:left="1440" w:hanging="360"/>
      </w:pPr>
      <w:rPr>
        <w:rFonts w:ascii="Courier New" w:hAnsi="Courier New" w:hint="default"/>
      </w:rPr>
    </w:lvl>
    <w:lvl w:ilvl="2" w:tplc="BEDCADA0">
      <w:start w:val="1"/>
      <w:numFmt w:val="bullet"/>
      <w:lvlText w:val=""/>
      <w:lvlJc w:val="left"/>
      <w:pPr>
        <w:ind w:left="2160" w:hanging="360"/>
      </w:pPr>
      <w:rPr>
        <w:rFonts w:ascii="Wingdings" w:hAnsi="Wingdings" w:hint="default"/>
      </w:rPr>
    </w:lvl>
    <w:lvl w:ilvl="3" w:tplc="657A8936">
      <w:start w:val="1"/>
      <w:numFmt w:val="bullet"/>
      <w:lvlText w:val=""/>
      <w:lvlJc w:val="left"/>
      <w:pPr>
        <w:ind w:left="2880" w:hanging="360"/>
      </w:pPr>
      <w:rPr>
        <w:rFonts w:ascii="Symbol" w:hAnsi="Symbol" w:hint="default"/>
      </w:rPr>
    </w:lvl>
    <w:lvl w:ilvl="4" w:tplc="7F4AADD6">
      <w:start w:val="1"/>
      <w:numFmt w:val="bullet"/>
      <w:lvlText w:val="o"/>
      <w:lvlJc w:val="left"/>
      <w:pPr>
        <w:ind w:left="3600" w:hanging="360"/>
      </w:pPr>
      <w:rPr>
        <w:rFonts w:ascii="Courier New" w:hAnsi="Courier New" w:hint="default"/>
      </w:rPr>
    </w:lvl>
    <w:lvl w:ilvl="5" w:tplc="7C182F9A">
      <w:start w:val="1"/>
      <w:numFmt w:val="bullet"/>
      <w:lvlText w:val=""/>
      <w:lvlJc w:val="left"/>
      <w:pPr>
        <w:ind w:left="4320" w:hanging="360"/>
      </w:pPr>
      <w:rPr>
        <w:rFonts w:ascii="Wingdings" w:hAnsi="Wingdings" w:hint="default"/>
      </w:rPr>
    </w:lvl>
    <w:lvl w:ilvl="6" w:tplc="A6548ADC">
      <w:start w:val="1"/>
      <w:numFmt w:val="bullet"/>
      <w:lvlText w:val=""/>
      <w:lvlJc w:val="left"/>
      <w:pPr>
        <w:ind w:left="5040" w:hanging="360"/>
      </w:pPr>
      <w:rPr>
        <w:rFonts w:ascii="Symbol" w:hAnsi="Symbol" w:hint="default"/>
      </w:rPr>
    </w:lvl>
    <w:lvl w:ilvl="7" w:tplc="9348D86A">
      <w:start w:val="1"/>
      <w:numFmt w:val="bullet"/>
      <w:lvlText w:val="o"/>
      <w:lvlJc w:val="left"/>
      <w:pPr>
        <w:ind w:left="5760" w:hanging="360"/>
      </w:pPr>
      <w:rPr>
        <w:rFonts w:ascii="Courier New" w:hAnsi="Courier New" w:hint="default"/>
      </w:rPr>
    </w:lvl>
    <w:lvl w:ilvl="8" w:tplc="F81024A4">
      <w:start w:val="1"/>
      <w:numFmt w:val="bullet"/>
      <w:lvlText w:val=""/>
      <w:lvlJc w:val="left"/>
      <w:pPr>
        <w:ind w:left="6480" w:hanging="360"/>
      </w:pPr>
      <w:rPr>
        <w:rFonts w:ascii="Wingdings" w:hAnsi="Wingdings" w:hint="default"/>
      </w:rPr>
    </w:lvl>
  </w:abstractNum>
  <w:abstractNum w:abstractNumId="10" w15:restartNumberingAfterBreak="0">
    <w:nsid w:val="7AD3DA1A"/>
    <w:multiLevelType w:val="hybridMultilevel"/>
    <w:tmpl w:val="FFFFFFFF"/>
    <w:lvl w:ilvl="0" w:tplc="B0E23F50">
      <w:start w:val="1"/>
      <w:numFmt w:val="bullet"/>
      <w:lvlText w:val=""/>
      <w:lvlJc w:val="left"/>
      <w:pPr>
        <w:ind w:left="720" w:hanging="360"/>
      </w:pPr>
      <w:rPr>
        <w:rFonts w:ascii="Symbol" w:hAnsi="Symbol" w:hint="default"/>
      </w:rPr>
    </w:lvl>
    <w:lvl w:ilvl="1" w:tplc="6CA69858">
      <w:start w:val="1"/>
      <w:numFmt w:val="bullet"/>
      <w:lvlText w:val="o"/>
      <w:lvlJc w:val="left"/>
      <w:pPr>
        <w:ind w:left="1440" w:hanging="360"/>
      </w:pPr>
      <w:rPr>
        <w:rFonts w:ascii="Courier New" w:hAnsi="Courier New" w:hint="default"/>
      </w:rPr>
    </w:lvl>
    <w:lvl w:ilvl="2" w:tplc="12C8F276">
      <w:start w:val="1"/>
      <w:numFmt w:val="bullet"/>
      <w:lvlText w:val=""/>
      <w:lvlJc w:val="left"/>
      <w:pPr>
        <w:ind w:left="2160" w:hanging="360"/>
      </w:pPr>
      <w:rPr>
        <w:rFonts w:ascii="Wingdings" w:hAnsi="Wingdings" w:hint="default"/>
      </w:rPr>
    </w:lvl>
    <w:lvl w:ilvl="3" w:tplc="4F2259EE">
      <w:start w:val="1"/>
      <w:numFmt w:val="bullet"/>
      <w:lvlText w:val=""/>
      <w:lvlJc w:val="left"/>
      <w:pPr>
        <w:ind w:left="2880" w:hanging="360"/>
      </w:pPr>
      <w:rPr>
        <w:rFonts w:ascii="Symbol" w:hAnsi="Symbol" w:hint="default"/>
      </w:rPr>
    </w:lvl>
    <w:lvl w:ilvl="4" w:tplc="55C03C1E">
      <w:start w:val="1"/>
      <w:numFmt w:val="bullet"/>
      <w:lvlText w:val="o"/>
      <w:lvlJc w:val="left"/>
      <w:pPr>
        <w:ind w:left="3600" w:hanging="360"/>
      </w:pPr>
      <w:rPr>
        <w:rFonts w:ascii="Courier New" w:hAnsi="Courier New" w:hint="default"/>
      </w:rPr>
    </w:lvl>
    <w:lvl w:ilvl="5" w:tplc="93B89BB6">
      <w:start w:val="1"/>
      <w:numFmt w:val="bullet"/>
      <w:lvlText w:val=""/>
      <w:lvlJc w:val="left"/>
      <w:pPr>
        <w:ind w:left="4320" w:hanging="360"/>
      </w:pPr>
      <w:rPr>
        <w:rFonts w:ascii="Wingdings" w:hAnsi="Wingdings" w:hint="default"/>
      </w:rPr>
    </w:lvl>
    <w:lvl w:ilvl="6" w:tplc="31283696">
      <w:start w:val="1"/>
      <w:numFmt w:val="bullet"/>
      <w:lvlText w:val=""/>
      <w:lvlJc w:val="left"/>
      <w:pPr>
        <w:ind w:left="5040" w:hanging="360"/>
      </w:pPr>
      <w:rPr>
        <w:rFonts w:ascii="Symbol" w:hAnsi="Symbol" w:hint="default"/>
      </w:rPr>
    </w:lvl>
    <w:lvl w:ilvl="7" w:tplc="9C0C273A">
      <w:start w:val="1"/>
      <w:numFmt w:val="bullet"/>
      <w:lvlText w:val="o"/>
      <w:lvlJc w:val="left"/>
      <w:pPr>
        <w:ind w:left="5760" w:hanging="360"/>
      </w:pPr>
      <w:rPr>
        <w:rFonts w:ascii="Courier New" w:hAnsi="Courier New" w:hint="default"/>
      </w:rPr>
    </w:lvl>
    <w:lvl w:ilvl="8" w:tplc="38CE97C0">
      <w:start w:val="1"/>
      <w:numFmt w:val="bullet"/>
      <w:lvlText w:val=""/>
      <w:lvlJc w:val="left"/>
      <w:pPr>
        <w:ind w:left="6480" w:hanging="360"/>
      </w:pPr>
      <w:rPr>
        <w:rFonts w:ascii="Wingdings" w:hAnsi="Wingdings" w:hint="default"/>
      </w:rPr>
    </w:lvl>
  </w:abstractNum>
  <w:num w:numId="1" w16cid:durableId="1050617916">
    <w:abstractNumId w:val="4"/>
  </w:num>
  <w:num w:numId="2" w16cid:durableId="1137913942">
    <w:abstractNumId w:val="3"/>
  </w:num>
  <w:num w:numId="3" w16cid:durableId="1178622393">
    <w:abstractNumId w:val="7"/>
  </w:num>
  <w:num w:numId="4" w16cid:durableId="1203133442">
    <w:abstractNumId w:val="8"/>
  </w:num>
  <w:num w:numId="5" w16cid:durableId="1221670330">
    <w:abstractNumId w:val="9"/>
  </w:num>
  <w:num w:numId="6" w16cid:durableId="1448622298">
    <w:abstractNumId w:val="2"/>
  </w:num>
  <w:num w:numId="7" w16cid:durableId="1530951701">
    <w:abstractNumId w:val="10"/>
  </w:num>
  <w:num w:numId="8" w16cid:durableId="1648315049">
    <w:abstractNumId w:val="0"/>
  </w:num>
  <w:num w:numId="9" w16cid:durableId="317274608">
    <w:abstractNumId w:val="6"/>
  </w:num>
  <w:num w:numId="10" w16cid:durableId="660545963">
    <w:abstractNumId w:val="1"/>
  </w:num>
  <w:num w:numId="11" w16cid:durableId="673529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ADE00E"/>
    <w:rsid w:val="00071B58"/>
    <w:rsid w:val="000D21DC"/>
    <w:rsid w:val="001B3A90"/>
    <w:rsid w:val="001C3760"/>
    <w:rsid w:val="0022144C"/>
    <w:rsid w:val="0024179F"/>
    <w:rsid w:val="00300711"/>
    <w:rsid w:val="00393F1F"/>
    <w:rsid w:val="004923E2"/>
    <w:rsid w:val="005B64D8"/>
    <w:rsid w:val="00611A07"/>
    <w:rsid w:val="006128F3"/>
    <w:rsid w:val="00622B61"/>
    <w:rsid w:val="00633480"/>
    <w:rsid w:val="00643EA9"/>
    <w:rsid w:val="007754A6"/>
    <w:rsid w:val="007B21D9"/>
    <w:rsid w:val="007B2446"/>
    <w:rsid w:val="008B433A"/>
    <w:rsid w:val="008C5811"/>
    <w:rsid w:val="00927B66"/>
    <w:rsid w:val="009B531A"/>
    <w:rsid w:val="009F76C7"/>
    <w:rsid w:val="00AA3478"/>
    <w:rsid w:val="00B51F92"/>
    <w:rsid w:val="00B622B7"/>
    <w:rsid w:val="00B67B84"/>
    <w:rsid w:val="00BA1037"/>
    <w:rsid w:val="00C20F47"/>
    <w:rsid w:val="00C226A9"/>
    <w:rsid w:val="00C4233C"/>
    <w:rsid w:val="00C856EF"/>
    <w:rsid w:val="00CB0025"/>
    <w:rsid w:val="00CE7017"/>
    <w:rsid w:val="00D66C54"/>
    <w:rsid w:val="00E300C1"/>
    <w:rsid w:val="00EC2213"/>
    <w:rsid w:val="00F33808"/>
    <w:rsid w:val="00F61B19"/>
    <w:rsid w:val="00F75E20"/>
    <w:rsid w:val="0176FC97"/>
    <w:rsid w:val="01FE9C8C"/>
    <w:rsid w:val="02BD1D83"/>
    <w:rsid w:val="02DCA268"/>
    <w:rsid w:val="03314B6C"/>
    <w:rsid w:val="036579FD"/>
    <w:rsid w:val="03B57375"/>
    <w:rsid w:val="04450CBE"/>
    <w:rsid w:val="047D9208"/>
    <w:rsid w:val="04891A8D"/>
    <w:rsid w:val="04D2080A"/>
    <w:rsid w:val="053A409E"/>
    <w:rsid w:val="05E4932C"/>
    <w:rsid w:val="0603C6E1"/>
    <w:rsid w:val="06A89208"/>
    <w:rsid w:val="072D46BB"/>
    <w:rsid w:val="082254C0"/>
    <w:rsid w:val="0883A896"/>
    <w:rsid w:val="08E6B94A"/>
    <w:rsid w:val="0992E029"/>
    <w:rsid w:val="0A76E572"/>
    <w:rsid w:val="0ADD6944"/>
    <w:rsid w:val="0AF05499"/>
    <w:rsid w:val="0B7701DB"/>
    <w:rsid w:val="0B9E0BE9"/>
    <w:rsid w:val="0BE3D315"/>
    <w:rsid w:val="0BF98EEE"/>
    <w:rsid w:val="0C443811"/>
    <w:rsid w:val="0C5CE87D"/>
    <w:rsid w:val="0D7A08F8"/>
    <w:rsid w:val="0D849DC5"/>
    <w:rsid w:val="0DA24065"/>
    <w:rsid w:val="0DFE04EB"/>
    <w:rsid w:val="0E7DEBB1"/>
    <w:rsid w:val="0E84D398"/>
    <w:rsid w:val="0ED34597"/>
    <w:rsid w:val="10AB0428"/>
    <w:rsid w:val="10B70863"/>
    <w:rsid w:val="10FCCA77"/>
    <w:rsid w:val="120E3B9C"/>
    <w:rsid w:val="12121135"/>
    <w:rsid w:val="12BA0947"/>
    <w:rsid w:val="12BAE5C1"/>
    <w:rsid w:val="12EDAC3C"/>
    <w:rsid w:val="13050753"/>
    <w:rsid w:val="13659ACC"/>
    <w:rsid w:val="1391D9BC"/>
    <w:rsid w:val="14156D32"/>
    <w:rsid w:val="1545B244"/>
    <w:rsid w:val="154A675C"/>
    <w:rsid w:val="1566EBE2"/>
    <w:rsid w:val="16C5AAED"/>
    <w:rsid w:val="17C99591"/>
    <w:rsid w:val="17D4B89E"/>
    <w:rsid w:val="182F3D22"/>
    <w:rsid w:val="1861F441"/>
    <w:rsid w:val="1884D916"/>
    <w:rsid w:val="18AC1901"/>
    <w:rsid w:val="1977DD33"/>
    <w:rsid w:val="1A2DEA6A"/>
    <w:rsid w:val="1A353D90"/>
    <w:rsid w:val="1A7D1A1B"/>
    <w:rsid w:val="1A8D4243"/>
    <w:rsid w:val="1A991FD1"/>
    <w:rsid w:val="1B9B0724"/>
    <w:rsid w:val="1C291C38"/>
    <w:rsid w:val="1C29DBF6"/>
    <w:rsid w:val="1CBCD637"/>
    <w:rsid w:val="1DE46801"/>
    <w:rsid w:val="1E1D9361"/>
    <w:rsid w:val="1EC3134F"/>
    <w:rsid w:val="1FE5A8CA"/>
    <w:rsid w:val="202DBA6A"/>
    <w:rsid w:val="208BB0BD"/>
    <w:rsid w:val="20E62815"/>
    <w:rsid w:val="21AC47B4"/>
    <w:rsid w:val="21D0CA90"/>
    <w:rsid w:val="223A7083"/>
    <w:rsid w:val="22A7E5F3"/>
    <w:rsid w:val="22ACC0E8"/>
    <w:rsid w:val="22C7D5B1"/>
    <w:rsid w:val="23013924"/>
    <w:rsid w:val="237F8834"/>
    <w:rsid w:val="23DCBA55"/>
    <w:rsid w:val="246CF7ED"/>
    <w:rsid w:val="247FCDB3"/>
    <w:rsid w:val="2499DC91"/>
    <w:rsid w:val="271CEDB7"/>
    <w:rsid w:val="273C9A06"/>
    <w:rsid w:val="2783DB53"/>
    <w:rsid w:val="280142F0"/>
    <w:rsid w:val="282B3A4D"/>
    <w:rsid w:val="2852702B"/>
    <w:rsid w:val="2A55AC64"/>
    <w:rsid w:val="2C61D124"/>
    <w:rsid w:val="2C66A5F6"/>
    <w:rsid w:val="2CD4F874"/>
    <w:rsid w:val="2D0F2944"/>
    <w:rsid w:val="2D67B32B"/>
    <w:rsid w:val="2D864F94"/>
    <w:rsid w:val="2DC0649E"/>
    <w:rsid w:val="2E26D736"/>
    <w:rsid w:val="2ED55928"/>
    <w:rsid w:val="2F89A3F5"/>
    <w:rsid w:val="3064264C"/>
    <w:rsid w:val="31AEA78B"/>
    <w:rsid w:val="323EA7D5"/>
    <w:rsid w:val="32B534F7"/>
    <w:rsid w:val="32D4AB12"/>
    <w:rsid w:val="33625179"/>
    <w:rsid w:val="343309BE"/>
    <w:rsid w:val="344AD472"/>
    <w:rsid w:val="352D0E16"/>
    <w:rsid w:val="36475359"/>
    <w:rsid w:val="36525758"/>
    <w:rsid w:val="3779A730"/>
    <w:rsid w:val="37E21EE6"/>
    <w:rsid w:val="385F72F6"/>
    <w:rsid w:val="3917564B"/>
    <w:rsid w:val="3976A71B"/>
    <w:rsid w:val="39776D30"/>
    <w:rsid w:val="39FE3921"/>
    <w:rsid w:val="3A497CDC"/>
    <w:rsid w:val="3AC7610A"/>
    <w:rsid w:val="3B39DA84"/>
    <w:rsid w:val="3B6AD14D"/>
    <w:rsid w:val="3C166ED5"/>
    <w:rsid w:val="3C560B3E"/>
    <w:rsid w:val="3D011190"/>
    <w:rsid w:val="3D102078"/>
    <w:rsid w:val="3DBA8770"/>
    <w:rsid w:val="3DD2334A"/>
    <w:rsid w:val="3F23D9E9"/>
    <w:rsid w:val="41F47FD5"/>
    <w:rsid w:val="42168B07"/>
    <w:rsid w:val="428CD888"/>
    <w:rsid w:val="441F945F"/>
    <w:rsid w:val="449268E6"/>
    <w:rsid w:val="449B8C7B"/>
    <w:rsid w:val="456148B0"/>
    <w:rsid w:val="45849278"/>
    <w:rsid w:val="470DFE8B"/>
    <w:rsid w:val="4739CD28"/>
    <w:rsid w:val="4758F3A7"/>
    <w:rsid w:val="484A5AC8"/>
    <w:rsid w:val="487CFF0C"/>
    <w:rsid w:val="49176697"/>
    <w:rsid w:val="49655922"/>
    <w:rsid w:val="49A7FEED"/>
    <w:rsid w:val="49C06E38"/>
    <w:rsid w:val="49DEF030"/>
    <w:rsid w:val="4B7B7262"/>
    <w:rsid w:val="4BA59A17"/>
    <w:rsid w:val="4BEA8F4D"/>
    <w:rsid w:val="4D223626"/>
    <w:rsid w:val="4DB0495B"/>
    <w:rsid w:val="4E1CEDCF"/>
    <w:rsid w:val="4FAA0C27"/>
    <w:rsid w:val="4FBE90FC"/>
    <w:rsid w:val="50B209CA"/>
    <w:rsid w:val="514A6F0F"/>
    <w:rsid w:val="51595EC6"/>
    <w:rsid w:val="51DD9F14"/>
    <w:rsid w:val="51FADA56"/>
    <w:rsid w:val="521EABAA"/>
    <w:rsid w:val="54450BF9"/>
    <w:rsid w:val="54C83F5E"/>
    <w:rsid w:val="55321BA0"/>
    <w:rsid w:val="556A0750"/>
    <w:rsid w:val="562077DE"/>
    <w:rsid w:val="56AA09D0"/>
    <w:rsid w:val="57CB3F92"/>
    <w:rsid w:val="57F21182"/>
    <w:rsid w:val="580330B5"/>
    <w:rsid w:val="58D9F82C"/>
    <w:rsid w:val="591709B8"/>
    <w:rsid w:val="59B1E4C2"/>
    <w:rsid w:val="5A3CCE9B"/>
    <w:rsid w:val="5A8DCC55"/>
    <w:rsid w:val="5B57C6A4"/>
    <w:rsid w:val="5C4AD2CD"/>
    <w:rsid w:val="5D81FF1E"/>
    <w:rsid w:val="5DDFF20A"/>
    <w:rsid w:val="5E78CB6A"/>
    <w:rsid w:val="5ECCD2FB"/>
    <w:rsid w:val="5F0DE2E3"/>
    <w:rsid w:val="5F286404"/>
    <w:rsid w:val="5FEF5513"/>
    <w:rsid w:val="6003880D"/>
    <w:rsid w:val="606EA239"/>
    <w:rsid w:val="615EBB54"/>
    <w:rsid w:val="619CD197"/>
    <w:rsid w:val="61CB5486"/>
    <w:rsid w:val="634CE7B0"/>
    <w:rsid w:val="635BAD0B"/>
    <w:rsid w:val="63EC3C08"/>
    <w:rsid w:val="64DF37E2"/>
    <w:rsid w:val="64F4FA42"/>
    <w:rsid w:val="64F6E553"/>
    <w:rsid w:val="65CDF6AB"/>
    <w:rsid w:val="67ADE00E"/>
    <w:rsid w:val="67BA46AA"/>
    <w:rsid w:val="67EF8CF5"/>
    <w:rsid w:val="67F2FF7A"/>
    <w:rsid w:val="685F5AFE"/>
    <w:rsid w:val="68ABB9A9"/>
    <w:rsid w:val="68BCFE10"/>
    <w:rsid w:val="691A3DD9"/>
    <w:rsid w:val="6958F6B2"/>
    <w:rsid w:val="6973F342"/>
    <w:rsid w:val="6992D097"/>
    <w:rsid w:val="6A879660"/>
    <w:rsid w:val="6AC8237C"/>
    <w:rsid w:val="6C09DA05"/>
    <w:rsid w:val="6C2DCAD7"/>
    <w:rsid w:val="6C42059E"/>
    <w:rsid w:val="6C606D0E"/>
    <w:rsid w:val="6CFE40B8"/>
    <w:rsid w:val="6D5DB73C"/>
    <w:rsid w:val="6E42A712"/>
    <w:rsid w:val="6EBE7606"/>
    <w:rsid w:val="6EFF0587"/>
    <w:rsid w:val="6FF0A20B"/>
    <w:rsid w:val="7090A277"/>
    <w:rsid w:val="70DCE4BE"/>
    <w:rsid w:val="7169F1BC"/>
    <w:rsid w:val="71754265"/>
    <w:rsid w:val="738F7511"/>
    <w:rsid w:val="73CC538C"/>
    <w:rsid w:val="746A01B9"/>
    <w:rsid w:val="75AA6263"/>
    <w:rsid w:val="75F70686"/>
    <w:rsid w:val="7621A132"/>
    <w:rsid w:val="76605EB7"/>
    <w:rsid w:val="767935B8"/>
    <w:rsid w:val="77A7C384"/>
    <w:rsid w:val="77D13A23"/>
    <w:rsid w:val="7802BD2A"/>
    <w:rsid w:val="798D18ED"/>
    <w:rsid w:val="7B11F095"/>
    <w:rsid w:val="7CA673FC"/>
    <w:rsid w:val="7CC8B254"/>
    <w:rsid w:val="7CF2F602"/>
    <w:rsid w:val="7D69FEF5"/>
    <w:rsid w:val="7DBA49C2"/>
    <w:rsid w:val="7E38A107"/>
    <w:rsid w:val="7F281349"/>
    <w:rsid w:val="7F3B3F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E00E"/>
  <w15:chartTrackingRefBased/>
  <w15:docId w15:val="{649DF267-08FF-4236-A120-059678FE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5480A-9B47-4DD3-89A6-C5A87EC3C5A1}">
  <ds:schemaRefs>
    <ds:schemaRef ds:uri="http://schemas.microsoft.com/sharepoint/v3/contenttype/forms"/>
  </ds:schemaRefs>
</ds:datastoreItem>
</file>

<file path=customXml/itemProps2.xml><?xml version="1.0" encoding="utf-8"?>
<ds:datastoreItem xmlns:ds="http://schemas.openxmlformats.org/officeDocument/2006/customXml" ds:itemID="{52A21E83-4B45-488F-8888-89922FB43962}">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21f70951-4bcd-4e7b-8240-015810ba2b35"/>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DB78A3B3-8E87-474E-B434-53AF715A5E05}"/>
</file>

<file path=docProps/app.xml><?xml version="1.0" encoding="utf-8"?>
<Properties xmlns="http://schemas.openxmlformats.org/officeDocument/2006/extended-properties" xmlns:vt="http://schemas.openxmlformats.org/officeDocument/2006/docPropsVTypes">
  <Template>Normal</Template>
  <TotalTime>1</TotalTime>
  <Pages>8</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2026-02-23T17:59:00Z</dcterms:created>
  <dcterms:modified xsi:type="dcterms:W3CDTF">2026-02-23T17:59:00Z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