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765D" w14:textId="77777777" w:rsidR="00A40223" w:rsidRPr="00A40223" w:rsidRDefault="00A40223" w:rsidP="00A40223">
      <w:pPr>
        <w:rPr>
          <w:b/>
          <w:bCs/>
          <w:u w:val="single"/>
        </w:rPr>
      </w:pPr>
    </w:p>
    <w:p w14:paraId="3593A587" w14:textId="77777777" w:rsidR="00A40223" w:rsidRPr="00A40223" w:rsidRDefault="00A40223" w:rsidP="00A40223">
      <w:r w:rsidRPr="00A40223">
        <w:t xml:space="preserve">Stemcor is writing to provide our formal response to the Statement of Intended Final Determination (SIFD) in respect of TRQ Review TQ0077, specifically relating to Category 4 and category 7 products. </w:t>
      </w:r>
    </w:p>
    <w:p w14:paraId="7C41FA6A" w14:textId="77777777" w:rsidR="00A40223" w:rsidRPr="00A40223" w:rsidRDefault="00A40223" w:rsidP="00A40223">
      <w:pPr>
        <w:rPr>
          <w:b/>
          <w:bCs/>
          <w:u w:val="single"/>
        </w:rPr>
      </w:pPr>
    </w:p>
    <w:p w14:paraId="0A30B490" w14:textId="77777777" w:rsidR="00A40223" w:rsidRPr="00A40223" w:rsidRDefault="00A40223" w:rsidP="00A40223">
      <w:pPr>
        <w:rPr>
          <w:b/>
          <w:bCs/>
          <w:u w:val="single"/>
        </w:rPr>
      </w:pPr>
      <w:r w:rsidRPr="00A40223">
        <w:rPr>
          <w:b/>
          <w:bCs/>
          <w:u w:val="single"/>
        </w:rPr>
        <w:t>Category 4</w:t>
      </w:r>
    </w:p>
    <w:p w14:paraId="098BBC20" w14:textId="77777777" w:rsidR="00A40223" w:rsidRPr="00A40223" w:rsidRDefault="00A40223" w:rsidP="00A40223"/>
    <w:p w14:paraId="50BCD9DC" w14:textId="77777777" w:rsidR="00A40223" w:rsidRPr="00A40223" w:rsidRDefault="00A40223" w:rsidP="00A40223">
      <w:r w:rsidRPr="00A40223">
        <w:t>Stemcor profoundly disagrees with the TRA’s conclusion. It reflects a fundamental misunderstanding of the distinctions between products, tariff codes and safeguard categories. Multiple metallurgically and commercially distinct products can fall within the same safeguard category despite having very different performance characteristics and end-use applications. The issue is therefore significantly more complex than the TRA has recognised.</w:t>
      </w:r>
    </w:p>
    <w:p w14:paraId="77FEBCA3" w14:textId="77777777" w:rsidR="00A40223" w:rsidRPr="00A40223" w:rsidRDefault="00A40223" w:rsidP="00A40223">
      <w:r w:rsidRPr="00A40223">
        <w:t> </w:t>
      </w:r>
    </w:p>
    <w:p w14:paraId="0297B2C1" w14:textId="77777777" w:rsidR="00A40223" w:rsidRPr="00A40223" w:rsidRDefault="00A40223" w:rsidP="00A40223">
      <w:r w:rsidRPr="00A40223">
        <w:t>We again urge the TRA, DBT and the UK Government to engage directly with downstream consumers of these materials. This concern extends across several product categories. Evidence from UK producers appears to have been given disproportionate weight relative to that of end users who actually purchase and use these products. In our view, consistent with its established approach, UK Steel has again mischaracterised market realities. It is downstream industries, who collectively employ far more people than UK steel producers, that will ultimately be adversely affected.</w:t>
      </w:r>
    </w:p>
    <w:p w14:paraId="10B13B35" w14:textId="77777777" w:rsidR="00A40223" w:rsidRPr="00A40223" w:rsidRDefault="00A40223" w:rsidP="00A40223">
      <w:r w:rsidRPr="00A40223">
        <w:t> </w:t>
      </w:r>
    </w:p>
    <w:p w14:paraId="7A39105B" w14:textId="77777777" w:rsidR="00A40223" w:rsidRPr="00A40223" w:rsidRDefault="00A40223" w:rsidP="00A40223">
      <w:r w:rsidRPr="00A40223">
        <w:t>There remains a clear absence of data-led evidence from UK producers to substantiate claims of substitutability. Since 2017, over 11 million tonnes have been imported under commodity code 72104900 (“standard” hot-dip galvanised), representing the overwhelming majority of Category 4 imports. By contrast, the code under consideration here (7210610020, Aluzinc) has accounted for approximately 124,000 tonnes in total, barely over 1% of Category 4 imports in this time frame.</w:t>
      </w:r>
    </w:p>
    <w:p w14:paraId="7A357B6D" w14:textId="77777777" w:rsidR="00A40223" w:rsidRPr="00A40223" w:rsidRDefault="00A40223" w:rsidP="00A40223">
      <w:r w:rsidRPr="00A40223">
        <w:t> </w:t>
      </w:r>
    </w:p>
    <w:p w14:paraId="70CCF4EA" w14:textId="77777777" w:rsidR="00A40223" w:rsidRPr="00A40223" w:rsidRDefault="00A40223" w:rsidP="00A40223">
      <w:r w:rsidRPr="00A40223">
        <w:t>If Aluzinc (7210610020) were genuinely substitutable with standard HDG (72104900), this would be readily visible through shifts in import volumes between these codes. To remove even a theoretical risk of circumvention while recognising the distinct nature of this product, the most proportionate solution would be to establish a dedicated safeguard quota for 7210610020 based on historic UK import volumes.</w:t>
      </w:r>
    </w:p>
    <w:p w14:paraId="01DC99A4" w14:textId="77777777" w:rsidR="00A40223" w:rsidRPr="00A40223" w:rsidRDefault="00A40223" w:rsidP="00A40223">
      <w:r w:rsidRPr="00A40223">
        <w:lastRenderedPageBreak/>
        <w:t> </w:t>
      </w:r>
    </w:p>
    <w:p w14:paraId="06FED9F6" w14:textId="77777777" w:rsidR="00A40223" w:rsidRPr="00A40223" w:rsidRDefault="00A40223" w:rsidP="00A40223"/>
    <w:p w14:paraId="79FC5A61" w14:textId="77777777" w:rsidR="00A40223" w:rsidRPr="00A40223" w:rsidRDefault="00A40223" w:rsidP="00A40223">
      <w:pPr>
        <w:rPr>
          <w:b/>
          <w:bCs/>
          <w:u w:val="single"/>
        </w:rPr>
      </w:pPr>
      <w:r w:rsidRPr="00A40223">
        <w:rPr>
          <w:b/>
          <w:bCs/>
          <w:u w:val="single"/>
        </w:rPr>
        <w:t>Category 7</w:t>
      </w:r>
    </w:p>
    <w:p w14:paraId="61242BEB" w14:textId="77777777" w:rsidR="00A40223" w:rsidRPr="00A40223" w:rsidRDefault="00A40223" w:rsidP="00A40223"/>
    <w:p w14:paraId="43B5CEA2" w14:textId="77777777" w:rsidR="00A40223" w:rsidRPr="00A40223" w:rsidRDefault="00A40223" w:rsidP="00A40223">
      <w:r w:rsidRPr="00A40223">
        <w:t>Our comments are based on the current commercial reality of UK plate production and supply, rather than theoretical, historic, or potential production capability.</w:t>
      </w:r>
    </w:p>
    <w:p w14:paraId="30C4E4C9" w14:textId="77777777" w:rsidR="00A40223" w:rsidRPr="00A40223" w:rsidRDefault="00A40223" w:rsidP="00A40223">
      <w:r w:rsidRPr="00A40223">
        <w:t> </w:t>
      </w:r>
    </w:p>
    <w:p w14:paraId="0C89B4E3" w14:textId="77777777" w:rsidR="00A40223" w:rsidRPr="00A40223" w:rsidRDefault="00A40223" w:rsidP="00A40223">
      <w:r w:rsidRPr="00A40223">
        <w:t>With regard to Spartan Steel, it is important to clarify that Spartan does not produce plate below 12mm thickness, nor over 2050mm in width. This represents a limited production range given the significant market requirement for plates of 2500mm and 3000mm width. Any suggestion that 2000mm wide plate can be welded into wider plates or otherwise combined to create substitute products is purely theoretical. In practice, welding plates together is not commercially viable due to cost, inefficiency, extended lead times, and most importantly, the degradation of mechanical and structural properties. Such material is not equivalent to a plate rolled to size and is not acceptable for many ends uses, particularly in structural and safety-critical applications. It is also not commercial , logistically or efficient to cut wide plates down to compete with Spartan’s range. </w:t>
      </w:r>
    </w:p>
    <w:p w14:paraId="19ED0EFB" w14:textId="77777777" w:rsidR="00A40223" w:rsidRPr="00A40223" w:rsidRDefault="00A40223" w:rsidP="00A40223">
      <w:r w:rsidRPr="00A40223">
        <w:t> </w:t>
      </w:r>
    </w:p>
    <w:p w14:paraId="36647499" w14:textId="77777777" w:rsidR="00A40223" w:rsidRPr="00A40223" w:rsidRDefault="00A40223" w:rsidP="00A40223">
      <w:r w:rsidRPr="00A40223">
        <w:t>Liberty Steel Dalzell has not produced plate since 2024 and prior to that production was intermittent. It therefore should not be considered a current, reliable, competitive source of domestic supply during or beyond the period of investigation. Basing conclusions on non-operational or hypothetical capacity, rather than demonstrable ongoing production, materially overstates the true capability of domestic production and risks serious harm to stockholders, fabricators and manufacturers across the supply chain. Given this uncertainty reliance on an intention of dependable future supply should not underpin trade remedy conclusions.</w:t>
      </w:r>
    </w:p>
    <w:p w14:paraId="46D9DB03" w14:textId="77777777" w:rsidR="00A40223" w:rsidRPr="00A40223" w:rsidRDefault="00A40223" w:rsidP="00A40223">
      <w:r w:rsidRPr="00A40223">
        <w:t> </w:t>
      </w:r>
    </w:p>
    <w:p w14:paraId="2EB3DC3B" w14:textId="77777777" w:rsidR="00A40223" w:rsidRPr="00A40223" w:rsidRDefault="00A40223" w:rsidP="00A40223">
      <w:r w:rsidRPr="00A40223">
        <w:t xml:space="preserve">Tata Steel UK produces sheet, not plate. Sheet and plate are fundamentally different products, with distinct chemical compositions, mechanical properties and structural performance characteristics. They are designed for different applications and end uses and are not directly comparable or substitutable. Treating sheet as a like or directly competitive product to quarto plate is technically incorrect and does not reflect how these materials are specified or used in practice. We advise that the TRA seeks independent, expert metallurgical advice on this matter, seeing as our comments seem to be falling on deaf ears.  </w:t>
      </w:r>
    </w:p>
    <w:p w14:paraId="45148A9E" w14:textId="77777777" w:rsidR="00A40223" w:rsidRPr="00A40223" w:rsidRDefault="00A40223" w:rsidP="00A40223">
      <w:r w:rsidRPr="00A40223">
        <w:lastRenderedPageBreak/>
        <w:t> </w:t>
      </w:r>
    </w:p>
    <w:p w14:paraId="4016984E" w14:textId="77777777" w:rsidR="00A40223" w:rsidRPr="00A40223" w:rsidRDefault="00A40223" w:rsidP="00A40223">
      <w:r w:rsidRPr="00A40223">
        <w:t>Maintaining safeguards on plate sizes and specifications that are not produced domestically risks leaving the UK market without sufficient or reliable supply. This will increase costs throughout the supply chain, extend lead times, and undermine the competitiveness of UK downstream industries that rely on these products. Safeguard measures should be based on actual, current production, not theoretical capability, historic operation, or uncertain future intent.</w:t>
      </w:r>
    </w:p>
    <w:p w14:paraId="3DDDB80F" w14:textId="77777777" w:rsidR="00A40223" w:rsidRPr="00A40223" w:rsidRDefault="00A40223" w:rsidP="00A40223">
      <w:r w:rsidRPr="00A40223">
        <w:t> </w:t>
      </w:r>
    </w:p>
    <w:p w14:paraId="7DEAFB7A" w14:textId="77777777" w:rsidR="00A40223" w:rsidRPr="00A40223" w:rsidRDefault="00A40223" w:rsidP="00A40223">
      <w:r w:rsidRPr="00A40223">
        <w:t>We respectfully urge the TRA to reconsider its conclusions in light of the above and to ensure that the final determination reflects the practical realities of UK production, availability, and market requirements.</w:t>
      </w:r>
    </w:p>
    <w:p w14:paraId="3ABE63F8" w14:textId="77777777" w:rsidR="00A40223" w:rsidRPr="00A40223" w:rsidRDefault="00A40223" w:rsidP="00A40223">
      <w:r w:rsidRPr="00A40223">
        <w:t> </w:t>
      </w:r>
    </w:p>
    <w:p w14:paraId="0D129BBA" w14:textId="7BE44D76" w:rsidR="00A40223" w:rsidRPr="00A40223" w:rsidRDefault="00A40223" w:rsidP="00A40223">
      <w:bookmarkStart w:id="0" w:name="_MailAutoSig"/>
      <w:r>
        <w:t>Best regards,</w:t>
      </w:r>
    </w:p>
    <w:p w14:paraId="1DECD8FB" w14:textId="77777777" w:rsidR="00A40223" w:rsidRPr="00A40223" w:rsidRDefault="00A40223" w:rsidP="00A40223">
      <w:r w:rsidRPr="00A40223">
        <w:t> </w:t>
      </w:r>
      <w:bookmarkEnd w:id="0"/>
    </w:p>
    <w:p w14:paraId="7371A855" w14:textId="77777777" w:rsidR="00D51FCA" w:rsidRDefault="00D51FCA"/>
    <w:sectPr w:rsidR="00D51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23"/>
    <w:rsid w:val="000A2213"/>
    <w:rsid w:val="00A40223"/>
    <w:rsid w:val="00AA3F08"/>
    <w:rsid w:val="00BB718B"/>
    <w:rsid w:val="00D51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9449"/>
  <w15:chartTrackingRefBased/>
  <w15:docId w15:val="{B471A172-42C5-4001-AEEA-3797216D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223"/>
    <w:rPr>
      <w:rFonts w:eastAsiaTheme="majorEastAsia" w:cstheme="majorBidi"/>
      <w:color w:val="272727" w:themeColor="text1" w:themeTint="D8"/>
    </w:rPr>
  </w:style>
  <w:style w:type="paragraph" w:styleId="Title">
    <w:name w:val="Title"/>
    <w:basedOn w:val="Normal"/>
    <w:next w:val="Normal"/>
    <w:link w:val="TitleChar"/>
    <w:uiPriority w:val="10"/>
    <w:qFormat/>
    <w:rsid w:val="00A4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223"/>
    <w:pPr>
      <w:spacing w:before="160"/>
      <w:jc w:val="center"/>
    </w:pPr>
    <w:rPr>
      <w:i/>
      <w:iCs/>
      <w:color w:val="404040" w:themeColor="text1" w:themeTint="BF"/>
    </w:rPr>
  </w:style>
  <w:style w:type="character" w:customStyle="1" w:styleId="QuoteChar">
    <w:name w:val="Quote Char"/>
    <w:basedOn w:val="DefaultParagraphFont"/>
    <w:link w:val="Quote"/>
    <w:uiPriority w:val="29"/>
    <w:rsid w:val="00A40223"/>
    <w:rPr>
      <w:i/>
      <w:iCs/>
      <w:color w:val="404040" w:themeColor="text1" w:themeTint="BF"/>
    </w:rPr>
  </w:style>
  <w:style w:type="paragraph" w:styleId="ListParagraph">
    <w:name w:val="List Paragraph"/>
    <w:basedOn w:val="Normal"/>
    <w:uiPriority w:val="34"/>
    <w:qFormat/>
    <w:rsid w:val="00A40223"/>
    <w:pPr>
      <w:ind w:left="720"/>
      <w:contextualSpacing/>
    </w:pPr>
  </w:style>
  <w:style w:type="character" w:styleId="IntenseEmphasis">
    <w:name w:val="Intense Emphasis"/>
    <w:basedOn w:val="DefaultParagraphFont"/>
    <w:uiPriority w:val="21"/>
    <w:qFormat/>
    <w:rsid w:val="00A40223"/>
    <w:rPr>
      <w:i/>
      <w:iCs/>
      <w:color w:val="0F4761" w:themeColor="accent1" w:themeShade="BF"/>
    </w:rPr>
  </w:style>
  <w:style w:type="paragraph" w:styleId="IntenseQuote">
    <w:name w:val="Intense Quote"/>
    <w:basedOn w:val="Normal"/>
    <w:next w:val="Normal"/>
    <w:link w:val="IntenseQuoteChar"/>
    <w:uiPriority w:val="30"/>
    <w:qFormat/>
    <w:rsid w:val="00A4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223"/>
    <w:rPr>
      <w:i/>
      <w:iCs/>
      <w:color w:val="0F4761" w:themeColor="accent1" w:themeShade="BF"/>
    </w:rPr>
  </w:style>
  <w:style w:type="character" w:styleId="IntenseReference">
    <w:name w:val="Intense Reference"/>
    <w:basedOn w:val="DefaultParagraphFont"/>
    <w:uiPriority w:val="32"/>
    <w:qFormat/>
    <w:rsid w:val="00A40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D6904AF-47FE-4D68-910A-4EDBA96FD700}"/>
</file>

<file path=customXml/itemProps2.xml><?xml version="1.0" encoding="utf-8"?>
<ds:datastoreItem xmlns:ds="http://schemas.openxmlformats.org/officeDocument/2006/customXml" ds:itemID="{DE4C659B-D864-4DC0-928D-7364B263D939}"/>
</file>

<file path=customXml/itemProps3.xml><?xml version="1.0" encoding="utf-8"?>
<ds:datastoreItem xmlns:ds="http://schemas.openxmlformats.org/officeDocument/2006/customXml" ds:itemID="{3152EFCA-BBC0-4E12-877B-8B8626BE588B}"/>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2026-02-23T14:03:00Z</dcterms:created>
  <dcterms:modified xsi:type="dcterms:W3CDTF">2026-02-23T14:03:00Z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