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2778" w14:textId="2D29F368" w:rsidR="006F518E" w:rsidRPr="00AE2D37" w:rsidRDefault="00083773" w:rsidP="006F518E">
      <w:pPr>
        <w:pStyle w:val="Antrats"/>
        <w:jc w:val="right"/>
        <w:rPr>
          <w:rFonts w:cs="Arial"/>
          <w:color w:val="FF0000"/>
          <w:szCs w:val="22"/>
        </w:rPr>
      </w:pPr>
      <w:r>
        <w:rPr>
          <w:rFonts w:cs="Arial"/>
          <w:color w:val="FF0000"/>
          <w:szCs w:val="22"/>
        </w:rPr>
        <w:t>NON-</w:t>
      </w:r>
      <w:r w:rsidR="006F518E" w:rsidRPr="00AE2D37">
        <w:rPr>
          <w:rFonts w:cs="Arial"/>
          <w:color w:val="FF0000"/>
          <w:szCs w:val="22"/>
        </w:rPr>
        <w:t>CONFIDENTIAL</w:t>
      </w:r>
    </w:p>
    <w:p w14:paraId="5DB1AC87" w14:textId="77777777" w:rsidR="006F518E" w:rsidRPr="00AE2D37" w:rsidRDefault="006F518E" w:rsidP="006F518E">
      <w:pPr>
        <w:pStyle w:val="Antrats"/>
        <w:jc w:val="right"/>
        <w:rPr>
          <w:rFonts w:cs="Arial"/>
          <w:color w:val="FF0000"/>
          <w:szCs w:val="22"/>
        </w:rPr>
      </w:pPr>
    </w:p>
    <w:p w14:paraId="10FC450E" w14:textId="77777777" w:rsidR="00F72C68" w:rsidRPr="00AE2D37" w:rsidRDefault="00F72C68" w:rsidP="003F6453">
      <w:pPr>
        <w:spacing w:before="120" w:after="120" w:line="240" w:lineRule="auto"/>
        <w:rPr>
          <w:rFonts w:ascii="Arial" w:hAnsi="Arial" w:cs="Arial"/>
          <w:lang w:val="en-US"/>
        </w:rPr>
      </w:pPr>
    </w:p>
    <w:p w14:paraId="35430727" w14:textId="45C2FCC7" w:rsidR="00F72C68" w:rsidRPr="00AE2D37" w:rsidRDefault="00F72C68" w:rsidP="00671009">
      <w:pPr>
        <w:spacing w:before="120" w:after="120" w:line="240" w:lineRule="auto"/>
        <w:jc w:val="center"/>
        <w:rPr>
          <w:rFonts w:ascii="Arial" w:hAnsi="Arial" w:cs="Arial"/>
          <w:b/>
          <w:bCs/>
          <w:lang w:val="en-US"/>
        </w:rPr>
      </w:pPr>
      <w:r w:rsidRPr="00AE2D37">
        <w:rPr>
          <w:rFonts w:ascii="Arial" w:hAnsi="Arial" w:cs="Arial"/>
          <w:b/>
          <w:bCs/>
          <w:lang w:val="en-US"/>
        </w:rPr>
        <w:t>INVESTIGATION No. AD0059</w:t>
      </w:r>
    </w:p>
    <w:p w14:paraId="67763942" w14:textId="1F82B68B" w:rsidR="00F72C68" w:rsidRDefault="00F72C68" w:rsidP="00671009">
      <w:pPr>
        <w:spacing w:before="120" w:after="120" w:line="240" w:lineRule="auto"/>
        <w:jc w:val="center"/>
        <w:rPr>
          <w:rFonts w:ascii="Arial" w:hAnsi="Arial" w:cs="Arial"/>
          <w:b/>
          <w:bCs/>
          <w:lang w:val="en-US"/>
        </w:rPr>
      </w:pPr>
      <w:r w:rsidRPr="00AE2D37">
        <w:rPr>
          <w:rFonts w:ascii="Arial" w:hAnsi="Arial" w:cs="Arial"/>
          <w:b/>
          <w:bCs/>
          <w:lang w:val="en-US"/>
        </w:rPr>
        <w:t>Dumping investigation into certain engine oils and hydraulic fluids imported into the United Kingdom from Lithuania and the United Arab Emirates</w:t>
      </w:r>
    </w:p>
    <w:p w14:paraId="54E11153" w14:textId="77777777" w:rsidR="00A63FEA" w:rsidRDefault="00A63FEA" w:rsidP="00671009">
      <w:pPr>
        <w:spacing w:before="120" w:after="120" w:line="240" w:lineRule="auto"/>
        <w:jc w:val="center"/>
        <w:rPr>
          <w:rFonts w:ascii="Arial" w:hAnsi="Arial" w:cs="Arial"/>
          <w:b/>
          <w:bCs/>
          <w:lang w:val="en-US"/>
        </w:rPr>
      </w:pPr>
    </w:p>
    <w:p w14:paraId="41365F24" w14:textId="77777777" w:rsidR="00224974" w:rsidRDefault="00A63FEA" w:rsidP="00671009">
      <w:pPr>
        <w:spacing w:before="120" w:after="120" w:line="240" w:lineRule="auto"/>
        <w:jc w:val="center"/>
        <w:rPr>
          <w:rFonts w:ascii="Arial" w:hAnsi="Arial" w:cs="Arial"/>
          <w:b/>
          <w:bCs/>
          <w:lang w:val="en-US"/>
        </w:rPr>
      </w:pPr>
      <w:r>
        <w:rPr>
          <w:rFonts w:ascii="Arial" w:hAnsi="Arial" w:cs="Arial"/>
          <w:b/>
          <w:bCs/>
          <w:lang w:val="en-US"/>
        </w:rPr>
        <w:t xml:space="preserve">Submission in </w:t>
      </w:r>
      <w:r w:rsidR="00224974">
        <w:rPr>
          <w:rFonts w:ascii="Arial" w:hAnsi="Arial" w:cs="Arial"/>
          <w:b/>
          <w:bCs/>
          <w:lang w:val="en-US"/>
        </w:rPr>
        <w:t>R</w:t>
      </w:r>
      <w:r>
        <w:rPr>
          <w:rFonts w:ascii="Arial" w:hAnsi="Arial" w:cs="Arial"/>
          <w:b/>
          <w:bCs/>
          <w:lang w:val="en-US"/>
        </w:rPr>
        <w:t xml:space="preserve">esponse </w:t>
      </w:r>
    </w:p>
    <w:p w14:paraId="3122A3F5" w14:textId="2D4EC05C" w:rsidR="00A63FEA" w:rsidRDefault="00A63FEA" w:rsidP="00671009">
      <w:pPr>
        <w:spacing w:before="120" w:after="120" w:line="240" w:lineRule="auto"/>
        <w:jc w:val="center"/>
        <w:rPr>
          <w:rFonts w:ascii="Arial" w:hAnsi="Arial" w:cs="Arial"/>
          <w:b/>
          <w:bCs/>
          <w:lang w:val="en-US"/>
        </w:rPr>
      </w:pPr>
      <w:r>
        <w:rPr>
          <w:rFonts w:ascii="Arial" w:hAnsi="Arial" w:cs="Arial"/>
          <w:b/>
          <w:bCs/>
          <w:lang w:val="en-US"/>
        </w:rPr>
        <w:t xml:space="preserve">to </w:t>
      </w:r>
    </w:p>
    <w:p w14:paraId="611FABCA" w14:textId="7FD9E97E" w:rsidR="00224974" w:rsidRPr="00AE2D37" w:rsidRDefault="00B069AB" w:rsidP="00671009">
      <w:pPr>
        <w:spacing w:before="120" w:after="120" w:line="240" w:lineRule="auto"/>
        <w:jc w:val="center"/>
        <w:rPr>
          <w:rFonts w:ascii="Arial" w:hAnsi="Arial" w:cs="Arial"/>
          <w:b/>
          <w:bCs/>
          <w:lang w:val="en-US"/>
        </w:rPr>
      </w:pPr>
      <w:r>
        <w:rPr>
          <w:rFonts w:ascii="Arial" w:hAnsi="Arial" w:cs="Arial"/>
          <w:b/>
          <w:bCs/>
          <w:lang w:val="en-US"/>
        </w:rPr>
        <w:t>Provisional Affirmative Determination</w:t>
      </w:r>
    </w:p>
    <w:p w14:paraId="4950E6C1" w14:textId="77777777" w:rsidR="00671009" w:rsidRPr="00AE2D37" w:rsidRDefault="00671009" w:rsidP="00671009">
      <w:pPr>
        <w:spacing w:before="120" w:after="120" w:line="240" w:lineRule="auto"/>
        <w:jc w:val="center"/>
        <w:rPr>
          <w:rFonts w:ascii="Arial" w:hAnsi="Arial" w:cs="Arial"/>
          <w:b/>
          <w:bCs/>
          <w:lang w:val="en-US"/>
        </w:rPr>
      </w:pPr>
    </w:p>
    <w:p w14:paraId="4927CF24" w14:textId="77777777" w:rsidR="00B069AB" w:rsidRDefault="00B069AB" w:rsidP="008C1E2F">
      <w:pPr>
        <w:rPr>
          <w:rFonts w:ascii="Arial" w:hAnsi="Arial" w:cs="Arial"/>
        </w:rPr>
      </w:pPr>
    </w:p>
    <w:p w14:paraId="60E78876" w14:textId="65DF78BD" w:rsidR="008C1E2F" w:rsidRPr="00B069AB" w:rsidRDefault="008C1E2F" w:rsidP="008C1E2F">
      <w:pPr>
        <w:rPr>
          <w:rFonts w:ascii="Arial" w:hAnsi="Arial" w:cs="Arial"/>
          <w:b/>
          <w:bCs/>
        </w:rPr>
      </w:pPr>
      <w:proofErr w:type="spellStart"/>
      <w:r w:rsidRPr="00B069AB">
        <w:rPr>
          <w:rFonts w:ascii="Arial" w:hAnsi="Arial" w:cs="Arial"/>
          <w:b/>
          <w:bCs/>
        </w:rPr>
        <w:t>From</w:t>
      </w:r>
      <w:proofErr w:type="spellEnd"/>
      <w:r w:rsidRPr="00B069AB">
        <w:rPr>
          <w:rFonts w:ascii="Arial" w:hAnsi="Arial" w:cs="Arial"/>
          <w:b/>
          <w:bCs/>
        </w:rPr>
        <w:t xml:space="preserve"> UAB SCT </w:t>
      </w:r>
      <w:proofErr w:type="spellStart"/>
      <w:r w:rsidRPr="00B069AB">
        <w:rPr>
          <w:rFonts w:ascii="Arial" w:hAnsi="Arial" w:cs="Arial"/>
          <w:b/>
          <w:bCs/>
        </w:rPr>
        <w:t>Lubricant</w:t>
      </w:r>
      <w:r w:rsidR="0053754E" w:rsidRPr="00B069AB">
        <w:rPr>
          <w:rFonts w:ascii="Arial" w:hAnsi="Arial" w:cs="Arial"/>
          <w:b/>
          <w:bCs/>
        </w:rPr>
        <w:t>s</w:t>
      </w:r>
      <w:proofErr w:type="spellEnd"/>
      <w:r w:rsidR="0053754E" w:rsidRPr="00B069AB">
        <w:rPr>
          <w:rFonts w:ascii="Arial" w:hAnsi="Arial" w:cs="Arial"/>
          <w:b/>
          <w:bCs/>
        </w:rPr>
        <w:t xml:space="preserve"> (Lithuania)</w:t>
      </w:r>
    </w:p>
    <w:p w14:paraId="2D6B1054" w14:textId="59290764" w:rsidR="008C1E2F" w:rsidRPr="00AE2D37" w:rsidRDefault="008C1E2F" w:rsidP="008C1E2F">
      <w:pPr>
        <w:rPr>
          <w:rFonts w:ascii="Arial" w:hAnsi="Arial" w:cs="Arial"/>
        </w:rPr>
      </w:pPr>
      <w:proofErr w:type="spellStart"/>
      <w:r w:rsidRPr="00AE2D37">
        <w:rPr>
          <w:rFonts w:ascii="Arial" w:hAnsi="Arial" w:cs="Arial"/>
        </w:rPr>
        <w:t>Dated</w:t>
      </w:r>
      <w:proofErr w:type="spellEnd"/>
      <w:r w:rsidRPr="00AE2D37">
        <w:rPr>
          <w:rFonts w:ascii="Arial" w:hAnsi="Arial" w:cs="Arial"/>
        </w:rPr>
        <w:t xml:space="preserve"> </w:t>
      </w:r>
      <w:r w:rsidR="005C26D2" w:rsidRPr="00BD257A">
        <w:rPr>
          <w:rFonts w:ascii="Arial" w:hAnsi="Arial" w:cs="Arial"/>
        </w:rPr>
        <w:t>14</w:t>
      </w:r>
      <w:r w:rsidRPr="00AE2D37">
        <w:rPr>
          <w:rFonts w:ascii="Arial" w:hAnsi="Arial" w:cs="Arial"/>
        </w:rPr>
        <w:t xml:space="preserve"> </w:t>
      </w:r>
      <w:proofErr w:type="spellStart"/>
      <w:r w:rsidR="00697087" w:rsidRPr="00AE2D37">
        <w:rPr>
          <w:rFonts w:ascii="Arial" w:hAnsi="Arial" w:cs="Arial"/>
        </w:rPr>
        <w:t>of</w:t>
      </w:r>
      <w:proofErr w:type="spellEnd"/>
      <w:r w:rsidR="00697087" w:rsidRPr="00AE2D37">
        <w:rPr>
          <w:rFonts w:ascii="Arial" w:hAnsi="Arial" w:cs="Arial"/>
        </w:rPr>
        <w:t xml:space="preserve"> </w:t>
      </w:r>
      <w:proofErr w:type="spellStart"/>
      <w:r w:rsidR="00697087" w:rsidRPr="00AE2D37">
        <w:rPr>
          <w:rFonts w:ascii="Arial" w:hAnsi="Arial" w:cs="Arial"/>
        </w:rPr>
        <w:t>May</w:t>
      </w:r>
      <w:proofErr w:type="spellEnd"/>
      <w:r w:rsidRPr="00AE2D37">
        <w:rPr>
          <w:rFonts w:ascii="Arial" w:hAnsi="Arial" w:cs="Arial"/>
        </w:rPr>
        <w:t xml:space="preserve"> 202</w:t>
      </w:r>
      <w:r w:rsidR="00697087" w:rsidRPr="00AE2D37">
        <w:rPr>
          <w:rFonts w:ascii="Arial" w:hAnsi="Arial" w:cs="Arial"/>
        </w:rPr>
        <w:t>5</w:t>
      </w:r>
    </w:p>
    <w:p w14:paraId="0FA6D80F" w14:textId="77777777" w:rsidR="00671009" w:rsidRPr="00AE2D37" w:rsidRDefault="00671009" w:rsidP="008C1E2F">
      <w:pPr>
        <w:spacing w:before="120" w:after="120" w:line="240" w:lineRule="auto"/>
        <w:rPr>
          <w:rFonts w:ascii="Arial" w:hAnsi="Arial" w:cs="Arial"/>
          <w:b/>
          <w:bCs/>
          <w:lang w:val="en-US"/>
        </w:rPr>
      </w:pPr>
    </w:p>
    <w:p w14:paraId="42F73E70" w14:textId="77777777" w:rsidR="00AE2D37" w:rsidRDefault="00AE2D37" w:rsidP="003F6453">
      <w:pPr>
        <w:spacing w:before="120" w:after="120" w:line="240" w:lineRule="auto"/>
        <w:jc w:val="both"/>
        <w:rPr>
          <w:rFonts w:ascii="Arial" w:hAnsi="Arial" w:cs="Arial"/>
          <w:lang w:val="en-US"/>
        </w:rPr>
      </w:pPr>
    </w:p>
    <w:p w14:paraId="3D7F8DDD" w14:textId="3E61A4AC" w:rsidR="00F72C68" w:rsidRPr="00AE2D37" w:rsidRDefault="00F72C68" w:rsidP="00042FC6">
      <w:pPr>
        <w:spacing w:before="120" w:after="120" w:line="240" w:lineRule="auto"/>
        <w:jc w:val="both"/>
        <w:rPr>
          <w:rFonts w:ascii="Arial" w:hAnsi="Arial" w:cs="Arial"/>
          <w:lang w:val="en-US"/>
        </w:rPr>
      </w:pPr>
      <w:r w:rsidRPr="00AE2D37">
        <w:rPr>
          <w:rFonts w:ascii="Arial" w:hAnsi="Arial" w:cs="Arial"/>
          <w:lang w:val="en-US"/>
        </w:rPr>
        <w:t>TRA case team have published a Preliminary Affirmative Determination (PAD).</w:t>
      </w:r>
    </w:p>
    <w:p w14:paraId="61723EE9" w14:textId="375FF29F" w:rsidR="00F72C68" w:rsidRPr="00AE2D37" w:rsidRDefault="00F72C68" w:rsidP="00042FC6">
      <w:pPr>
        <w:spacing w:before="120" w:after="120" w:line="240" w:lineRule="auto"/>
        <w:jc w:val="both"/>
        <w:rPr>
          <w:rFonts w:ascii="Arial" w:hAnsi="Arial" w:cs="Arial"/>
          <w:lang w:val="en-US"/>
        </w:rPr>
      </w:pPr>
      <w:r w:rsidRPr="00AE2D37">
        <w:rPr>
          <w:rFonts w:ascii="Arial" w:hAnsi="Arial" w:cs="Arial"/>
          <w:lang w:val="en-US"/>
        </w:rPr>
        <w:t>UAB SCT Lubricants (</w:t>
      </w:r>
      <w:r w:rsidR="00AF62E8">
        <w:rPr>
          <w:rFonts w:ascii="Arial" w:hAnsi="Arial" w:cs="Arial"/>
          <w:lang w:val="en-US"/>
        </w:rPr>
        <w:t xml:space="preserve">hereinafter - </w:t>
      </w:r>
      <w:r w:rsidRPr="00AE2D37">
        <w:rPr>
          <w:rFonts w:ascii="Arial" w:hAnsi="Arial" w:cs="Arial"/>
          <w:lang w:val="en-US"/>
        </w:rPr>
        <w:t xml:space="preserve">the </w:t>
      </w:r>
      <w:r w:rsidRPr="00AF62E8">
        <w:rPr>
          <w:rFonts w:ascii="Arial" w:hAnsi="Arial" w:cs="Arial"/>
          <w:b/>
          <w:bCs/>
          <w:lang w:val="en-US"/>
        </w:rPr>
        <w:t>Company</w:t>
      </w:r>
      <w:r w:rsidRPr="00AE2D37">
        <w:rPr>
          <w:rFonts w:ascii="Arial" w:hAnsi="Arial" w:cs="Arial"/>
          <w:lang w:val="en-US"/>
        </w:rPr>
        <w:t>) has taken the PAD into consideration, disagrees with PAD and the conclusions made therein, so therefore is submitting a response to the PAD in due course.</w:t>
      </w:r>
    </w:p>
    <w:p w14:paraId="76E4527F" w14:textId="3C991E44" w:rsidR="00F72C68" w:rsidRPr="00AE2D37" w:rsidRDefault="00F72C68" w:rsidP="00042FC6">
      <w:pPr>
        <w:spacing w:before="120" w:after="120" w:line="240" w:lineRule="auto"/>
        <w:jc w:val="both"/>
        <w:rPr>
          <w:rFonts w:ascii="Arial" w:hAnsi="Arial" w:cs="Arial"/>
          <w:lang w:val="en-US"/>
        </w:rPr>
      </w:pPr>
      <w:r w:rsidRPr="00AE2D37">
        <w:rPr>
          <w:rFonts w:ascii="Arial" w:hAnsi="Arial" w:cs="Arial"/>
          <w:lang w:val="en-US"/>
        </w:rPr>
        <w:t>The Company maintains its position that certain engine oils and hydraulic fluids imported into the United Kingdom from Lithuania have not been and are not being dumped in the UK. Accordingly, as because there wasn't and isn't dumping of t</w:t>
      </w:r>
      <w:r w:rsidR="008F7FF0">
        <w:rPr>
          <w:rFonts w:ascii="Arial" w:hAnsi="Arial" w:cs="Arial"/>
          <w:lang w:val="en-US"/>
        </w:rPr>
        <w:t>he</w:t>
      </w:r>
      <w:r w:rsidRPr="00AE2D37">
        <w:rPr>
          <w:rFonts w:ascii="Arial" w:hAnsi="Arial" w:cs="Arial"/>
          <w:lang w:val="en-US"/>
        </w:rPr>
        <w:t xml:space="preserve"> goods concerned, no any injury to a UK industry in those goods was made.</w:t>
      </w:r>
    </w:p>
    <w:p w14:paraId="303DDAE2" w14:textId="33D96F30" w:rsidR="00F72C68" w:rsidRPr="00BD6512" w:rsidRDefault="00F72C68" w:rsidP="00042FC6">
      <w:pPr>
        <w:pStyle w:val="Sraopastraipa"/>
        <w:numPr>
          <w:ilvl w:val="0"/>
          <w:numId w:val="5"/>
        </w:numPr>
        <w:spacing w:before="120" w:after="120" w:line="240" w:lineRule="auto"/>
        <w:contextualSpacing w:val="0"/>
        <w:jc w:val="both"/>
        <w:rPr>
          <w:rFonts w:ascii="Arial" w:hAnsi="Arial" w:cs="Arial"/>
          <w:b/>
          <w:bCs/>
          <w:lang w:val="en-US"/>
        </w:rPr>
      </w:pPr>
      <w:r w:rsidRPr="00BD6512">
        <w:rPr>
          <w:rFonts w:ascii="Arial" w:hAnsi="Arial" w:cs="Arial"/>
          <w:b/>
          <w:bCs/>
          <w:lang w:val="en-US"/>
        </w:rPr>
        <w:t xml:space="preserve">TRA made an incorrect determination stating that during POI import share by volume for Lithuania was 3,11 % [86]. </w:t>
      </w:r>
    </w:p>
    <w:p w14:paraId="5002D69C" w14:textId="57A85DE2" w:rsidR="00F72C68" w:rsidRPr="002B5436"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TRA stated, that</w:t>
      </w:r>
      <w:proofErr w:type="gramStart"/>
      <w:r w:rsidRPr="002B5436">
        <w:rPr>
          <w:rFonts w:ascii="Arial" w:hAnsi="Arial" w:cs="Arial"/>
          <w:lang w:val="en-US"/>
        </w:rPr>
        <w:t>:</w:t>
      </w:r>
      <w:r w:rsidR="001042EF">
        <w:rPr>
          <w:rFonts w:ascii="Arial" w:hAnsi="Arial" w:cs="Arial"/>
          <w:lang w:val="en-US"/>
        </w:rPr>
        <w:t xml:space="preserve"> </w:t>
      </w:r>
      <w:r w:rsidRPr="002B5436">
        <w:rPr>
          <w:rFonts w:ascii="Arial" w:hAnsi="Arial" w:cs="Arial"/>
          <w:lang w:val="en-US"/>
        </w:rPr>
        <w:t>,,For</w:t>
      </w:r>
      <w:proofErr w:type="gramEnd"/>
      <w:r w:rsidRPr="002B5436">
        <w:rPr>
          <w:rFonts w:ascii="Arial" w:hAnsi="Arial" w:cs="Arial"/>
          <w:lang w:val="en-US"/>
        </w:rPr>
        <w:t xml:space="preserve"> the import volumes from a foreign country or territory to be more than negligible, the dumped goods or </w:t>
      </w:r>
      <w:proofErr w:type="spellStart"/>
      <w:r w:rsidRPr="002B5436">
        <w:rPr>
          <w:rFonts w:ascii="Arial" w:hAnsi="Arial" w:cs="Arial"/>
          <w:lang w:val="en-US"/>
        </w:rPr>
        <w:t>subsidised</w:t>
      </w:r>
      <w:proofErr w:type="spellEnd"/>
      <w:r w:rsidRPr="002B5436">
        <w:rPr>
          <w:rFonts w:ascii="Arial" w:hAnsi="Arial" w:cs="Arial"/>
          <w:lang w:val="en-US"/>
        </w:rPr>
        <w:t xml:space="preserve"> imports must account for at least 3% by volume of all goods concerned and like goods imported into the </w:t>
      </w:r>
      <w:proofErr w:type="gramStart"/>
      <w:r w:rsidRPr="002B5436">
        <w:rPr>
          <w:rFonts w:ascii="Arial" w:hAnsi="Arial" w:cs="Arial"/>
          <w:lang w:val="en-US"/>
        </w:rPr>
        <w:t>UK“ [</w:t>
      </w:r>
      <w:proofErr w:type="gramEnd"/>
      <w:r w:rsidRPr="002B5436">
        <w:rPr>
          <w:rFonts w:ascii="Arial" w:hAnsi="Arial" w:cs="Arial"/>
          <w:lang w:val="en-US"/>
        </w:rPr>
        <w:t>124].</w:t>
      </w:r>
    </w:p>
    <w:p w14:paraId="17EFF597" w14:textId="77777777" w:rsidR="00F72C68" w:rsidRPr="00AE2D37" w:rsidRDefault="00F72C68" w:rsidP="00042FC6">
      <w:pPr>
        <w:spacing w:before="120" w:after="120" w:line="240" w:lineRule="auto"/>
        <w:jc w:val="both"/>
        <w:rPr>
          <w:rFonts w:ascii="Arial" w:hAnsi="Arial" w:cs="Arial"/>
          <w:lang w:val="en-US"/>
        </w:rPr>
      </w:pPr>
      <w:r w:rsidRPr="00AE2D37">
        <w:rPr>
          <w:rFonts w:ascii="Arial" w:hAnsi="Arial" w:cs="Arial"/>
          <w:noProof/>
          <w:lang w:val="en-US"/>
        </w:rPr>
        <w:drawing>
          <wp:inline distT="0" distB="0" distL="0" distR="0" wp14:anchorId="110C043D" wp14:editId="150B59E0">
            <wp:extent cx="5643880" cy="2090543"/>
            <wp:effectExtent l="0" t="0" r="0" b="5080"/>
            <wp:docPr id="5133091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5884" cy="2094989"/>
                    </a:xfrm>
                    <a:prstGeom prst="rect">
                      <a:avLst/>
                    </a:prstGeom>
                    <a:noFill/>
                    <a:ln>
                      <a:noFill/>
                    </a:ln>
                  </pic:spPr>
                </pic:pic>
              </a:graphicData>
            </a:graphic>
          </wp:inline>
        </w:drawing>
      </w:r>
    </w:p>
    <w:p w14:paraId="6BAD704E" w14:textId="35A5812E" w:rsidR="00F72C68" w:rsidRPr="002B5436" w:rsidRDefault="00F72C68" w:rsidP="00042FC6">
      <w:pPr>
        <w:pStyle w:val="Sraopastraipa"/>
        <w:numPr>
          <w:ilvl w:val="0"/>
          <w:numId w:val="6"/>
        </w:numPr>
        <w:spacing w:before="120" w:after="120" w:line="240" w:lineRule="auto"/>
        <w:ind w:left="426"/>
        <w:contextualSpacing w:val="0"/>
        <w:jc w:val="both"/>
        <w:rPr>
          <w:rFonts w:ascii="Arial" w:hAnsi="Arial" w:cs="Arial"/>
          <w:b/>
          <w:bCs/>
          <w:lang w:val="en-US"/>
        </w:rPr>
      </w:pPr>
      <w:r w:rsidRPr="002B5436">
        <w:rPr>
          <w:rFonts w:ascii="Arial" w:hAnsi="Arial" w:cs="Arial"/>
          <w:lang w:val="en-US"/>
        </w:rPr>
        <w:lastRenderedPageBreak/>
        <w:t xml:space="preserve">However, according the factual import volume from Lithuania, </w:t>
      </w:r>
      <w:r w:rsidRPr="002B5436">
        <w:rPr>
          <w:rFonts w:ascii="Arial" w:hAnsi="Arial" w:cs="Arial"/>
          <w:b/>
          <w:bCs/>
          <w:lang w:val="en-US"/>
        </w:rPr>
        <w:t xml:space="preserve">import share by volume for Lithuania was just </w:t>
      </w:r>
      <w:r w:rsidRPr="002B5436">
        <w:rPr>
          <w:rFonts w:ascii="Arial" w:hAnsi="Arial" w:cs="Arial"/>
          <w:b/>
          <w:bCs/>
          <w:color w:val="C00000"/>
          <w:lang w:val="en-US"/>
        </w:rPr>
        <w:t>2,88 %</w:t>
      </w:r>
      <w:r w:rsidRPr="002B5436">
        <w:rPr>
          <w:rFonts w:ascii="Arial" w:hAnsi="Arial" w:cs="Arial"/>
          <w:b/>
          <w:bCs/>
          <w:lang w:val="en-US"/>
        </w:rPr>
        <w:t>:</w:t>
      </w:r>
    </w:p>
    <w:tbl>
      <w:tblPr>
        <w:tblW w:w="8742" w:type="dxa"/>
        <w:tblLook w:val="04A0" w:firstRow="1" w:lastRow="0" w:firstColumn="1" w:lastColumn="0" w:noHBand="0" w:noVBand="1"/>
      </w:tblPr>
      <w:tblGrid>
        <w:gridCol w:w="1819"/>
        <w:gridCol w:w="1916"/>
        <w:gridCol w:w="2349"/>
        <w:gridCol w:w="2658"/>
      </w:tblGrid>
      <w:tr w:rsidR="00F72C68" w:rsidRPr="00AE2D37" w14:paraId="30F18150" w14:textId="77777777" w:rsidTr="00820179">
        <w:trPr>
          <w:trHeight w:val="1651"/>
        </w:trPr>
        <w:tc>
          <w:tcPr>
            <w:tcW w:w="1819" w:type="dxa"/>
            <w:tcBorders>
              <w:top w:val="single" w:sz="4" w:space="0" w:color="auto"/>
              <w:left w:val="single" w:sz="4" w:space="0" w:color="auto"/>
              <w:bottom w:val="single" w:sz="4" w:space="0" w:color="auto"/>
              <w:right w:val="single" w:sz="4" w:space="0" w:color="auto"/>
            </w:tcBorders>
            <w:shd w:val="clear" w:color="000000" w:fill="F2F2F2"/>
            <w:noWrap/>
            <w:hideMark/>
          </w:tcPr>
          <w:p w14:paraId="77BA40FE" w14:textId="77777777" w:rsidR="00F72C68" w:rsidRPr="00AE2D37" w:rsidRDefault="00F72C68" w:rsidP="00042FC6">
            <w:pPr>
              <w:spacing w:before="120" w:after="120" w:line="240" w:lineRule="auto"/>
              <w:jc w:val="both"/>
              <w:rPr>
                <w:rFonts w:ascii="Arial" w:eastAsia="Times New Roman" w:hAnsi="Arial" w:cs="Arial"/>
                <w:b/>
                <w:bCs/>
                <w:color w:val="000000"/>
                <w:kern w:val="0"/>
                <w:lang w:val="en-US" w:eastAsia="lt-LT"/>
                <w14:ligatures w14:val="none"/>
              </w:rPr>
            </w:pPr>
            <w:r w:rsidRPr="00AE2D37">
              <w:rPr>
                <w:rFonts w:ascii="Arial" w:eastAsia="Times New Roman" w:hAnsi="Arial" w:cs="Arial"/>
                <w:b/>
                <w:bCs/>
                <w:color w:val="000000"/>
                <w:kern w:val="0"/>
                <w:lang w:val="en-US" w:eastAsia="lt-LT"/>
                <w14:ligatures w14:val="none"/>
              </w:rPr>
              <w:t>COUNTRY</w:t>
            </w:r>
          </w:p>
        </w:tc>
        <w:tc>
          <w:tcPr>
            <w:tcW w:w="1916" w:type="dxa"/>
            <w:tcBorders>
              <w:top w:val="single" w:sz="4" w:space="0" w:color="auto"/>
              <w:left w:val="nil"/>
              <w:bottom w:val="single" w:sz="4" w:space="0" w:color="auto"/>
              <w:right w:val="single" w:sz="4" w:space="0" w:color="auto"/>
            </w:tcBorders>
            <w:shd w:val="clear" w:color="000000" w:fill="F2F2F2"/>
            <w:hideMark/>
          </w:tcPr>
          <w:p w14:paraId="3F5C3667" w14:textId="77777777" w:rsidR="00F72C68" w:rsidRPr="00AE2D37" w:rsidRDefault="00F72C68" w:rsidP="00042FC6">
            <w:pPr>
              <w:spacing w:before="120" w:after="120" w:line="240" w:lineRule="auto"/>
              <w:jc w:val="both"/>
              <w:rPr>
                <w:rFonts w:ascii="Arial" w:eastAsia="Times New Roman" w:hAnsi="Arial" w:cs="Arial"/>
                <w:b/>
                <w:bCs/>
                <w:color w:val="000000"/>
                <w:kern w:val="0"/>
                <w:lang w:val="en-US" w:eastAsia="lt-LT"/>
                <w14:ligatures w14:val="none"/>
              </w:rPr>
            </w:pPr>
            <w:r w:rsidRPr="00AE2D37">
              <w:rPr>
                <w:rFonts w:ascii="Arial" w:eastAsia="Times New Roman" w:hAnsi="Arial" w:cs="Arial"/>
                <w:b/>
                <w:bCs/>
                <w:color w:val="000000"/>
                <w:kern w:val="0"/>
                <w:lang w:val="en-US" w:eastAsia="lt-LT"/>
                <w14:ligatures w14:val="none"/>
              </w:rPr>
              <w:t xml:space="preserve">Volume (thousands of metric </w:t>
            </w:r>
            <w:proofErr w:type="spellStart"/>
            <w:r w:rsidRPr="00AE2D37">
              <w:rPr>
                <w:rFonts w:ascii="Arial" w:eastAsia="Times New Roman" w:hAnsi="Arial" w:cs="Arial"/>
                <w:b/>
                <w:bCs/>
                <w:color w:val="000000"/>
                <w:kern w:val="0"/>
                <w:lang w:val="en-US" w:eastAsia="lt-LT"/>
                <w14:ligatures w14:val="none"/>
              </w:rPr>
              <w:t>tonnes</w:t>
            </w:r>
            <w:proofErr w:type="spellEnd"/>
            <w:r w:rsidRPr="00AE2D37">
              <w:rPr>
                <w:rFonts w:ascii="Arial" w:eastAsia="Times New Roman" w:hAnsi="Arial" w:cs="Arial"/>
                <w:b/>
                <w:bCs/>
                <w:color w:val="000000"/>
                <w:kern w:val="0"/>
                <w:lang w:val="en-US" w:eastAsia="lt-LT"/>
                <w14:ligatures w14:val="none"/>
              </w:rPr>
              <w:t>) 27101981</w:t>
            </w:r>
          </w:p>
        </w:tc>
        <w:tc>
          <w:tcPr>
            <w:tcW w:w="2349" w:type="dxa"/>
            <w:tcBorders>
              <w:top w:val="single" w:sz="4" w:space="0" w:color="auto"/>
              <w:left w:val="nil"/>
              <w:bottom w:val="single" w:sz="4" w:space="0" w:color="auto"/>
              <w:right w:val="single" w:sz="4" w:space="0" w:color="auto"/>
            </w:tcBorders>
            <w:shd w:val="clear" w:color="000000" w:fill="F2F2F2"/>
            <w:hideMark/>
          </w:tcPr>
          <w:p w14:paraId="4F9FD712" w14:textId="77777777" w:rsidR="00F72C68" w:rsidRPr="00AE2D37" w:rsidRDefault="00F72C68" w:rsidP="00042FC6">
            <w:pPr>
              <w:spacing w:before="120" w:after="120" w:line="240" w:lineRule="auto"/>
              <w:jc w:val="both"/>
              <w:rPr>
                <w:rFonts w:ascii="Arial" w:eastAsia="Times New Roman" w:hAnsi="Arial" w:cs="Arial"/>
                <w:b/>
                <w:bCs/>
                <w:color w:val="000000"/>
                <w:kern w:val="0"/>
                <w:lang w:val="en-US" w:eastAsia="lt-LT"/>
                <w14:ligatures w14:val="none"/>
              </w:rPr>
            </w:pPr>
            <w:r w:rsidRPr="00AE2D37">
              <w:rPr>
                <w:rFonts w:ascii="Arial" w:eastAsia="Times New Roman" w:hAnsi="Arial" w:cs="Arial"/>
                <w:b/>
                <w:bCs/>
                <w:color w:val="000000"/>
                <w:kern w:val="0"/>
                <w:lang w:val="en-US" w:eastAsia="lt-LT"/>
                <w14:ligatures w14:val="none"/>
              </w:rPr>
              <w:t xml:space="preserve">Volume (thousands of metric </w:t>
            </w:r>
            <w:proofErr w:type="spellStart"/>
            <w:r w:rsidRPr="00AE2D37">
              <w:rPr>
                <w:rFonts w:ascii="Arial" w:eastAsia="Times New Roman" w:hAnsi="Arial" w:cs="Arial"/>
                <w:b/>
                <w:bCs/>
                <w:color w:val="000000"/>
                <w:kern w:val="0"/>
                <w:lang w:val="en-US" w:eastAsia="lt-LT"/>
                <w14:ligatures w14:val="none"/>
              </w:rPr>
              <w:t>tonnes</w:t>
            </w:r>
            <w:proofErr w:type="spellEnd"/>
            <w:r w:rsidRPr="00AE2D37">
              <w:rPr>
                <w:rFonts w:ascii="Arial" w:eastAsia="Times New Roman" w:hAnsi="Arial" w:cs="Arial"/>
                <w:b/>
                <w:bCs/>
                <w:color w:val="000000"/>
                <w:kern w:val="0"/>
                <w:lang w:val="en-US" w:eastAsia="lt-LT"/>
                <w14:ligatures w14:val="none"/>
              </w:rPr>
              <w:t>) 27101983</w:t>
            </w:r>
          </w:p>
        </w:tc>
        <w:tc>
          <w:tcPr>
            <w:tcW w:w="2658" w:type="dxa"/>
            <w:tcBorders>
              <w:top w:val="single" w:sz="4" w:space="0" w:color="auto"/>
              <w:left w:val="nil"/>
              <w:bottom w:val="single" w:sz="4" w:space="0" w:color="auto"/>
              <w:right w:val="single" w:sz="4" w:space="0" w:color="auto"/>
            </w:tcBorders>
            <w:shd w:val="clear" w:color="000000" w:fill="F2F2F2"/>
            <w:hideMark/>
          </w:tcPr>
          <w:p w14:paraId="420ABC95" w14:textId="77777777" w:rsidR="00F72C68" w:rsidRPr="00AE2D37" w:rsidRDefault="00F72C68" w:rsidP="00042FC6">
            <w:pPr>
              <w:spacing w:before="120" w:after="120" w:line="240" w:lineRule="auto"/>
              <w:jc w:val="both"/>
              <w:rPr>
                <w:rFonts w:ascii="Arial" w:eastAsia="Times New Roman" w:hAnsi="Arial" w:cs="Arial"/>
                <w:b/>
                <w:bCs/>
                <w:color w:val="000000"/>
                <w:kern w:val="0"/>
                <w:lang w:val="en-US" w:eastAsia="lt-LT"/>
                <w14:ligatures w14:val="none"/>
              </w:rPr>
            </w:pPr>
            <w:r w:rsidRPr="00AE2D37">
              <w:rPr>
                <w:rFonts w:ascii="Arial" w:eastAsia="Times New Roman" w:hAnsi="Arial" w:cs="Arial"/>
                <w:b/>
                <w:bCs/>
                <w:color w:val="000000"/>
                <w:kern w:val="0"/>
                <w:lang w:val="en-US" w:eastAsia="lt-LT"/>
                <w14:ligatures w14:val="none"/>
              </w:rPr>
              <w:t xml:space="preserve">Volume (thousands of metric </w:t>
            </w:r>
            <w:proofErr w:type="spellStart"/>
            <w:r w:rsidRPr="00AE2D37">
              <w:rPr>
                <w:rFonts w:ascii="Arial" w:eastAsia="Times New Roman" w:hAnsi="Arial" w:cs="Arial"/>
                <w:b/>
                <w:bCs/>
                <w:color w:val="000000"/>
                <w:kern w:val="0"/>
                <w:lang w:val="en-US" w:eastAsia="lt-LT"/>
                <w14:ligatures w14:val="none"/>
              </w:rPr>
              <w:t>tonnes</w:t>
            </w:r>
            <w:proofErr w:type="spellEnd"/>
            <w:r w:rsidRPr="00AE2D37">
              <w:rPr>
                <w:rFonts w:ascii="Arial" w:eastAsia="Times New Roman" w:hAnsi="Arial" w:cs="Arial"/>
                <w:b/>
                <w:bCs/>
                <w:color w:val="000000"/>
                <w:kern w:val="0"/>
                <w:lang w:val="en-US" w:eastAsia="lt-LT"/>
                <w14:ligatures w14:val="none"/>
              </w:rPr>
              <w:t>) 27101981 +27101983</w:t>
            </w:r>
          </w:p>
        </w:tc>
      </w:tr>
      <w:tr w:rsidR="00F72C68" w:rsidRPr="00AE2D37" w14:paraId="18319C6F" w14:textId="77777777" w:rsidTr="00820179">
        <w:trPr>
          <w:trHeight w:val="423"/>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3BFAA418"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 xml:space="preserve">Lithuania (metric </w:t>
            </w:r>
            <w:proofErr w:type="spellStart"/>
            <w:r w:rsidRPr="00AE2D37">
              <w:rPr>
                <w:rFonts w:ascii="Arial" w:eastAsia="Times New Roman" w:hAnsi="Arial" w:cs="Arial"/>
                <w:color w:val="000000"/>
                <w:kern w:val="0"/>
                <w:lang w:val="en-US" w:eastAsia="lt-LT"/>
                <w14:ligatures w14:val="none"/>
              </w:rPr>
              <w:t>tonnes</w:t>
            </w:r>
            <w:proofErr w:type="spellEnd"/>
            <w:r w:rsidRPr="00AE2D37">
              <w:rPr>
                <w:rFonts w:ascii="Arial" w:eastAsia="Times New Roman" w:hAnsi="Arial" w:cs="Arial"/>
                <w:color w:val="000000"/>
                <w:kern w:val="0"/>
                <w:lang w:val="en-US" w:eastAsia="lt-LT"/>
                <w14:ligatures w14:val="none"/>
              </w:rPr>
              <w:t>)</w:t>
            </w:r>
          </w:p>
        </w:tc>
        <w:tc>
          <w:tcPr>
            <w:tcW w:w="1916" w:type="dxa"/>
            <w:tcBorders>
              <w:top w:val="nil"/>
              <w:left w:val="nil"/>
              <w:bottom w:val="single" w:sz="4" w:space="0" w:color="auto"/>
              <w:right w:val="single" w:sz="4" w:space="0" w:color="auto"/>
            </w:tcBorders>
            <w:shd w:val="clear" w:color="auto" w:fill="auto"/>
            <w:noWrap/>
            <w:vAlign w:val="bottom"/>
            <w:hideMark/>
          </w:tcPr>
          <w:p w14:paraId="1975F1E1"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3,97265616</w:t>
            </w:r>
          </w:p>
        </w:tc>
        <w:tc>
          <w:tcPr>
            <w:tcW w:w="2349" w:type="dxa"/>
            <w:tcBorders>
              <w:top w:val="nil"/>
              <w:left w:val="nil"/>
              <w:bottom w:val="single" w:sz="4" w:space="0" w:color="auto"/>
              <w:right w:val="single" w:sz="4" w:space="0" w:color="auto"/>
            </w:tcBorders>
            <w:shd w:val="clear" w:color="auto" w:fill="auto"/>
            <w:noWrap/>
            <w:vAlign w:val="bottom"/>
            <w:hideMark/>
          </w:tcPr>
          <w:p w14:paraId="5CCD1150"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0,1663087</w:t>
            </w:r>
          </w:p>
        </w:tc>
        <w:tc>
          <w:tcPr>
            <w:tcW w:w="2658" w:type="dxa"/>
            <w:tcBorders>
              <w:top w:val="nil"/>
              <w:left w:val="nil"/>
              <w:bottom w:val="single" w:sz="4" w:space="0" w:color="auto"/>
              <w:right w:val="single" w:sz="4" w:space="0" w:color="auto"/>
            </w:tcBorders>
            <w:shd w:val="clear" w:color="auto" w:fill="auto"/>
            <w:noWrap/>
            <w:vAlign w:val="bottom"/>
            <w:hideMark/>
          </w:tcPr>
          <w:p w14:paraId="421E1C54"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4,13896486</w:t>
            </w:r>
          </w:p>
        </w:tc>
      </w:tr>
      <w:tr w:rsidR="00F72C68" w:rsidRPr="00AE2D37" w14:paraId="5B5CCC28" w14:textId="77777777" w:rsidTr="00820179">
        <w:trPr>
          <w:trHeight w:val="540"/>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424B009A"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Lithuania (%)</w:t>
            </w:r>
          </w:p>
        </w:tc>
        <w:tc>
          <w:tcPr>
            <w:tcW w:w="1916" w:type="dxa"/>
            <w:tcBorders>
              <w:top w:val="nil"/>
              <w:left w:val="nil"/>
              <w:bottom w:val="single" w:sz="4" w:space="0" w:color="auto"/>
              <w:right w:val="single" w:sz="4" w:space="0" w:color="auto"/>
            </w:tcBorders>
            <w:shd w:val="clear" w:color="auto" w:fill="auto"/>
            <w:noWrap/>
            <w:vAlign w:val="bottom"/>
            <w:hideMark/>
          </w:tcPr>
          <w:p w14:paraId="5262E937" w14:textId="77777777" w:rsidR="00F72C68" w:rsidRPr="00AE2D37" w:rsidRDefault="00F72C68" w:rsidP="00042FC6">
            <w:pPr>
              <w:spacing w:before="120" w:after="120" w:line="240" w:lineRule="auto"/>
              <w:jc w:val="both"/>
              <w:rPr>
                <w:rFonts w:ascii="Arial" w:eastAsia="Times New Roman" w:hAnsi="Arial" w:cs="Arial"/>
                <w:b/>
                <w:bCs/>
                <w:color w:val="FF0000"/>
                <w:kern w:val="0"/>
                <w:lang w:val="en-US" w:eastAsia="lt-LT"/>
                <w14:ligatures w14:val="none"/>
              </w:rPr>
            </w:pPr>
            <w:r w:rsidRPr="00AE2D37">
              <w:rPr>
                <w:rFonts w:ascii="Arial" w:eastAsia="Times New Roman" w:hAnsi="Arial" w:cs="Arial"/>
                <w:b/>
                <w:bCs/>
                <w:color w:val="FF0000"/>
                <w:kern w:val="0"/>
                <w:lang w:val="en-US" w:eastAsia="lt-LT"/>
                <w14:ligatures w14:val="none"/>
              </w:rPr>
              <w:t>3,32%</w:t>
            </w:r>
          </w:p>
        </w:tc>
        <w:tc>
          <w:tcPr>
            <w:tcW w:w="2349" w:type="dxa"/>
            <w:tcBorders>
              <w:top w:val="nil"/>
              <w:left w:val="nil"/>
              <w:bottom w:val="single" w:sz="4" w:space="0" w:color="auto"/>
              <w:right w:val="single" w:sz="4" w:space="0" w:color="auto"/>
            </w:tcBorders>
            <w:shd w:val="clear" w:color="auto" w:fill="auto"/>
            <w:noWrap/>
            <w:vAlign w:val="bottom"/>
            <w:hideMark/>
          </w:tcPr>
          <w:p w14:paraId="3799B195" w14:textId="77777777" w:rsidR="00F72C68" w:rsidRPr="00AE2D37" w:rsidRDefault="00F72C68" w:rsidP="00042FC6">
            <w:pPr>
              <w:spacing w:before="120" w:after="120" w:line="240" w:lineRule="auto"/>
              <w:jc w:val="both"/>
              <w:rPr>
                <w:rFonts w:ascii="Arial" w:eastAsia="Times New Roman" w:hAnsi="Arial" w:cs="Arial"/>
                <w:b/>
                <w:bCs/>
                <w:color w:val="FF0000"/>
                <w:kern w:val="0"/>
                <w:lang w:val="en-US" w:eastAsia="lt-LT"/>
                <w14:ligatures w14:val="none"/>
              </w:rPr>
            </w:pPr>
            <w:r w:rsidRPr="00AE2D37">
              <w:rPr>
                <w:rFonts w:ascii="Arial" w:eastAsia="Times New Roman" w:hAnsi="Arial" w:cs="Arial"/>
                <w:b/>
                <w:bCs/>
                <w:color w:val="FF0000"/>
                <w:kern w:val="0"/>
                <w:lang w:val="en-US" w:eastAsia="lt-LT"/>
                <w14:ligatures w14:val="none"/>
              </w:rPr>
              <w:t>0,69%</w:t>
            </w:r>
          </w:p>
        </w:tc>
        <w:tc>
          <w:tcPr>
            <w:tcW w:w="2658" w:type="dxa"/>
            <w:tcBorders>
              <w:top w:val="nil"/>
              <w:left w:val="nil"/>
              <w:bottom w:val="single" w:sz="4" w:space="0" w:color="auto"/>
              <w:right w:val="single" w:sz="4" w:space="0" w:color="auto"/>
            </w:tcBorders>
            <w:shd w:val="clear" w:color="auto" w:fill="auto"/>
            <w:noWrap/>
            <w:vAlign w:val="bottom"/>
            <w:hideMark/>
          </w:tcPr>
          <w:p w14:paraId="1E3E695D" w14:textId="77777777" w:rsidR="00F72C68" w:rsidRPr="00AE2D37" w:rsidRDefault="00F72C68" w:rsidP="00042FC6">
            <w:pPr>
              <w:spacing w:before="120" w:after="120" w:line="240" w:lineRule="auto"/>
              <w:jc w:val="both"/>
              <w:rPr>
                <w:rFonts w:ascii="Arial" w:eastAsia="Times New Roman" w:hAnsi="Arial" w:cs="Arial"/>
                <w:b/>
                <w:bCs/>
                <w:color w:val="FF0000"/>
                <w:kern w:val="0"/>
                <w:lang w:val="en-US" w:eastAsia="lt-LT"/>
                <w14:ligatures w14:val="none"/>
              </w:rPr>
            </w:pPr>
            <w:r w:rsidRPr="00AE2D37">
              <w:rPr>
                <w:rFonts w:ascii="Arial" w:eastAsia="Times New Roman" w:hAnsi="Arial" w:cs="Arial"/>
                <w:b/>
                <w:bCs/>
                <w:color w:val="FF0000"/>
                <w:kern w:val="0"/>
                <w:lang w:val="en-US" w:eastAsia="lt-LT"/>
                <w14:ligatures w14:val="none"/>
              </w:rPr>
              <w:t>2,88%</w:t>
            </w:r>
          </w:p>
        </w:tc>
      </w:tr>
      <w:tr w:rsidR="00F72C68" w:rsidRPr="00AE2D37" w14:paraId="6AA2263D" w14:textId="77777777" w:rsidTr="00820179">
        <w:trPr>
          <w:trHeight w:val="423"/>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1210FD4A"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 xml:space="preserve">All Imports (metric </w:t>
            </w:r>
            <w:proofErr w:type="spellStart"/>
            <w:r w:rsidRPr="00AE2D37">
              <w:rPr>
                <w:rFonts w:ascii="Arial" w:eastAsia="Times New Roman" w:hAnsi="Arial" w:cs="Arial"/>
                <w:color w:val="000000"/>
                <w:kern w:val="0"/>
                <w:lang w:val="en-US" w:eastAsia="lt-LT"/>
                <w14:ligatures w14:val="none"/>
              </w:rPr>
              <w:t>tonnes</w:t>
            </w:r>
            <w:proofErr w:type="spellEnd"/>
            <w:r w:rsidRPr="00AE2D37">
              <w:rPr>
                <w:rFonts w:ascii="Arial" w:eastAsia="Times New Roman" w:hAnsi="Arial" w:cs="Arial"/>
                <w:color w:val="000000"/>
                <w:kern w:val="0"/>
                <w:lang w:val="en-US" w:eastAsia="lt-LT"/>
                <w14:ligatures w14:val="none"/>
              </w:rPr>
              <w:t>)</w:t>
            </w:r>
          </w:p>
        </w:tc>
        <w:tc>
          <w:tcPr>
            <w:tcW w:w="1916" w:type="dxa"/>
            <w:tcBorders>
              <w:top w:val="nil"/>
              <w:left w:val="nil"/>
              <w:bottom w:val="single" w:sz="4" w:space="0" w:color="auto"/>
              <w:right w:val="single" w:sz="4" w:space="0" w:color="auto"/>
            </w:tcBorders>
            <w:shd w:val="clear" w:color="auto" w:fill="auto"/>
            <w:noWrap/>
            <w:vAlign w:val="bottom"/>
            <w:hideMark/>
          </w:tcPr>
          <w:p w14:paraId="30D1C2CC"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119,7</w:t>
            </w:r>
          </w:p>
        </w:tc>
        <w:tc>
          <w:tcPr>
            <w:tcW w:w="2349" w:type="dxa"/>
            <w:tcBorders>
              <w:top w:val="nil"/>
              <w:left w:val="nil"/>
              <w:bottom w:val="single" w:sz="4" w:space="0" w:color="auto"/>
              <w:right w:val="single" w:sz="4" w:space="0" w:color="auto"/>
            </w:tcBorders>
            <w:shd w:val="clear" w:color="auto" w:fill="auto"/>
            <w:noWrap/>
            <w:vAlign w:val="bottom"/>
            <w:hideMark/>
          </w:tcPr>
          <w:p w14:paraId="7A2AC773"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24,00</w:t>
            </w:r>
          </w:p>
        </w:tc>
        <w:tc>
          <w:tcPr>
            <w:tcW w:w="2658" w:type="dxa"/>
            <w:tcBorders>
              <w:top w:val="nil"/>
              <w:left w:val="nil"/>
              <w:bottom w:val="single" w:sz="4" w:space="0" w:color="auto"/>
              <w:right w:val="single" w:sz="4" w:space="0" w:color="auto"/>
            </w:tcBorders>
            <w:shd w:val="clear" w:color="auto" w:fill="auto"/>
            <w:noWrap/>
            <w:vAlign w:val="bottom"/>
            <w:hideMark/>
          </w:tcPr>
          <w:p w14:paraId="56328195"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143,7</w:t>
            </w:r>
          </w:p>
        </w:tc>
      </w:tr>
      <w:tr w:rsidR="00F72C68" w:rsidRPr="00AE2D37" w14:paraId="73655E8A" w14:textId="77777777" w:rsidTr="00820179">
        <w:trPr>
          <w:trHeight w:val="423"/>
        </w:trPr>
        <w:tc>
          <w:tcPr>
            <w:tcW w:w="1819" w:type="dxa"/>
            <w:tcBorders>
              <w:top w:val="nil"/>
              <w:left w:val="single" w:sz="4" w:space="0" w:color="auto"/>
              <w:bottom w:val="single" w:sz="4" w:space="0" w:color="auto"/>
              <w:right w:val="single" w:sz="4" w:space="0" w:color="auto"/>
            </w:tcBorders>
            <w:shd w:val="clear" w:color="auto" w:fill="auto"/>
            <w:noWrap/>
            <w:vAlign w:val="bottom"/>
            <w:hideMark/>
          </w:tcPr>
          <w:p w14:paraId="69A1EEB0"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All Imports (%)</w:t>
            </w:r>
          </w:p>
        </w:tc>
        <w:tc>
          <w:tcPr>
            <w:tcW w:w="1916" w:type="dxa"/>
            <w:tcBorders>
              <w:top w:val="nil"/>
              <w:left w:val="nil"/>
              <w:bottom w:val="single" w:sz="4" w:space="0" w:color="auto"/>
              <w:right w:val="single" w:sz="4" w:space="0" w:color="auto"/>
            </w:tcBorders>
            <w:shd w:val="clear" w:color="auto" w:fill="auto"/>
            <w:noWrap/>
            <w:vAlign w:val="bottom"/>
            <w:hideMark/>
          </w:tcPr>
          <w:p w14:paraId="044ED1CC"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100%</w:t>
            </w:r>
          </w:p>
        </w:tc>
        <w:tc>
          <w:tcPr>
            <w:tcW w:w="2349" w:type="dxa"/>
            <w:tcBorders>
              <w:top w:val="nil"/>
              <w:left w:val="nil"/>
              <w:bottom w:val="single" w:sz="4" w:space="0" w:color="auto"/>
              <w:right w:val="single" w:sz="4" w:space="0" w:color="auto"/>
            </w:tcBorders>
            <w:shd w:val="clear" w:color="auto" w:fill="auto"/>
            <w:noWrap/>
            <w:vAlign w:val="bottom"/>
            <w:hideMark/>
          </w:tcPr>
          <w:p w14:paraId="5ED33C40"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100%</w:t>
            </w:r>
          </w:p>
        </w:tc>
        <w:tc>
          <w:tcPr>
            <w:tcW w:w="2658" w:type="dxa"/>
            <w:tcBorders>
              <w:top w:val="nil"/>
              <w:left w:val="nil"/>
              <w:bottom w:val="single" w:sz="4" w:space="0" w:color="auto"/>
              <w:right w:val="single" w:sz="4" w:space="0" w:color="auto"/>
            </w:tcBorders>
            <w:shd w:val="clear" w:color="auto" w:fill="auto"/>
            <w:noWrap/>
            <w:vAlign w:val="bottom"/>
            <w:hideMark/>
          </w:tcPr>
          <w:p w14:paraId="68BB457B" w14:textId="77777777" w:rsidR="00F72C68" w:rsidRPr="00AE2D37" w:rsidRDefault="00F72C68" w:rsidP="00042FC6">
            <w:pPr>
              <w:spacing w:before="120" w:after="120" w:line="240" w:lineRule="auto"/>
              <w:jc w:val="both"/>
              <w:rPr>
                <w:rFonts w:ascii="Arial" w:eastAsia="Times New Roman" w:hAnsi="Arial" w:cs="Arial"/>
                <w:color w:val="000000"/>
                <w:kern w:val="0"/>
                <w:lang w:val="en-US" w:eastAsia="lt-LT"/>
                <w14:ligatures w14:val="none"/>
              </w:rPr>
            </w:pPr>
            <w:r w:rsidRPr="00AE2D37">
              <w:rPr>
                <w:rFonts w:ascii="Arial" w:eastAsia="Times New Roman" w:hAnsi="Arial" w:cs="Arial"/>
                <w:color w:val="000000"/>
                <w:kern w:val="0"/>
                <w:lang w:val="en-US" w:eastAsia="lt-LT"/>
                <w14:ligatures w14:val="none"/>
              </w:rPr>
              <w:t>100%</w:t>
            </w:r>
          </w:p>
        </w:tc>
      </w:tr>
    </w:tbl>
    <w:p w14:paraId="5C806DD3" w14:textId="3EC0E7BD" w:rsidR="00A41B56" w:rsidRDefault="00900A79" w:rsidP="00A41B56">
      <w:pPr>
        <w:pStyle w:val="Sraopastraipa"/>
        <w:spacing w:before="120" w:after="120" w:line="240" w:lineRule="auto"/>
        <w:ind w:left="426"/>
        <w:contextualSpacing w:val="0"/>
        <w:jc w:val="both"/>
        <w:rPr>
          <w:rFonts w:ascii="Arial" w:hAnsi="Arial" w:cs="Arial"/>
          <w:lang w:val="en-US"/>
        </w:rPr>
      </w:pPr>
      <w:r w:rsidRPr="000642B3">
        <w:rPr>
          <w:rFonts w:ascii="Arial" w:hAnsi="Arial" w:cs="Arial"/>
          <w:b/>
          <w:bCs/>
          <w:i/>
          <w:iCs/>
          <w:lang w:val="en-US"/>
        </w:rPr>
        <w:t>Explanation</w:t>
      </w:r>
      <w:r w:rsidR="00065F90" w:rsidRPr="000642B3">
        <w:rPr>
          <w:rFonts w:ascii="Arial" w:hAnsi="Arial" w:cs="Arial"/>
          <w:b/>
          <w:bCs/>
          <w:i/>
          <w:iCs/>
          <w:lang w:val="en-US"/>
        </w:rPr>
        <w:t xml:space="preserve"> regarding the calculation above</w:t>
      </w:r>
      <w:r w:rsidR="00DA314B">
        <w:rPr>
          <w:rFonts w:ascii="Arial" w:hAnsi="Arial" w:cs="Arial"/>
          <w:b/>
          <w:bCs/>
          <w:i/>
          <w:iCs/>
          <w:lang w:val="en-US"/>
        </w:rPr>
        <w:t xml:space="preserve"> (source of this data is </w:t>
      </w:r>
      <w:r w:rsidR="00DA314B" w:rsidRPr="003D64DB">
        <w:rPr>
          <w:rFonts w:ascii="Arial" w:hAnsi="Arial"/>
          <w:b/>
          <w:bCs/>
          <w:noProof/>
          <w:lang w:val="en-US"/>
        </w:rPr>
        <w:t>an appendix 14</w:t>
      </w:r>
      <w:r w:rsidR="00DA314B" w:rsidRPr="00D448C5">
        <w:rPr>
          <w:rFonts w:ascii="Arial" w:hAnsi="Arial"/>
          <w:noProof/>
          <w:lang w:val="en-US"/>
        </w:rPr>
        <w:t xml:space="preserve"> </w:t>
      </w:r>
      <w:r w:rsidR="00DA314B" w:rsidRPr="00DA314B">
        <w:rPr>
          <w:rFonts w:ascii="Arial" w:hAnsi="Arial"/>
          <w:b/>
          <w:bCs/>
          <w:i/>
          <w:iCs/>
          <w:noProof/>
          <w:lang w:val="en-US"/>
        </w:rPr>
        <w:t xml:space="preserve">(,,Sales to UK“) to the </w:t>
      </w:r>
      <w:r w:rsidR="00DA314B" w:rsidRPr="00DA314B">
        <w:rPr>
          <w:rFonts w:ascii="Arial" w:hAnsi="Arial" w:cs="Arial"/>
          <w:b/>
          <w:bCs/>
          <w:i/>
          <w:iCs/>
          <w:noProof/>
          <w:lang w:val="en-US"/>
        </w:rPr>
        <w:t>Anti-Dumping Questionnaire (Exporter)</w:t>
      </w:r>
      <w:r w:rsidR="00DA314B" w:rsidRPr="00DA314B">
        <w:rPr>
          <w:rFonts w:ascii="Arial" w:hAnsi="Arial" w:cs="Arial"/>
          <w:b/>
          <w:bCs/>
          <w:i/>
          <w:iCs/>
          <w:lang w:val="en-US"/>
        </w:rPr>
        <w:t xml:space="preserve"> submitted by UAB SCT Lubricants):</w:t>
      </w:r>
    </w:p>
    <w:p w14:paraId="5259AC7C" w14:textId="48E3EB86" w:rsidR="00BD2092" w:rsidRDefault="00A41B56" w:rsidP="00D448C5">
      <w:pPr>
        <w:pStyle w:val="Sraopastraipa"/>
        <w:spacing w:before="120" w:after="120" w:line="240" w:lineRule="auto"/>
        <w:ind w:left="425"/>
        <w:contextualSpacing w:val="0"/>
        <w:jc w:val="both"/>
        <w:rPr>
          <w:rFonts w:ascii="Arial" w:hAnsi="Arial" w:cs="Arial"/>
          <w:bCs/>
          <w:noProof/>
          <w:lang w:val="en-US"/>
        </w:rPr>
      </w:pPr>
      <w:r w:rsidRPr="00D448C5">
        <w:rPr>
          <w:rFonts w:ascii="Arial" w:hAnsi="Arial"/>
          <w:noProof/>
          <w:lang w:val="en-US"/>
        </w:rPr>
        <w:t xml:space="preserve">UAB SCT Lubricants provided detailed information about sales to UK as </w:t>
      </w:r>
      <w:r w:rsidRPr="003D64DB">
        <w:rPr>
          <w:rFonts w:ascii="Arial" w:hAnsi="Arial"/>
          <w:b/>
          <w:bCs/>
          <w:noProof/>
          <w:lang w:val="en-US"/>
        </w:rPr>
        <w:t>an appendix 14</w:t>
      </w:r>
      <w:r w:rsidR="002D543D" w:rsidRPr="00D448C5">
        <w:rPr>
          <w:rFonts w:ascii="Arial" w:hAnsi="Arial"/>
          <w:noProof/>
          <w:lang w:val="en-US"/>
        </w:rPr>
        <w:t xml:space="preserve"> (,,Sales to UK“)</w:t>
      </w:r>
      <w:r w:rsidRPr="00D448C5">
        <w:rPr>
          <w:rFonts w:ascii="Arial" w:hAnsi="Arial"/>
          <w:noProof/>
          <w:lang w:val="en-US"/>
        </w:rPr>
        <w:t xml:space="preserve"> </w:t>
      </w:r>
      <w:r w:rsidRPr="003D64DB">
        <w:rPr>
          <w:rFonts w:ascii="Arial" w:hAnsi="Arial"/>
          <w:b/>
          <w:bCs/>
          <w:noProof/>
          <w:lang w:val="en-US"/>
        </w:rPr>
        <w:t xml:space="preserve">to the </w:t>
      </w:r>
      <w:r w:rsidRPr="003D64DB">
        <w:rPr>
          <w:rFonts w:ascii="Arial" w:hAnsi="Arial" w:cs="Arial"/>
          <w:b/>
          <w:bCs/>
          <w:noProof/>
          <w:lang w:val="en-US"/>
        </w:rPr>
        <w:t>Anti-Dumping Questionnaire (Exporter)</w:t>
      </w:r>
      <w:r w:rsidR="00291A6A">
        <w:rPr>
          <w:rFonts w:ascii="Arial" w:hAnsi="Arial" w:cs="Arial"/>
          <w:bCs/>
          <w:noProof/>
          <w:lang w:val="en-US"/>
        </w:rPr>
        <w:t xml:space="preserve"> (as </w:t>
      </w:r>
      <w:r w:rsidR="00381796">
        <w:rPr>
          <w:rFonts w:ascii="Arial" w:hAnsi="Arial" w:cs="Arial"/>
          <w:bCs/>
          <w:noProof/>
          <w:lang w:val="en-US"/>
        </w:rPr>
        <w:t>confidential information)</w:t>
      </w:r>
      <w:r w:rsidR="002D543D" w:rsidRPr="00D448C5">
        <w:rPr>
          <w:rFonts w:ascii="Arial" w:hAnsi="Arial" w:cs="Arial"/>
          <w:bCs/>
          <w:noProof/>
          <w:lang w:val="en-US"/>
        </w:rPr>
        <w:t xml:space="preserve">. </w:t>
      </w:r>
      <w:r w:rsidR="00371442" w:rsidRPr="00D448C5">
        <w:rPr>
          <w:rFonts w:ascii="Arial" w:hAnsi="Arial" w:cs="Arial"/>
          <w:bCs/>
          <w:noProof/>
          <w:lang w:val="en-US"/>
        </w:rPr>
        <w:t xml:space="preserve">In this </w:t>
      </w:r>
      <w:r w:rsidR="001B0D42" w:rsidRPr="00D448C5">
        <w:rPr>
          <w:rFonts w:ascii="Arial" w:hAnsi="Arial" w:cs="Arial"/>
          <w:bCs/>
          <w:noProof/>
          <w:lang w:val="en-US"/>
        </w:rPr>
        <w:t xml:space="preserve">report there is a sheet named ,,UK 27101981+27101983+27101987“. </w:t>
      </w:r>
    </w:p>
    <w:p w14:paraId="5D6AFC20" w14:textId="3B25D8F7" w:rsidR="00706BB6" w:rsidRPr="00B34EAD" w:rsidRDefault="00B34EAD" w:rsidP="00B34EAD">
      <w:pPr>
        <w:pStyle w:val="Sraopastraipa"/>
        <w:spacing w:before="120" w:after="120"/>
        <w:ind w:left="425"/>
        <w:contextualSpacing w:val="0"/>
        <w:jc w:val="both"/>
        <w:rPr>
          <w:rFonts w:ascii="Arial" w:hAnsi="Arial" w:cs="Arial"/>
          <w:bCs/>
          <w:noProof/>
        </w:rPr>
      </w:pPr>
      <w:r>
        <w:rPr>
          <w:rFonts w:ascii="Arial" w:hAnsi="Arial" w:cs="Arial"/>
          <w:bCs/>
          <w:noProof/>
        </w:rPr>
        <w:t>Products</w:t>
      </w:r>
      <w:r w:rsidR="00B74DCF" w:rsidRPr="00B74DCF">
        <w:rPr>
          <w:rFonts w:ascii="Arial" w:hAnsi="Arial" w:cs="Arial"/>
          <w:bCs/>
          <w:noProof/>
        </w:rPr>
        <w:t xml:space="preserve"> that fall within the scope of </w:t>
      </w:r>
      <w:r>
        <w:rPr>
          <w:rFonts w:ascii="Arial" w:hAnsi="Arial" w:cs="Arial"/>
          <w:bCs/>
          <w:noProof/>
        </w:rPr>
        <w:t>investigation</w:t>
      </w:r>
      <w:r w:rsidR="00B74DCF" w:rsidRPr="00B74DCF">
        <w:rPr>
          <w:rFonts w:ascii="Arial" w:hAnsi="Arial" w:cs="Arial"/>
          <w:bCs/>
          <w:noProof/>
        </w:rPr>
        <w:t xml:space="preserve"> are filtered in column M</w:t>
      </w:r>
      <w:r>
        <w:rPr>
          <w:rFonts w:ascii="Arial" w:hAnsi="Arial" w:cs="Arial"/>
          <w:bCs/>
          <w:noProof/>
        </w:rPr>
        <w:t xml:space="preserve"> ,,TRA Product code“</w:t>
      </w:r>
      <w:r w:rsidR="00B74DCF" w:rsidRPr="00B74DCF">
        <w:rPr>
          <w:rFonts w:ascii="Arial" w:hAnsi="Arial" w:cs="Arial"/>
          <w:bCs/>
          <w:noProof/>
        </w:rPr>
        <w:t>.</w:t>
      </w:r>
    </w:p>
    <w:p w14:paraId="2FF01B19" w14:textId="20955102" w:rsidR="005465C3" w:rsidRPr="00FA5F59" w:rsidRDefault="00AE2206" w:rsidP="00B34EAD">
      <w:pPr>
        <w:pStyle w:val="Sraopastraipa"/>
        <w:spacing w:before="120" w:after="120" w:line="240" w:lineRule="auto"/>
        <w:ind w:left="425"/>
        <w:contextualSpacing w:val="0"/>
        <w:jc w:val="both"/>
        <w:rPr>
          <w:rFonts w:ascii="Arial" w:hAnsi="Arial" w:cs="Arial"/>
          <w:bCs/>
          <w:noProof/>
          <w:lang w:val="en-US"/>
        </w:rPr>
      </w:pPr>
      <w:r w:rsidRPr="00D448C5">
        <w:rPr>
          <w:rFonts w:ascii="Arial" w:hAnsi="Arial" w:cs="Arial"/>
          <w:bCs/>
          <w:noProof/>
          <w:lang w:val="en-US"/>
        </w:rPr>
        <w:t xml:space="preserve">Data in the column </w:t>
      </w:r>
      <w:r w:rsidR="0080263F" w:rsidRPr="00D448C5">
        <w:rPr>
          <w:rFonts w:ascii="Arial" w:hAnsi="Arial" w:cs="Arial"/>
          <w:bCs/>
          <w:noProof/>
          <w:lang w:val="en-US"/>
        </w:rPr>
        <w:t>P</w:t>
      </w:r>
      <w:r w:rsidR="00C63838">
        <w:rPr>
          <w:rFonts w:ascii="Arial" w:hAnsi="Arial" w:cs="Arial"/>
          <w:bCs/>
          <w:noProof/>
          <w:lang w:val="en-US"/>
        </w:rPr>
        <w:t xml:space="preserve"> ,,</w:t>
      </w:r>
      <w:r w:rsidR="009B328C" w:rsidRPr="00D448C5">
        <w:rPr>
          <w:rFonts w:ascii="Arial" w:hAnsi="Arial" w:cs="Arial"/>
          <w:bCs/>
          <w:noProof/>
          <w:lang w:val="en-US"/>
        </w:rPr>
        <w:t>Net weight (kg)</w:t>
      </w:r>
      <w:r w:rsidR="004B4682" w:rsidRPr="00D448C5">
        <w:rPr>
          <w:rFonts w:ascii="Arial" w:hAnsi="Arial" w:cs="Arial"/>
          <w:bCs/>
          <w:noProof/>
          <w:lang w:val="en-US"/>
        </w:rPr>
        <w:t>“</w:t>
      </w:r>
      <w:r w:rsidR="009B328C" w:rsidRPr="00D448C5">
        <w:rPr>
          <w:rFonts w:ascii="Arial" w:hAnsi="Arial" w:cs="Arial"/>
          <w:bCs/>
          <w:noProof/>
          <w:lang w:val="en-US"/>
        </w:rPr>
        <w:t xml:space="preserve">/ line </w:t>
      </w:r>
      <w:r w:rsidR="00B55DFB" w:rsidRPr="00D448C5">
        <w:rPr>
          <w:rFonts w:ascii="Arial" w:hAnsi="Arial" w:cs="Arial"/>
          <w:bCs/>
          <w:noProof/>
          <w:lang w:val="en-US"/>
        </w:rPr>
        <w:t>2902</w:t>
      </w:r>
      <w:r w:rsidR="00C63838">
        <w:rPr>
          <w:rFonts w:ascii="Arial" w:hAnsi="Arial" w:cs="Arial"/>
          <w:bCs/>
          <w:noProof/>
          <w:lang w:val="en-US"/>
        </w:rPr>
        <w:t xml:space="preserve"> ,,</w:t>
      </w:r>
      <w:r w:rsidR="00B55DFB" w:rsidRPr="00D448C5">
        <w:rPr>
          <w:rFonts w:ascii="Arial" w:hAnsi="Arial" w:cs="Arial"/>
          <w:bCs/>
          <w:noProof/>
          <w:lang w:val="en-US"/>
        </w:rPr>
        <w:t>TOTAL“ shows</w:t>
      </w:r>
      <w:r w:rsidR="00061B1E" w:rsidRPr="00D448C5">
        <w:rPr>
          <w:rFonts w:ascii="Arial" w:hAnsi="Arial" w:cs="Arial"/>
          <w:bCs/>
          <w:noProof/>
          <w:lang w:val="en-US"/>
        </w:rPr>
        <w:t xml:space="preserve"> that import volume fr</w:t>
      </w:r>
      <w:r w:rsidR="00805A98" w:rsidRPr="00D448C5">
        <w:rPr>
          <w:rFonts w:ascii="Arial" w:hAnsi="Arial" w:cs="Arial"/>
          <w:bCs/>
          <w:noProof/>
          <w:lang w:val="en-US"/>
        </w:rPr>
        <w:t>o</w:t>
      </w:r>
      <w:r w:rsidR="00061B1E" w:rsidRPr="00D448C5">
        <w:rPr>
          <w:rFonts w:ascii="Arial" w:hAnsi="Arial" w:cs="Arial"/>
          <w:bCs/>
          <w:noProof/>
          <w:lang w:val="en-US"/>
        </w:rPr>
        <w:t>m Lithuania to UK for commodity codes</w:t>
      </w:r>
      <w:r w:rsidR="00CA705B" w:rsidRPr="00D448C5">
        <w:rPr>
          <w:rFonts w:ascii="Arial" w:hAnsi="Arial" w:cs="Arial"/>
          <w:bCs/>
          <w:noProof/>
          <w:lang w:val="en-US"/>
        </w:rPr>
        <w:t xml:space="preserve"> 27101981+27101983 for the POI was</w:t>
      </w:r>
      <w:r w:rsidR="00061B1E" w:rsidRPr="00D448C5">
        <w:rPr>
          <w:rFonts w:ascii="Arial" w:hAnsi="Arial" w:cs="Arial"/>
          <w:bCs/>
          <w:noProof/>
          <w:lang w:val="en-US"/>
        </w:rPr>
        <w:t xml:space="preserve"> </w:t>
      </w:r>
      <w:r w:rsidR="00B55DFB" w:rsidRPr="00D448C5">
        <w:rPr>
          <w:rFonts w:ascii="Arial" w:hAnsi="Arial" w:cs="Arial"/>
          <w:bCs/>
          <w:noProof/>
          <w:lang w:val="en-US"/>
        </w:rPr>
        <w:t xml:space="preserve"> </w:t>
      </w:r>
      <w:r w:rsidR="00651BA1" w:rsidRPr="00D448C5">
        <w:rPr>
          <w:rFonts w:ascii="Arial" w:hAnsi="Arial" w:cs="Arial"/>
          <w:bCs/>
          <w:noProof/>
          <w:lang w:val="en-US"/>
        </w:rPr>
        <w:t>4 138 964,86 kg</w:t>
      </w:r>
      <w:r w:rsidR="00CA705B" w:rsidRPr="00D448C5">
        <w:rPr>
          <w:rFonts w:ascii="Arial" w:hAnsi="Arial" w:cs="Arial"/>
          <w:bCs/>
          <w:noProof/>
          <w:lang w:val="en-US"/>
        </w:rPr>
        <w:t xml:space="preserve"> (</w:t>
      </w:r>
      <w:r w:rsidR="00651BA1" w:rsidRPr="00D448C5">
        <w:rPr>
          <w:rFonts w:ascii="Arial" w:hAnsi="Arial" w:cs="Arial"/>
          <w:bCs/>
          <w:noProof/>
          <w:lang w:val="en-US"/>
        </w:rPr>
        <w:t xml:space="preserve">4,13896486 </w:t>
      </w:r>
      <w:r w:rsidR="00D903EC" w:rsidRPr="00D448C5">
        <w:rPr>
          <w:rFonts w:ascii="Arial" w:hAnsi="Arial" w:cs="Arial"/>
          <w:bCs/>
          <w:noProof/>
          <w:lang w:val="en-US"/>
        </w:rPr>
        <w:t>thousands of metric tonnes)</w:t>
      </w:r>
      <w:r w:rsidR="00FA5F59">
        <w:rPr>
          <w:rFonts w:ascii="Arial" w:hAnsi="Arial" w:cs="Arial"/>
          <w:bCs/>
          <w:noProof/>
          <w:lang w:val="en-US"/>
        </w:rPr>
        <w:t>.</w:t>
      </w:r>
    </w:p>
    <w:p w14:paraId="12520B20" w14:textId="62A402D1" w:rsidR="00AD24BA" w:rsidRDefault="00AD24BA" w:rsidP="003D64DB">
      <w:pPr>
        <w:pStyle w:val="Sraopastraipa"/>
        <w:spacing w:before="120" w:after="120"/>
        <w:ind w:left="425"/>
        <w:contextualSpacing w:val="0"/>
        <w:jc w:val="both"/>
        <w:rPr>
          <w:rFonts w:ascii="Arial" w:hAnsi="Arial" w:cs="Arial"/>
          <w:bCs/>
          <w:noProof/>
        </w:rPr>
      </w:pPr>
      <w:r w:rsidRPr="00AD24BA">
        <w:rPr>
          <w:rFonts w:ascii="Arial" w:hAnsi="Arial" w:cs="Arial"/>
          <w:bCs/>
          <w:noProof/>
        </w:rPr>
        <w:t>This data can be specified by filtering the data in column K</w:t>
      </w:r>
      <w:r w:rsidR="00C63838">
        <w:rPr>
          <w:rFonts w:ascii="Arial" w:hAnsi="Arial" w:cs="Arial"/>
          <w:bCs/>
          <w:noProof/>
        </w:rPr>
        <w:t xml:space="preserve"> ,,Product group“</w:t>
      </w:r>
      <w:r w:rsidR="00A53602">
        <w:rPr>
          <w:rFonts w:ascii="Arial" w:hAnsi="Arial" w:cs="Arial"/>
          <w:bCs/>
          <w:noProof/>
        </w:rPr>
        <w:t xml:space="preserve"> and chosing </w:t>
      </w:r>
      <w:r w:rsidR="00FE3E3E">
        <w:rPr>
          <w:rFonts w:ascii="Arial" w:hAnsi="Arial" w:cs="Arial"/>
          <w:bCs/>
          <w:noProof/>
        </w:rPr>
        <w:t>,,</w:t>
      </w:r>
      <w:r w:rsidR="00A42046">
        <w:rPr>
          <w:rFonts w:ascii="Arial" w:hAnsi="Arial" w:cs="Arial"/>
          <w:bCs/>
          <w:noProof/>
        </w:rPr>
        <w:t>Engine oils or I</w:t>
      </w:r>
      <w:r w:rsidR="007416B2">
        <w:rPr>
          <w:rFonts w:ascii="Arial" w:hAnsi="Arial" w:cs="Arial"/>
          <w:bCs/>
          <w:noProof/>
        </w:rPr>
        <w:t xml:space="preserve">ndustrial </w:t>
      </w:r>
      <w:r w:rsidR="00A42046">
        <w:rPr>
          <w:rFonts w:ascii="Arial" w:hAnsi="Arial" w:cs="Arial"/>
          <w:bCs/>
          <w:noProof/>
        </w:rPr>
        <w:t>oils“</w:t>
      </w:r>
      <w:r w:rsidR="00404B71">
        <w:rPr>
          <w:rFonts w:ascii="Arial" w:hAnsi="Arial" w:cs="Arial"/>
          <w:bCs/>
          <w:noProof/>
        </w:rPr>
        <w:t>:</w:t>
      </w:r>
    </w:p>
    <w:p w14:paraId="66868209" w14:textId="77777777" w:rsidR="003D64DB" w:rsidRDefault="00C542D0" w:rsidP="003D64DB">
      <w:pPr>
        <w:pStyle w:val="Sraopastraipa"/>
        <w:numPr>
          <w:ilvl w:val="0"/>
          <w:numId w:val="10"/>
        </w:numPr>
        <w:spacing w:before="120" w:after="120"/>
        <w:ind w:left="851"/>
        <w:contextualSpacing w:val="0"/>
        <w:jc w:val="both"/>
        <w:rPr>
          <w:rFonts w:ascii="Arial" w:hAnsi="Arial" w:cs="Arial"/>
          <w:bCs/>
          <w:noProof/>
        </w:rPr>
      </w:pPr>
      <w:r w:rsidRPr="003D64DB">
        <w:rPr>
          <w:rFonts w:ascii="Arial" w:hAnsi="Arial" w:cs="Arial"/>
          <w:bCs/>
          <w:noProof/>
        </w:rPr>
        <w:t>Engine oils (</w:t>
      </w:r>
      <w:r w:rsidRPr="003D64DB">
        <w:rPr>
          <w:rFonts w:ascii="Arial" w:hAnsi="Arial" w:cs="Arial"/>
          <w:bCs/>
          <w:noProof/>
          <w:lang w:val="en-US"/>
        </w:rPr>
        <w:t>commodity code 27101981)</w:t>
      </w:r>
      <w:r w:rsidR="00A53602" w:rsidRPr="003D64DB">
        <w:rPr>
          <w:rFonts w:ascii="Arial" w:hAnsi="Arial" w:cs="Arial"/>
          <w:bCs/>
          <w:noProof/>
          <w:lang w:val="en-US"/>
        </w:rPr>
        <w:t>: line 2902 ,,TOTAL“ shows that import volume from Lithuania to UK for commodity code 27101981</w:t>
      </w:r>
      <w:r w:rsidRPr="003D64DB">
        <w:rPr>
          <w:rFonts w:ascii="Arial" w:hAnsi="Arial" w:cs="Arial"/>
          <w:bCs/>
          <w:noProof/>
        </w:rPr>
        <w:t xml:space="preserve"> </w:t>
      </w:r>
      <w:r w:rsidR="00404B71" w:rsidRPr="003D64DB">
        <w:rPr>
          <w:rFonts w:ascii="Arial" w:hAnsi="Arial" w:cs="Arial"/>
          <w:bCs/>
          <w:noProof/>
          <w:lang w:val="en-US"/>
        </w:rPr>
        <w:t>for the POI was</w:t>
      </w:r>
      <w:r w:rsidR="00404B71" w:rsidRPr="003D64DB">
        <w:rPr>
          <w:rFonts w:ascii="Arial" w:hAnsi="Arial" w:cs="Arial"/>
          <w:bCs/>
          <w:noProof/>
        </w:rPr>
        <w:t xml:space="preserve"> </w:t>
      </w:r>
      <w:r w:rsidRPr="003D64DB">
        <w:rPr>
          <w:rFonts w:ascii="Arial" w:hAnsi="Arial" w:cs="Arial"/>
          <w:bCs/>
          <w:noProof/>
        </w:rPr>
        <w:t xml:space="preserve">3 972 656,1600 kg </w:t>
      </w:r>
      <w:r w:rsidR="00404B71" w:rsidRPr="003D64DB">
        <w:rPr>
          <w:rFonts w:ascii="Arial" w:hAnsi="Arial" w:cs="Arial"/>
          <w:bCs/>
          <w:noProof/>
        </w:rPr>
        <w:t>(</w:t>
      </w:r>
      <w:r w:rsidRPr="003D64DB">
        <w:rPr>
          <w:rFonts w:ascii="Arial" w:hAnsi="Arial" w:cs="Arial"/>
          <w:bCs/>
          <w:noProof/>
        </w:rPr>
        <w:t xml:space="preserve">3,97265616 </w:t>
      </w:r>
      <w:r w:rsidR="00404B71" w:rsidRPr="003D64DB">
        <w:rPr>
          <w:rFonts w:ascii="Arial" w:hAnsi="Arial" w:cs="Arial"/>
          <w:bCs/>
          <w:noProof/>
          <w:lang w:val="en-US"/>
        </w:rPr>
        <w:t>thousands of metric tonnes</w:t>
      </w:r>
      <w:r w:rsidR="00404B71" w:rsidRPr="003D64DB">
        <w:rPr>
          <w:rFonts w:ascii="Arial" w:hAnsi="Arial" w:cs="Arial"/>
          <w:bCs/>
          <w:noProof/>
        </w:rPr>
        <w:t>)</w:t>
      </w:r>
      <w:r w:rsidR="004D2FD4" w:rsidRPr="003D64DB">
        <w:rPr>
          <w:rFonts w:ascii="Arial" w:hAnsi="Arial" w:cs="Arial"/>
          <w:bCs/>
          <w:noProof/>
        </w:rPr>
        <w:t>.</w:t>
      </w:r>
    </w:p>
    <w:p w14:paraId="465A6F9D" w14:textId="412C9615" w:rsidR="007D72FC" w:rsidRPr="003D64DB" w:rsidRDefault="007D72FC" w:rsidP="003D64DB">
      <w:pPr>
        <w:pStyle w:val="Sraopastraipa"/>
        <w:numPr>
          <w:ilvl w:val="0"/>
          <w:numId w:val="10"/>
        </w:numPr>
        <w:spacing w:before="120" w:after="120"/>
        <w:ind w:left="851"/>
        <w:contextualSpacing w:val="0"/>
        <w:jc w:val="both"/>
        <w:rPr>
          <w:rFonts w:ascii="Arial" w:hAnsi="Arial" w:cs="Arial"/>
          <w:bCs/>
          <w:noProof/>
        </w:rPr>
      </w:pPr>
      <w:r w:rsidRPr="003D64DB">
        <w:rPr>
          <w:rFonts w:ascii="Arial" w:hAnsi="Arial" w:cs="Arial"/>
          <w:bCs/>
          <w:noProof/>
        </w:rPr>
        <w:t>Industrial oils (</w:t>
      </w:r>
      <w:r w:rsidRPr="003D64DB">
        <w:rPr>
          <w:rFonts w:ascii="Arial" w:hAnsi="Arial" w:cs="Arial"/>
          <w:bCs/>
          <w:noProof/>
          <w:lang w:val="en-US"/>
        </w:rPr>
        <w:t>commodity code 27101983): line 2902 ,,TOTAL“ shows that import volume from Lithuania to UK for commodity code 27101983</w:t>
      </w:r>
      <w:r w:rsidRPr="003D64DB">
        <w:rPr>
          <w:rFonts w:ascii="Arial" w:hAnsi="Arial" w:cs="Arial"/>
          <w:bCs/>
          <w:noProof/>
        </w:rPr>
        <w:t xml:space="preserve"> </w:t>
      </w:r>
      <w:r w:rsidRPr="003D64DB">
        <w:rPr>
          <w:rFonts w:ascii="Arial" w:hAnsi="Arial" w:cs="Arial"/>
          <w:bCs/>
          <w:noProof/>
          <w:lang w:val="en-US"/>
        </w:rPr>
        <w:t>for the POI was</w:t>
      </w:r>
      <w:r w:rsidRPr="003D64DB">
        <w:rPr>
          <w:rFonts w:ascii="Arial" w:hAnsi="Arial" w:cs="Arial"/>
          <w:bCs/>
          <w:noProof/>
        </w:rPr>
        <w:t xml:space="preserve"> </w:t>
      </w:r>
      <w:r w:rsidR="00C944F0" w:rsidRPr="003D64DB">
        <w:rPr>
          <w:rFonts w:ascii="Arial" w:hAnsi="Arial" w:cs="Arial"/>
          <w:bCs/>
          <w:noProof/>
        </w:rPr>
        <w:t xml:space="preserve">166 308,7000 kg </w:t>
      </w:r>
      <w:r w:rsidRPr="003D64DB">
        <w:rPr>
          <w:rFonts w:ascii="Arial" w:hAnsi="Arial" w:cs="Arial"/>
          <w:bCs/>
          <w:noProof/>
        </w:rPr>
        <w:t>(</w:t>
      </w:r>
      <w:r w:rsidR="00C944F0" w:rsidRPr="003D64DB">
        <w:rPr>
          <w:rFonts w:ascii="Arial" w:hAnsi="Arial" w:cs="Arial"/>
          <w:bCs/>
          <w:noProof/>
        </w:rPr>
        <w:t xml:space="preserve">0,1663087  </w:t>
      </w:r>
      <w:r w:rsidRPr="003D64DB">
        <w:rPr>
          <w:rFonts w:ascii="Arial" w:hAnsi="Arial" w:cs="Arial"/>
          <w:bCs/>
          <w:noProof/>
          <w:lang w:val="en-US"/>
        </w:rPr>
        <w:t>thousands of metric tonnes</w:t>
      </w:r>
      <w:r w:rsidRPr="003D64DB">
        <w:rPr>
          <w:rFonts w:ascii="Arial" w:hAnsi="Arial" w:cs="Arial"/>
          <w:bCs/>
          <w:noProof/>
        </w:rPr>
        <w:t>)</w:t>
      </w:r>
      <w:r w:rsidR="00C944F0" w:rsidRPr="003D64DB">
        <w:rPr>
          <w:rFonts w:ascii="Arial" w:hAnsi="Arial" w:cs="Arial"/>
          <w:bCs/>
          <w:noProof/>
        </w:rPr>
        <w:t>.</w:t>
      </w:r>
    </w:p>
    <w:p w14:paraId="1657BD52" w14:textId="5C63426D" w:rsidR="00473A0B" w:rsidRDefault="00C944F0" w:rsidP="003D64DB">
      <w:pPr>
        <w:pStyle w:val="Sraopastraipa"/>
        <w:spacing w:before="120" w:after="120"/>
        <w:ind w:left="425"/>
        <w:contextualSpacing w:val="0"/>
        <w:jc w:val="both"/>
        <w:rPr>
          <w:rFonts w:ascii="Arial" w:hAnsi="Arial" w:cs="Arial"/>
          <w:bCs/>
          <w:noProof/>
          <w:lang w:val="en-US"/>
        </w:rPr>
      </w:pPr>
      <w:r w:rsidRPr="001D6208">
        <w:rPr>
          <w:rFonts w:ascii="Arial" w:hAnsi="Arial"/>
          <w:noProof/>
          <w:lang w:val="en-US"/>
        </w:rPr>
        <w:t xml:space="preserve">In </w:t>
      </w:r>
      <w:r w:rsidRPr="00D448C5">
        <w:rPr>
          <w:rFonts w:ascii="Arial" w:hAnsi="Arial"/>
          <w:noProof/>
          <w:lang w:val="en-US"/>
        </w:rPr>
        <w:t>PAD (Figure 6)</w:t>
      </w:r>
      <w:r w:rsidRPr="001D6208">
        <w:rPr>
          <w:rFonts w:ascii="Arial" w:hAnsi="Arial"/>
          <w:noProof/>
          <w:lang w:val="en-US"/>
        </w:rPr>
        <w:t xml:space="preserve">, the </w:t>
      </w:r>
      <w:r w:rsidRPr="00D448C5">
        <w:rPr>
          <w:rFonts w:ascii="Arial" w:hAnsi="Arial"/>
          <w:noProof/>
          <w:lang w:val="en-US"/>
        </w:rPr>
        <w:t>TRA</w:t>
      </w:r>
      <w:r w:rsidRPr="001D6208">
        <w:rPr>
          <w:rFonts w:ascii="Arial" w:hAnsi="Arial"/>
          <w:noProof/>
          <w:lang w:val="en-US"/>
        </w:rPr>
        <w:t xml:space="preserve"> provided calculations showing that the total quantity </w:t>
      </w:r>
      <w:r w:rsidRPr="00D448C5">
        <w:rPr>
          <w:rFonts w:ascii="Arial" w:hAnsi="Arial"/>
          <w:noProof/>
          <w:lang w:val="en-US"/>
        </w:rPr>
        <w:t xml:space="preserve">of all imports </w:t>
      </w:r>
      <w:r w:rsidRPr="00D448C5">
        <w:rPr>
          <w:rFonts w:ascii="Arial" w:hAnsi="Arial" w:cs="Arial"/>
          <w:bCs/>
          <w:noProof/>
          <w:lang w:val="en-US"/>
        </w:rPr>
        <w:t xml:space="preserve">to UK </w:t>
      </w:r>
      <w:r w:rsidR="00473A0B" w:rsidRPr="00D448C5">
        <w:rPr>
          <w:rFonts w:ascii="Arial" w:hAnsi="Arial" w:cs="Arial"/>
          <w:bCs/>
          <w:noProof/>
          <w:lang w:val="en-US"/>
        </w:rPr>
        <w:t>for the POI</w:t>
      </w:r>
      <w:r w:rsidR="00473A0B" w:rsidRPr="00D448C5">
        <w:rPr>
          <w:rFonts w:ascii="Arial" w:hAnsi="Arial"/>
          <w:noProof/>
          <w:lang w:val="en-US"/>
        </w:rPr>
        <w:t xml:space="preserve"> </w:t>
      </w:r>
      <w:r w:rsidR="004A6008">
        <w:rPr>
          <w:rFonts w:ascii="Arial" w:hAnsi="Arial" w:cs="Arial"/>
          <w:bCs/>
          <w:noProof/>
          <w:lang w:val="en-US"/>
        </w:rPr>
        <w:t xml:space="preserve">were the following: </w:t>
      </w:r>
    </w:p>
    <w:p w14:paraId="74293ACF" w14:textId="5741A9C4" w:rsidR="00473A0B" w:rsidRDefault="00473A0B" w:rsidP="00FA5F59">
      <w:pPr>
        <w:pStyle w:val="Sraopastraipa"/>
        <w:numPr>
          <w:ilvl w:val="0"/>
          <w:numId w:val="9"/>
        </w:numPr>
        <w:spacing w:before="120" w:after="120"/>
        <w:contextualSpacing w:val="0"/>
        <w:jc w:val="both"/>
        <w:rPr>
          <w:rFonts w:ascii="Arial" w:hAnsi="Arial" w:cs="Arial"/>
          <w:bCs/>
          <w:noProof/>
          <w:lang w:val="en-US"/>
        </w:rPr>
      </w:pPr>
      <w:r>
        <w:rPr>
          <w:rFonts w:ascii="Arial" w:hAnsi="Arial" w:cs="Arial"/>
          <w:bCs/>
          <w:noProof/>
          <w:lang w:val="en-US"/>
        </w:rPr>
        <w:t xml:space="preserve">119,7 </w:t>
      </w:r>
      <w:r w:rsidRPr="00D448C5">
        <w:rPr>
          <w:rFonts w:ascii="Arial" w:hAnsi="Arial" w:cs="Arial"/>
          <w:bCs/>
          <w:noProof/>
          <w:lang w:val="en-US"/>
        </w:rPr>
        <w:t xml:space="preserve">thousands of metric tonnes </w:t>
      </w:r>
      <w:r w:rsidR="00C944F0" w:rsidRPr="00D448C5">
        <w:rPr>
          <w:rFonts w:ascii="Arial" w:hAnsi="Arial" w:cs="Arial"/>
          <w:bCs/>
          <w:noProof/>
          <w:lang w:val="en-US"/>
        </w:rPr>
        <w:t>for commodity code 27101981</w:t>
      </w:r>
      <w:r>
        <w:rPr>
          <w:rFonts w:ascii="Arial" w:hAnsi="Arial" w:cs="Arial"/>
          <w:bCs/>
          <w:noProof/>
          <w:lang w:val="en-US"/>
        </w:rPr>
        <w:t>;</w:t>
      </w:r>
    </w:p>
    <w:p w14:paraId="52C60DF3" w14:textId="453EF738" w:rsidR="00473A0B" w:rsidRDefault="00473A0B" w:rsidP="00FA5F59">
      <w:pPr>
        <w:pStyle w:val="Sraopastraipa"/>
        <w:numPr>
          <w:ilvl w:val="0"/>
          <w:numId w:val="9"/>
        </w:numPr>
        <w:spacing w:before="120" w:after="120"/>
        <w:contextualSpacing w:val="0"/>
        <w:jc w:val="both"/>
        <w:rPr>
          <w:rFonts w:ascii="Arial" w:hAnsi="Arial" w:cs="Arial"/>
          <w:bCs/>
          <w:noProof/>
          <w:lang w:val="en-US"/>
        </w:rPr>
      </w:pPr>
      <w:r>
        <w:rPr>
          <w:rFonts w:ascii="Arial" w:hAnsi="Arial" w:cs="Arial"/>
          <w:bCs/>
          <w:noProof/>
          <w:lang w:val="en-US"/>
        </w:rPr>
        <w:t xml:space="preserve">24,00 </w:t>
      </w:r>
      <w:r w:rsidRPr="00D448C5">
        <w:rPr>
          <w:rFonts w:ascii="Arial" w:hAnsi="Arial" w:cs="Arial"/>
          <w:bCs/>
          <w:noProof/>
          <w:lang w:val="en-US"/>
        </w:rPr>
        <w:t>thousands of metric tonnes for commodity code</w:t>
      </w:r>
      <w:r>
        <w:rPr>
          <w:rFonts w:ascii="Arial" w:hAnsi="Arial" w:cs="Arial"/>
          <w:bCs/>
          <w:noProof/>
          <w:lang w:val="en-US"/>
        </w:rPr>
        <w:t xml:space="preserve"> </w:t>
      </w:r>
      <w:r w:rsidRPr="00D448C5">
        <w:rPr>
          <w:rFonts w:ascii="Arial" w:hAnsi="Arial" w:cs="Arial"/>
          <w:bCs/>
          <w:noProof/>
          <w:lang w:val="en-US"/>
        </w:rPr>
        <w:t>27101983</w:t>
      </w:r>
      <w:r>
        <w:rPr>
          <w:rFonts w:ascii="Arial" w:hAnsi="Arial" w:cs="Arial"/>
          <w:bCs/>
          <w:noProof/>
          <w:lang w:val="en-US"/>
        </w:rPr>
        <w:t>;</w:t>
      </w:r>
    </w:p>
    <w:p w14:paraId="150549A7" w14:textId="412C211F" w:rsidR="00EE7656" w:rsidRPr="00473A0B" w:rsidRDefault="00473A0B" w:rsidP="00FA5F59">
      <w:pPr>
        <w:pStyle w:val="Sraopastraipa"/>
        <w:numPr>
          <w:ilvl w:val="0"/>
          <w:numId w:val="9"/>
        </w:numPr>
        <w:spacing w:before="120" w:after="120"/>
        <w:contextualSpacing w:val="0"/>
        <w:jc w:val="both"/>
        <w:rPr>
          <w:rFonts w:ascii="Arial" w:hAnsi="Arial" w:cs="Arial"/>
          <w:bCs/>
          <w:noProof/>
          <w:lang w:val="en-US"/>
        </w:rPr>
      </w:pPr>
      <w:r>
        <w:rPr>
          <w:rFonts w:ascii="Arial" w:hAnsi="Arial" w:cs="Arial"/>
          <w:bCs/>
          <w:noProof/>
          <w:lang w:val="en-US"/>
        </w:rPr>
        <w:t xml:space="preserve">143,7 </w:t>
      </w:r>
      <w:r w:rsidRPr="00D448C5">
        <w:rPr>
          <w:rFonts w:ascii="Arial" w:hAnsi="Arial" w:cs="Arial"/>
          <w:bCs/>
          <w:noProof/>
          <w:lang w:val="en-US"/>
        </w:rPr>
        <w:t>thousands of metric tonnes</w:t>
      </w:r>
      <w:r>
        <w:rPr>
          <w:rFonts w:ascii="Arial" w:hAnsi="Arial" w:cs="Arial"/>
          <w:bCs/>
          <w:noProof/>
          <w:lang w:val="en-US"/>
        </w:rPr>
        <w:t xml:space="preserve"> for both </w:t>
      </w:r>
      <w:r w:rsidRPr="00D448C5">
        <w:rPr>
          <w:rFonts w:ascii="Arial" w:hAnsi="Arial" w:cs="Arial"/>
          <w:bCs/>
          <w:noProof/>
          <w:lang w:val="en-US"/>
        </w:rPr>
        <w:t>commodity code</w:t>
      </w:r>
      <w:r>
        <w:rPr>
          <w:rFonts w:ascii="Arial" w:hAnsi="Arial" w:cs="Arial"/>
          <w:bCs/>
          <w:noProof/>
          <w:lang w:val="en-US"/>
        </w:rPr>
        <w:t>s</w:t>
      </w:r>
      <w:r w:rsidR="00FA5F59">
        <w:rPr>
          <w:rFonts w:ascii="Arial" w:hAnsi="Arial" w:cs="Arial"/>
          <w:bCs/>
          <w:noProof/>
          <w:lang w:val="en-US"/>
        </w:rPr>
        <w:t xml:space="preserve"> (</w:t>
      </w:r>
      <w:r w:rsidR="00FA5F59" w:rsidRPr="00F0029B">
        <w:rPr>
          <w:rFonts w:ascii="Arial" w:eastAsia="Times New Roman" w:hAnsi="Arial" w:cs="Arial"/>
          <w:color w:val="000000"/>
          <w:kern w:val="0"/>
          <w:lang w:val="en-US" w:eastAsia="lt-LT"/>
          <w14:ligatures w14:val="none"/>
        </w:rPr>
        <w:t>27101981+27101983</w:t>
      </w:r>
      <w:r w:rsidR="00FA5F59">
        <w:rPr>
          <w:rFonts w:ascii="Arial" w:eastAsia="Times New Roman" w:hAnsi="Arial" w:cs="Arial"/>
          <w:color w:val="000000"/>
          <w:kern w:val="0"/>
          <w:lang w:val="en-US" w:eastAsia="lt-LT"/>
          <w14:ligatures w14:val="none"/>
        </w:rPr>
        <w:t>)</w:t>
      </w:r>
      <w:r>
        <w:rPr>
          <w:rFonts w:ascii="Arial" w:hAnsi="Arial" w:cs="Arial"/>
          <w:bCs/>
          <w:noProof/>
          <w:lang w:val="en-US"/>
        </w:rPr>
        <w:t>.</w:t>
      </w:r>
    </w:p>
    <w:p w14:paraId="43269099" w14:textId="77777777" w:rsidR="001762CB" w:rsidRDefault="00805A98" w:rsidP="00D448C5">
      <w:pPr>
        <w:pStyle w:val="Sraopastraipa"/>
        <w:spacing w:before="120" w:after="120"/>
        <w:ind w:left="425"/>
        <w:contextualSpacing w:val="0"/>
        <w:jc w:val="both"/>
        <w:rPr>
          <w:rFonts w:ascii="Arial" w:hAnsi="Arial" w:cs="Arial"/>
          <w:lang w:val="en-US"/>
        </w:rPr>
      </w:pPr>
      <w:r w:rsidRPr="00D448C5">
        <w:rPr>
          <w:rFonts w:ascii="Arial" w:hAnsi="Arial" w:cs="Arial"/>
          <w:bCs/>
          <w:noProof/>
          <w:lang w:val="en-US"/>
        </w:rPr>
        <w:t xml:space="preserve">So import </w:t>
      </w:r>
      <w:r w:rsidR="00A277EC" w:rsidRPr="00A277EC">
        <w:rPr>
          <w:rFonts w:ascii="Arial" w:hAnsi="Arial" w:cs="Arial"/>
          <w:lang w:val="en-US"/>
        </w:rPr>
        <w:t>share by volume for Lithuania</w:t>
      </w:r>
      <w:r w:rsidR="00A277EC">
        <w:rPr>
          <w:rFonts w:ascii="Arial" w:hAnsi="Arial" w:cs="Arial"/>
          <w:lang w:val="en-US"/>
        </w:rPr>
        <w:t xml:space="preserve"> </w:t>
      </w:r>
      <w:r w:rsidR="00A277EC" w:rsidRPr="00D448C5">
        <w:rPr>
          <w:rFonts w:ascii="Arial" w:hAnsi="Arial" w:cs="Arial"/>
          <w:bCs/>
          <w:noProof/>
          <w:lang w:val="en-US"/>
        </w:rPr>
        <w:t>for the POI</w:t>
      </w:r>
      <w:r w:rsidR="00A277EC" w:rsidRPr="00A277EC">
        <w:rPr>
          <w:rFonts w:ascii="Arial" w:hAnsi="Arial" w:cs="Arial"/>
          <w:lang w:val="en-US"/>
        </w:rPr>
        <w:t xml:space="preserve"> was</w:t>
      </w:r>
      <w:r w:rsidR="00A277EC">
        <w:rPr>
          <w:rFonts w:ascii="Arial" w:hAnsi="Arial" w:cs="Arial"/>
          <w:lang w:val="en-US"/>
        </w:rPr>
        <w:t xml:space="preserve"> the f</w:t>
      </w:r>
      <w:r w:rsidR="001762CB">
        <w:rPr>
          <w:rFonts w:ascii="Arial" w:hAnsi="Arial" w:cs="Arial"/>
          <w:lang w:val="en-US"/>
        </w:rPr>
        <w:t>ollowing:</w:t>
      </w:r>
    </w:p>
    <w:p w14:paraId="5FEB64FC" w14:textId="370729D9" w:rsidR="001762CB" w:rsidRDefault="001762CB" w:rsidP="00FA5F59">
      <w:pPr>
        <w:pStyle w:val="Sraopastraipa"/>
        <w:numPr>
          <w:ilvl w:val="0"/>
          <w:numId w:val="9"/>
        </w:numPr>
        <w:spacing w:before="120" w:after="120"/>
        <w:contextualSpacing w:val="0"/>
        <w:jc w:val="both"/>
        <w:rPr>
          <w:rFonts w:ascii="Arial" w:hAnsi="Arial" w:cs="Arial"/>
          <w:bCs/>
          <w:noProof/>
        </w:rPr>
      </w:pPr>
      <w:r w:rsidRPr="00C542D0">
        <w:rPr>
          <w:rFonts w:ascii="Arial" w:hAnsi="Arial" w:cs="Arial"/>
          <w:bCs/>
          <w:noProof/>
        </w:rPr>
        <w:t>Engine oils</w:t>
      </w:r>
      <w:r>
        <w:rPr>
          <w:rFonts w:ascii="Arial" w:hAnsi="Arial" w:cs="Arial"/>
          <w:bCs/>
          <w:noProof/>
        </w:rPr>
        <w:t xml:space="preserve"> (</w:t>
      </w:r>
      <w:r w:rsidRPr="00D448C5">
        <w:rPr>
          <w:rFonts w:ascii="Arial" w:hAnsi="Arial" w:cs="Arial"/>
          <w:bCs/>
          <w:noProof/>
          <w:lang w:val="en-US"/>
        </w:rPr>
        <w:t>commodity code 27101981</w:t>
      </w:r>
      <w:r>
        <w:rPr>
          <w:rFonts w:ascii="Arial" w:hAnsi="Arial" w:cs="Arial"/>
          <w:bCs/>
          <w:noProof/>
          <w:lang w:val="en-US"/>
        </w:rPr>
        <w:t>) 3,32 % (</w:t>
      </w:r>
      <w:r w:rsidR="00ED2D10" w:rsidRPr="00ED2D10">
        <w:rPr>
          <w:rFonts w:ascii="Arial" w:hAnsi="Arial" w:cs="Arial"/>
          <w:bCs/>
          <w:noProof/>
        </w:rPr>
        <w:t>3,97265616/119,7</w:t>
      </w:r>
      <w:r w:rsidR="00ED2D10">
        <w:rPr>
          <w:rFonts w:ascii="Arial" w:hAnsi="Arial" w:cs="Arial"/>
          <w:bCs/>
          <w:noProof/>
        </w:rPr>
        <w:t>);</w:t>
      </w:r>
    </w:p>
    <w:p w14:paraId="5C9D4F47" w14:textId="6AB73FBF" w:rsidR="00ED2D10" w:rsidRDefault="00ED2D10" w:rsidP="00FA5F59">
      <w:pPr>
        <w:pStyle w:val="Sraopastraipa"/>
        <w:numPr>
          <w:ilvl w:val="0"/>
          <w:numId w:val="9"/>
        </w:numPr>
        <w:spacing w:before="120" w:after="120"/>
        <w:contextualSpacing w:val="0"/>
        <w:jc w:val="both"/>
        <w:rPr>
          <w:rFonts w:ascii="Arial" w:hAnsi="Arial" w:cs="Arial"/>
          <w:bCs/>
          <w:noProof/>
        </w:rPr>
      </w:pPr>
      <w:r>
        <w:rPr>
          <w:rFonts w:ascii="Arial" w:hAnsi="Arial" w:cs="Arial"/>
          <w:bCs/>
          <w:noProof/>
        </w:rPr>
        <w:lastRenderedPageBreak/>
        <w:t>Industrial</w:t>
      </w:r>
      <w:r w:rsidRPr="00C542D0">
        <w:rPr>
          <w:rFonts w:ascii="Arial" w:hAnsi="Arial" w:cs="Arial"/>
          <w:bCs/>
          <w:noProof/>
        </w:rPr>
        <w:t xml:space="preserve"> oils</w:t>
      </w:r>
      <w:r>
        <w:rPr>
          <w:rFonts w:ascii="Arial" w:hAnsi="Arial" w:cs="Arial"/>
          <w:bCs/>
          <w:noProof/>
        </w:rPr>
        <w:t xml:space="preserve"> (</w:t>
      </w:r>
      <w:r w:rsidRPr="00D448C5">
        <w:rPr>
          <w:rFonts w:ascii="Arial" w:hAnsi="Arial" w:cs="Arial"/>
          <w:bCs/>
          <w:noProof/>
          <w:lang w:val="en-US"/>
        </w:rPr>
        <w:t>commodity code 27101983</w:t>
      </w:r>
      <w:r>
        <w:rPr>
          <w:rFonts w:ascii="Arial" w:hAnsi="Arial" w:cs="Arial"/>
          <w:bCs/>
          <w:noProof/>
          <w:lang w:val="en-US"/>
        </w:rPr>
        <w:t>) 0,69 %</w:t>
      </w:r>
      <w:r w:rsidR="0097284A">
        <w:rPr>
          <w:rFonts w:ascii="Arial" w:hAnsi="Arial" w:cs="Arial"/>
          <w:bCs/>
          <w:noProof/>
          <w:lang w:val="en-US"/>
        </w:rPr>
        <w:t xml:space="preserve"> (</w:t>
      </w:r>
      <w:r w:rsidR="0097284A" w:rsidRPr="0097284A">
        <w:rPr>
          <w:rFonts w:ascii="Arial" w:hAnsi="Arial" w:cs="Arial"/>
          <w:bCs/>
          <w:noProof/>
        </w:rPr>
        <w:t>0,1663087/24,0</w:t>
      </w:r>
      <w:r w:rsidR="0097284A">
        <w:rPr>
          <w:rFonts w:ascii="Arial" w:hAnsi="Arial" w:cs="Arial"/>
          <w:bCs/>
          <w:noProof/>
        </w:rPr>
        <w:t>);</w:t>
      </w:r>
    </w:p>
    <w:p w14:paraId="24965BC5" w14:textId="71680874" w:rsidR="00ED2D10" w:rsidRPr="00FA5F59" w:rsidRDefault="009026BB" w:rsidP="00FA5F59">
      <w:pPr>
        <w:pStyle w:val="Sraopastraipa"/>
        <w:numPr>
          <w:ilvl w:val="0"/>
          <w:numId w:val="9"/>
        </w:numPr>
        <w:spacing w:before="120" w:after="120"/>
        <w:contextualSpacing w:val="0"/>
        <w:jc w:val="both"/>
        <w:rPr>
          <w:rFonts w:ascii="Arial" w:hAnsi="Arial" w:cs="Arial"/>
          <w:noProof/>
        </w:rPr>
      </w:pPr>
      <w:r w:rsidRPr="00FA5F59">
        <w:rPr>
          <w:rFonts w:ascii="Arial" w:hAnsi="Arial" w:cs="Arial"/>
          <w:b/>
          <w:noProof/>
        </w:rPr>
        <w:t>All goods under the investigation</w:t>
      </w:r>
      <w:r>
        <w:rPr>
          <w:rFonts w:ascii="Arial" w:hAnsi="Arial" w:cs="Arial"/>
          <w:bCs/>
          <w:noProof/>
        </w:rPr>
        <w:t xml:space="preserve"> (</w:t>
      </w:r>
      <w:r w:rsidRPr="00D448C5">
        <w:rPr>
          <w:rFonts w:ascii="Arial" w:hAnsi="Arial" w:cs="Arial"/>
          <w:bCs/>
          <w:noProof/>
          <w:lang w:val="en-US"/>
        </w:rPr>
        <w:t>commodity code</w:t>
      </w:r>
      <w:r w:rsidR="00F0029B">
        <w:rPr>
          <w:rFonts w:ascii="Arial" w:hAnsi="Arial" w:cs="Arial"/>
          <w:bCs/>
          <w:noProof/>
          <w:lang w:val="en-US"/>
        </w:rPr>
        <w:t>s</w:t>
      </w:r>
      <w:r w:rsidRPr="00D448C5">
        <w:rPr>
          <w:rFonts w:ascii="Arial" w:hAnsi="Arial" w:cs="Arial"/>
          <w:bCs/>
          <w:noProof/>
          <w:lang w:val="en-US"/>
        </w:rPr>
        <w:t xml:space="preserve"> </w:t>
      </w:r>
      <w:r w:rsidRPr="00F0029B">
        <w:rPr>
          <w:rFonts w:ascii="Arial" w:eastAsia="Times New Roman" w:hAnsi="Arial" w:cs="Arial"/>
          <w:color w:val="000000"/>
          <w:kern w:val="0"/>
          <w:lang w:val="en-US" w:eastAsia="lt-LT"/>
          <w14:ligatures w14:val="none"/>
        </w:rPr>
        <w:t>27101981 +27101983</w:t>
      </w:r>
      <w:r w:rsidR="00F0029B">
        <w:rPr>
          <w:rFonts w:ascii="Arial" w:eastAsia="Times New Roman" w:hAnsi="Arial" w:cs="Arial"/>
          <w:color w:val="000000"/>
          <w:kern w:val="0"/>
          <w:lang w:val="en-US" w:eastAsia="lt-LT"/>
          <w14:ligatures w14:val="none"/>
        </w:rPr>
        <w:t xml:space="preserve">) </w:t>
      </w:r>
      <w:r w:rsidR="00F0029B" w:rsidRPr="00FA5F59">
        <w:rPr>
          <w:rFonts w:ascii="Arial" w:eastAsia="Times New Roman" w:hAnsi="Arial" w:cs="Arial"/>
          <w:b/>
          <w:bCs/>
          <w:color w:val="FF0000"/>
          <w:kern w:val="0"/>
          <w:lang w:val="en-US" w:eastAsia="lt-LT"/>
          <w14:ligatures w14:val="none"/>
        </w:rPr>
        <w:t>2,88%</w:t>
      </w:r>
      <w:r w:rsidR="00F0029B" w:rsidRPr="00FA5F59">
        <w:rPr>
          <w:rFonts w:ascii="Arial" w:eastAsia="Times New Roman" w:hAnsi="Arial" w:cs="Arial"/>
          <w:color w:val="FF0000"/>
          <w:kern w:val="0"/>
          <w:lang w:val="en-US" w:eastAsia="lt-LT"/>
          <w14:ligatures w14:val="none"/>
        </w:rPr>
        <w:t xml:space="preserve"> </w:t>
      </w:r>
      <w:r w:rsidR="00F0029B" w:rsidRPr="00D448C5">
        <w:rPr>
          <w:rFonts w:ascii="Arial" w:hAnsi="Arial" w:cs="Arial"/>
          <w:bCs/>
          <w:noProof/>
          <w:lang w:val="en-US"/>
        </w:rPr>
        <w:t>(4,13896486/143,7)</w:t>
      </w:r>
      <w:r w:rsidR="00F0029B">
        <w:rPr>
          <w:rFonts w:ascii="Arial" w:hAnsi="Arial" w:cs="Arial"/>
          <w:bCs/>
          <w:noProof/>
          <w:lang w:val="en-US"/>
        </w:rPr>
        <w:t>.</w:t>
      </w:r>
    </w:p>
    <w:p w14:paraId="0CFA624E" w14:textId="6362E9D0" w:rsidR="002B5436" w:rsidRDefault="00F72C68" w:rsidP="00F0029B">
      <w:pPr>
        <w:pStyle w:val="Sraopastraipa"/>
        <w:spacing w:before="120" w:after="120"/>
        <w:ind w:left="425"/>
        <w:contextualSpacing w:val="0"/>
        <w:jc w:val="both"/>
        <w:rPr>
          <w:rFonts w:ascii="Arial" w:hAnsi="Arial" w:cs="Arial"/>
          <w:lang w:val="en-US"/>
        </w:rPr>
      </w:pPr>
      <w:r w:rsidRPr="002B5436">
        <w:rPr>
          <w:rFonts w:ascii="Arial" w:hAnsi="Arial" w:cs="Arial"/>
          <w:lang w:val="en-US"/>
        </w:rPr>
        <w:t>As the import of goods under the scope of investigation from Lithuania to UK was less th</w:t>
      </w:r>
      <w:r w:rsidR="007B4A3C">
        <w:rPr>
          <w:rFonts w:ascii="Arial" w:hAnsi="Arial" w:cs="Arial"/>
          <w:lang w:val="en-US"/>
        </w:rPr>
        <w:t>a</w:t>
      </w:r>
      <w:r w:rsidR="007371AA">
        <w:rPr>
          <w:rFonts w:ascii="Arial" w:hAnsi="Arial" w:cs="Arial"/>
          <w:lang w:val="en-US"/>
        </w:rPr>
        <w:t>n</w:t>
      </w:r>
      <w:r w:rsidRPr="002B5436">
        <w:rPr>
          <w:rFonts w:ascii="Arial" w:hAnsi="Arial" w:cs="Arial"/>
          <w:lang w:val="en-US"/>
        </w:rPr>
        <w:t xml:space="preserve"> 3% (by volume), it shall be concluded, that the import volumes from Lithuania is less than negligible criteria. </w:t>
      </w:r>
    </w:p>
    <w:p w14:paraId="0E8D94CF" w14:textId="14EC5AF0" w:rsidR="002B5436"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Furthermore, even if we follow the conclusion made by TRA that</w:t>
      </w:r>
      <w:r w:rsidRPr="002B5436">
        <w:rPr>
          <w:rFonts w:ascii="Arial" w:hAnsi="Arial" w:cs="Arial"/>
          <w:b/>
          <w:bCs/>
          <w:lang w:val="en-US"/>
        </w:rPr>
        <w:t xml:space="preserve"> </w:t>
      </w:r>
      <w:r w:rsidRPr="002B5436">
        <w:rPr>
          <w:rFonts w:ascii="Arial" w:hAnsi="Arial" w:cs="Arial"/>
          <w:lang w:val="en-US"/>
        </w:rPr>
        <w:t>during POI import share by volume for Lithuania was 3,11 % (or 3,14 % as per table in paragraph 126) it is just 0,11 % - 0,14 % more th</w:t>
      </w:r>
      <w:r w:rsidR="005B1B96" w:rsidRPr="002B5436">
        <w:rPr>
          <w:rFonts w:ascii="Arial" w:hAnsi="Arial" w:cs="Arial"/>
          <w:lang w:val="en-US"/>
        </w:rPr>
        <w:t>a</w:t>
      </w:r>
      <w:r w:rsidRPr="002B5436">
        <w:rPr>
          <w:rFonts w:ascii="Arial" w:hAnsi="Arial" w:cs="Arial"/>
          <w:lang w:val="en-US"/>
        </w:rPr>
        <w:t>n negligible criteria. The Company is assured that the possible margin of error should have been assessed. TRA itself stated, that</w:t>
      </w:r>
      <w:proofErr w:type="gramStart"/>
      <w:r w:rsidRPr="002B5436">
        <w:rPr>
          <w:rFonts w:ascii="Arial" w:hAnsi="Arial" w:cs="Arial"/>
          <w:lang w:val="en-US"/>
        </w:rPr>
        <w:t>: ,,The</w:t>
      </w:r>
      <w:proofErr w:type="gramEnd"/>
      <w:r w:rsidRPr="002B5436">
        <w:rPr>
          <w:rFonts w:ascii="Arial" w:hAnsi="Arial" w:cs="Arial"/>
          <w:lang w:val="en-US"/>
        </w:rPr>
        <w:t xml:space="preserve"> most reliable import data that the TRA has access to is the publicly available, 8-digit OTS import data. This data may include some goods that are out of the scope of this investigation, so it is not a reliable source for average </w:t>
      </w:r>
      <w:proofErr w:type="gramStart"/>
      <w:r w:rsidRPr="002B5436">
        <w:rPr>
          <w:rFonts w:ascii="Arial" w:hAnsi="Arial" w:cs="Arial"/>
          <w:lang w:val="en-US"/>
        </w:rPr>
        <w:t>pricing“ [</w:t>
      </w:r>
      <w:proofErr w:type="gramEnd"/>
      <w:r w:rsidRPr="002B5436">
        <w:rPr>
          <w:rFonts w:ascii="Arial" w:hAnsi="Arial" w:cs="Arial"/>
          <w:lang w:val="en-US"/>
        </w:rPr>
        <w:t xml:space="preserve">84, 125]. In the Company's opinion, goods that are out of the scope of this investigation cannot be included in the calculation of the import share and it is high certainty, that this scope would be 0,11 % - 0,14 % </w:t>
      </w:r>
      <w:r w:rsidR="00FE68A7">
        <w:rPr>
          <w:rFonts w:ascii="Arial" w:hAnsi="Arial" w:cs="Arial"/>
          <w:lang w:val="en-US"/>
        </w:rPr>
        <w:t xml:space="preserve">of </w:t>
      </w:r>
      <w:r w:rsidR="00A83918">
        <w:rPr>
          <w:rFonts w:ascii="Arial" w:hAnsi="Arial" w:cs="Arial"/>
          <w:lang w:val="en-US"/>
        </w:rPr>
        <w:t>adjustment deviation</w:t>
      </w:r>
      <w:r w:rsidRPr="002B5436">
        <w:rPr>
          <w:rFonts w:ascii="Arial" w:hAnsi="Arial" w:cs="Arial"/>
          <w:lang w:val="en-US"/>
        </w:rPr>
        <w:t xml:space="preserve">. </w:t>
      </w:r>
      <w:proofErr w:type="gramStart"/>
      <w:r w:rsidRPr="002B5436">
        <w:rPr>
          <w:rFonts w:ascii="Arial" w:hAnsi="Arial" w:cs="Arial"/>
          <w:lang w:val="en-US"/>
        </w:rPr>
        <w:t>So</w:t>
      </w:r>
      <w:proofErr w:type="gramEnd"/>
      <w:r w:rsidRPr="002B5436">
        <w:rPr>
          <w:rFonts w:ascii="Arial" w:hAnsi="Arial" w:cs="Arial"/>
          <w:lang w:val="en-US"/>
        </w:rPr>
        <w:t xml:space="preserve"> it also confirms, that the import volumes from Lithuania is less than negligible criteria.</w:t>
      </w:r>
    </w:p>
    <w:p w14:paraId="4B3616B6" w14:textId="55ADFB46" w:rsidR="00F72C68" w:rsidRPr="002B5436"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As the data used in PAD from interested parties is, at the time of calculation (October 2024), unverified [48], the Company disagrees with the calculations in PAD and preliminary conclusions, as they are incorrect, based on assumptions and unverified information, rather than on documents and specific information that was provided for the investigation.</w:t>
      </w:r>
    </w:p>
    <w:p w14:paraId="751210FE" w14:textId="7C6429DF" w:rsidR="00F72C68" w:rsidRPr="002B5436" w:rsidRDefault="00F72C68" w:rsidP="00042FC6">
      <w:pPr>
        <w:pStyle w:val="Sraopastraipa"/>
        <w:numPr>
          <w:ilvl w:val="0"/>
          <w:numId w:val="5"/>
        </w:numPr>
        <w:spacing w:before="120" w:after="120" w:line="240" w:lineRule="auto"/>
        <w:ind w:left="1134"/>
        <w:contextualSpacing w:val="0"/>
        <w:rPr>
          <w:rFonts w:ascii="Arial" w:hAnsi="Arial" w:cs="Arial"/>
          <w:b/>
          <w:bCs/>
          <w:lang w:val="en-US"/>
        </w:rPr>
      </w:pPr>
      <w:r w:rsidRPr="002B5436">
        <w:rPr>
          <w:rFonts w:ascii="Arial" w:hAnsi="Arial" w:cs="Arial"/>
          <w:b/>
          <w:bCs/>
          <w:lang w:val="en-US"/>
        </w:rPr>
        <w:t xml:space="preserve">Lithuanian and UAE imports should be de-cumulated for the purpose of the injury analysis. </w:t>
      </w:r>
    </w:p>
    <w:p w14:paraId="5F95503D" w14:textId="77777777" w:rsidR="002B5436" w:rsidRDefault="00B46F8C" w:rsidP="00042FC6">
      <w:pPr>
        <w:pStyle w:val="Default"/>
        <w:numPr>
          <w:ilvl w:val="0"/>
          <w:numId w:val="6"/>
        </w:numPr>
        <w:spacing w:before="120" w:after="120"/>
        <w:ind w:left="426"/>
        <w:jc w:val="both"/>
        <w:rPr>
          <w:sz w:val="22"/>
          <w:szCs w:val="22"/>
          <w:lang w:val="en-US"/>
        </w:rPr>
      </w:pPr>
      <w:r>
        <w:rPr>
          <w:sz w:val="22"/>
          <w:szCs w:val="22"/>
          <w:lang w:val="en-US"/>
        </w:rPr>
        <w:t>Al</w:t>
      </w:r>
      <w:r w:rsidR="00F72C68" w:rsidRPr="00AE2D37">
        <w:rPr>
          <w:sz w:val="22"/>
          <w:szCs w:val="22"/>
          <w:lang w:val="en-US"/>
        </w:rPr>
        <w:t>though there are links between producers and exporters of the goods concerned in Lithuania and the UAE (</w:t>
      </w:r>
      <w:r w:rsidR="00F72C68" w:rsidRPr="00B46F8C">
        <w:rPr>
          <w:sz w:val="22"/>
          <w:szCs w:val="22"/>
          <w:lang w:val="en-US"/>
        </w:rPr>
        <w:t>the same the UBO</w:t>
      </w:r>
      <w:r w:rsidR="00F72C68" w:rsidRPr="00AE2D37">
        <w:rPr>
          <w:sz w:val="22"/>
          <w:szCs w:val="22"/>
          <w:lang w:val="en-US"/>
        </w:rPr>
        <w:t>),</w:t>
      </w:r>
      <w:r>
        <w:rPr>
          <w:sz w:val="22"/>
          <w:szCs w:val="22"/>
          <w:lang w:val="en-US"/>
        </w:rPr>
        <w:t xml:space="preserve"> </w:t>
      </w:r>
      <w:r w:rsidR="00F72C68" w:rsidRPr="00AE2D37">
        <w:rPr>
          <w:sz w:val="22"/>
          <w:szCs w:val="22"/>
          <w:lang w:val="en-US"/>
        </w:rPr>
        <w:t>they are not the same company.</w:t>
      </w:r>
    </w:p>
    <w:p w14:paraId="7E5B56F6" w14:textId="77777777" w:rsidR="002B5436" w:rsidRDefault="00F72C68" w:rsidP="00042FC6">
      <w:pPr>
        <w:pStyle w:val="Default"/>
        <w:numPr>
          <w:ilvl w:val="0"/>
          <w:numId w:val="6"/>
        </w:numPr>
        <w:spacing w:before="120" w:after="120"/>
        <w:ind w:left="426"/>
        <w:jc w:val="both"/>
        <w:rPr>
          <w:sz w:val="22"/>
          <w:szCs w:val="22"/>
          <w:lang w:val="en-US"/>
        </w:rPr>
      </w:pPr>
      <w:r w:rsidRPr="002B5436">
        <w:rPr>
          <w:sz w:val="22"/>
          <w:szCs w:val="22"/>
          <w:lang w:val="en-US"/>
        </w:rPr>
        <w:t>UAB SCT Lubricants and exporters from UAE are completely separate legal entities and economic operators. They are independently operating separate factories with independent structures and infrastructure. These companies do not trade each other's products and do not import each other's goods into the UK. The factories operate independently in their own countries and do not share any resources with each other.</w:t>
      </w:r>
    </w:p>
    <w:p w14:paraId="1D64F850" w14:textId="6E86DC82" w:rsidR="002B5436" w:rsidRDefault="00F72C68" w:rsidP="00042FC6">
      <w:pPr>
        <w:pStyle w:val="Default"/>
        <w:numPr>
          <w:ilvl w:val="0"/>
          <w:numId w:val="6"/>
        </w:numPr>
        <w:spacing w:before="120" w:after="120"/>
        <w:ind w:left="426"/>
        <w:jc w:val="both"/>
        <w:rPr>
          <w:sz w:val="22"/>
          <w:szCs w:val="22"/>
          <w:lang w:val="en-US"/>
        </w:rPr>
      </w:pPr>
      <w:r w:rsidRPr="002B5436">
        <w:rPr>
          <w:sz w:val="22"/>
          <w:szCs w:val="22"/>
          <w:lang w:val="en-US"/>
        </w:rPr>
        <w:t xml:space="preserve">While indicating more than </w:t>
      </w:r>
      <w:proofErr w:type="spellStart"/>
      <w:r w:rsidRPr="002B5436">
        <w:rPr>
          <w:sz w:val="22"/>
          <w:szCs w:val="22"/>
          <w:lang w:val="en-US"/>
        </w:rPr>
        <w:t>neglible</w:t>
      </w:r>
      <w:proofErr w:type="spellEnd"/>
      <w:r w:rsidRPr="002B5436">
        <w:rPr>
          <w:sz w:val="22"/>
          <w:szCs w:val="22"/>
          <w:lang w:val="en-US"/>
        </w:rPr>
        <w:t xml:space="preserve"> criteria, TRA itself points out foreign country or territory, but not links between different legal entities through shareholders or UBOs.</w:t>
      </w:r>
    </w:p>
    <w:p w14:paraId="22E135C6" w14:textId="2B7E0A7C" w:rsidR="00F72C68" w:rsidRPr="002B5436" w:rsidRDefault="00F72C68" w:rsidP="00042FC6">
      <w:pPr>
        <w:pStyle w:val="Default"/>
        <w:numPr>
          <w:ilvl w:val="0"/>
          <w:numId w:val="6"/>
        </w:numPr>
        <w:spacing w:before="120" w:after="120"/>
        <w:ind w:left="426"/>
        <w:jc w:val="both"/>
        <w:rPr>
          <w:sz w:val="22"/>
          <w:szCs w:val="22"/>
          <w:lang w:val="en-US"/>
        </w:rPr>
      </w:pPr>
      <w:r w:rsidRPr="002B5436">
        <w:rPr>
          <w:sz w:val="22"/>
          <w:szCs w:val="22"/>
          <w:lang w:val="en-US"/>
        </w:rPr>
        <w:t>Furthermore, UAE import volumes in the P</w:t>
      </w:r>
      <w:r w:rsidR="009F6764" w:rsidRPr="002B5436">
        <w:rPr>
          <w:sz w:val="22"/>
          <w:szCs w:val="22"/>
          <w:lang w:val="en-US"/>
        </w:rPr>
        <w:t>O</w:t>
      </w:r>
      <w:r w:rsidRPr="002B5436">
        <w:rPr>
          <w:sz w:val="22"/>
          <w:szCs w:val="22"/>
          <w:lang w:val="en-US"/>
        </w:rPr>
        <w:t xml:space="preserve">I are indeed higher than Lithuanian import volumes. </w:t>
      </w:r>
    </w:p>
    <w:p w14:paraId="34D8B636" w14:textId="77777777" w:rsidR="00F72C68" w:rsidRPr="00AE2D37" w:rsidRDefault="00F72C68" w:rsidP="00042FC6">
      <w:pPr>
        <w:pStyle w:val="Sraopastraipa"/>
        <w:numPr>
          <w:ilvl w:val="0"/>
          <w:numId w:val="5"/>
        </w:numPr>
        <w:spacing w:before="120" w:after="120" w:line="240" w:lineRule="auto"/>
        <w:contextualSpacing w:val="0"/>
        <w:rPr>
          <w:rFonts w:ascii="Arial" w:eastAsia="Times New Roman" w:hAnsi="Arial" w:cs="Arial"/>
          <w:kern w:val="0"/>
          <w:lang w:val="en-US" w:eastAsia="lt-LT"/>
          <w14:ligatures w14:val="none"/>
        </w:rPr>
      </w:pPr>
      <w:r w:rsidRPr="00AE2D37">
        <w:rPr>
          <w:rFonts w:ascii="Arial" w:eastAsia="Times New Roman" w:hAnsi="Arial" w:cs="Arial"/>
          <w:b/>
          <w:bCs/>
          <w:kern w:val="0"/>
          <w:lang w:val="en-US" w:eastAsia="lt-LT"/>
          <w14:ligatures w14:val="none"/>
        </w:rPr>
        <w:t>The base oil price and its fluctuation have been determined incorrectly</w:t>
      </w:r>
      <w:r w:rsidRPr="00AE2D37">
        <w:rPr>
          <w:rFonts w:ascii="Arial" w:eastAsia="Times New Roman" w:hAnsi="Arial" w:cs="Arial"/>
          <w:kern w:val="0"/>
          <w:lang w:val="en-US" w:eastAsia="lt-LT"/>
          <w14:ligatures w14:val="none"/>
        </w:rPr>
        <w:t>.</w:t>
      </w:r>
    </w:p>
    <w:p w14:paraId="1DD9DAF4" w14:textId="77777777" w:rsidR="002B5436"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 xml:space="preserve">TRA stated that base oil prices are dynamic across the industry as both customers and suppliers use ICIS as a basis for cost indication. TRA relied </w:t>
      </w:r>
      <w:r w:rsidR="00764AD3" w:rsidRPr="002B5436">
        <w:rPr>
          <w:rFonts w:ascii="Arial" w:hAnsi="Arial" w:cs="Arial"/>
          <w:lang w:val="en-US"/>
        </w:rPr>
        <w:t>exclusively</w:t>
      </w:r>
      <w:r w:rsidR="00B122DA" w:rsidRPr="002B5436">
        <w:rPr>
          <w:rFonts w:ascii="Arial" w:hAnsi="Arial" w:cs="Arial"/>
          <w:lang w:val="en-US"/>
        </w:rPr>
        <w:t xml:space="preserve"> just </w:t>
      </w:r>
      <w:r w:rsidRPr="002B5436">
        <w:rPr>
          <w:rFonts w:ascii="Arial" w:hAnsi="Arial" w:cs="Arial"/>
          <w:lang w:val="en-US"/>
        </w:rPr>
        <w:t xml:space="preserve">on the applicant's Aztec statement, that base oils are procured on the open market with a price indicator (ICIS - Independent Commodity Intelligence Services). Additives are also procured on the open market mainly through distribution companies [72]. </w:t>
      </w:r>
    </w:p>
    <w:p w14:paraId="3BFFEFBC" w14:textId="77777777" w:rsidR="002B5436"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 xml:space="preserve">However, it's important to note that </w:t>
      </w:r>
      <w:hyperlink r:id="rId9" w:history="1">
        <w:r w:rsidRPr="002B5436">
          <w:rPr>
            <w:rStyle w:val="Hipersaitas"/>
            <w:rFonts w:ascii="Arial" w:hAnsi="Arial" w:cs="Arial"/>
            <w:color w:val="auto"/>
            <w:u w:val="none"/>
            <w:lang w:val="en-US"/>
          </w:rPr>
          <w:t>ARGUS</w:t>
        </w:r>
      </w:hyperlink>
      <w:r w:rsidRPr="002B5436">
        <w:rPr>
          <w:rFonts w:ascii="Arial" w:hAnsi="Arial" w:cs="Arial"/>
          <w:lang w:val="en-US"/>
        </w:rPr>
        <w:t xml:space="preserve"> is another major provider of base oil price data. Both ICIS and ARGUS are independent, competing agencies that publish weekly base oil spot prices across global markets – the US, Europe, and Asia.</w:t>
      </w:r>
    </w:p>
    <w:p w14:paraId="2FD1AB16" w14:textId="77777777" w:rsidR="002B5436"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 xml:space="preserve">Sellers and buyers of base oils can choose which price source to follow – ICIS or ARGUS – when negotiating deals, depending on which one better reflects their market position or offers more favorable pricing. Usually, when a buyer chooses to work on a term contract basis (agreeing to buy a set volume over some period), the price </w:t>
      </w:r>
      <w:r w:rsidR="00B122DA" w:rsidRPr="002B5436">
        <w:rPr>
          <w:rFonts w:ascii="Arial" w:hAnsi="Arial" w:cs="Arial"/>
          <w:lang w:val="en-US"/>
        </w:rPr>
        <w:t>might be</w:t>
      </w:r>
      <w:r w:rsidRPr="002B5436">
        <w:rPr>
          <w:rFonts w:ascii="Arial" w:hAnsi="Arial" w:cs="Arial"/>
          <w:lang w:val="en-US"/>
        </w:rPr>
        <w:t xml:space="preserve"> linked to ICIS prices using a formula agreed by </w:t>
      </w:r>
      <w:r w:rsidRPr="002B5436">
        <w:rPr>
          <w:rFonts w:ascii="Arial" w:hAnsi="Arial" w:cs="Arial"/>
          <w:lang w:val="en-US"/>
        </w:rPr>
        <w:lastRenderedPageBreak/>
        <w:t>both the buyer and the seller. Pricing formula varies from contract to contract, deal to deal – can be the ICIS Europe indicated low or average or high price plus premium or minus discount, the formula can be based on the last couple weeks indicated prices of ICIS plus/minus premium/discount, etc</w:t>
      </w:r>
      <w:r w:rsidR="009A3E94" w:rsidRPr="002B5436">
        <w:rPr>
          <w:rFonts w:ascii="Arial" w:hAnsi="Arial" w:cs="Arial"/>
          <w:lang w:val="en-US"/>
        </w:rPr>
        <w:t>.</w:t>
      </w:r>
      <w:r w:rsidRPr="002B5436">
        <w:rPr>
          <w:rFonts w:ascii="Arial" w:hAnsi="Arial" w:cs="Arial"/>
          <w:lang w:val="en-US"/>
        </w:rPr>
        <w:t xml:space="preserve"> – the agreement of the price formula depends on the buyer/seller negotiation and their final agreement. However, when buying on spot market, the buyer and seller are free to choose which pricing reference to use – ICIS or ARGUS, depending on which suits them better and then fix the price. Spot market purchases allow to thoroughly compare offers/prices across different markets/regions and choose the most competitive price available – which is the case of the Company. </w:t>
      </w:r>
    </w:p>
    <w:p w14:paraId="212C0AA5" w14:textId="77777777" w:rsidR="00BD1068" w:rsidRDefault="00F96C86" w:rsidP="00BD1068">
      <w:pPr>
        <w:pStyle w:val="Sraopastraipa"/>
        <w:numPr>
          <w:ilvl w:val="0"/>
          <w:numId w:val="6"/>
        </w:numPr>
        <w:spacing w:before="120" w:after="120" w:line="240" w:lineRule="auto"/>
        <w:ind w:left="426"/>
        <w:contextualSpacing w:val="0"/>
        <w:jc w:val="both"/>
        <w:rPr>
          <w:rFonts w:ascii="Arial" w:hAnsi="Arial" w:cs="Arial"/>
          <w:lang w:val="en-US"/>
        </w:rPr>
      </w:pPr>
      <w:r w:rsidRPr="002B5436">
        <w:rPr>
          <w:rFonts w:ascii="Arial" w:hAnsi="Arial" w:cs="Arial"/>
          <w:lang w:val="en-US"/>
        </w:rPr>
        <w:t>A comparison of ARGUS data shows that the prices of the same type of base oil in the US and European markets during the same period differ significantly.</w:t>
      </w:r>
    </w:p>
    <w:p w14:paraId="5946B803" w14:textId="6BBFAA99" w:rsidR="00251DAD" w:rsidRPr="00BD1068" w:rsidRDefault="00BD1068" w:rsidP="00BD1068">
      <w:pPr>
        <w:pStyle w:val="Sraopastraipa"/>
        <w:numPr>
          <w:ilvl w:val="0"/>
          <w:numId w:val="6"/>
        </w:numPr>
        <w:spacing w:before="120" w:after="120" w:line="240" w:lineRule="auto"/>
        <w:ind w:left="426"/>
        <w:contextualSpacing w:val="0"/>
        <w:jc w:val="both"/>
        <w:rPr>
          <w:rFonts w:ascii="Arial" w:hAnsi="Arial" w:cs="Arial"/>
          <w:noProof/>
          <w:lang w:val="en-US"/>
        </w:rPr>
      </w:pPr>
      <w:r w:rsidRPr="00BD1068">
        <w:rPr>
          <w:rFonts w:ascii="Arial" w:eastAsia="Times New Roman" w:hAnsi="Arial" w:cs="Arial"/>
          <w:noProof/>
          <w:kern w:val="0"/>
          <w:lang w:val="en-US" w:eastAsia="lt-LT"/>
          <w14:ligatures w14:val="none"/>
        </w:rPr>
        <w:t>There are significant differences in the price of the same product (base oil), which constitutes 75-90% of the price of raw materials used in the manufacture of engine oils and as much as 95-99% of the price of raw materials for hydraulic fluids.</w:t>
      </w:r>
    </w:p>
    <w:p w14:paraId="42E0345E" w14:textId="531A9610" w:rsidR="00251DAD"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51DAD">
        <w:rPr>
          <w:rFonts w:ascii="Arial" w:hAnsi="Arial" w:cs="Arial"/>
          <w:lang w:val="en-US"/>
        </w:rPr>
        <w:t>Buying on spot market and being able to accept bigger volumes of base oils (</w:t>
      </w:r>
      <w:r w:rsidRPr="00251DAD">
        <w:rPr>
          <w:rFonts w:ascii="Arial" w:eastAsia="Times New Roman" w:hAnsi="Arial" w:cs="Arial"/>
          <w:lang w:val="en-US" w:eastAsia="en-GB"/>
        </w:rPr>
        <w:t>purchases raw materials in bulk as the Company has the possibility to store them)</w:t>
      </w:r>
      <w:r w:rsidRPr="00251DAD">
        <w:rPr>
          <w:rFonts w:ascii="Arial" w:hAnsi="Arial" w:cs="Arial"/>
          <w:lang w:val="en-US"/>
        </w:rPr>
        <w:t xml:space="preserve">, gives to the Company the advantage of having competitive raw material prices. Unlike the competitor who </w:t>
      </w:r>
      <w:r w:rsidR="00BD1068">
        <w:rPr>
          <w:rFonts w:ascii="Arial" w:hAnsi="Arial" w:cs="Arial"/>
          <w:lang w:val="en-US"/>
        </w:rPr>
        <w:t xml:space="preserve">maybe </w:t>
      </w:r>
      <w:r w:rsidRPr="00251DAD">
        <w:rPr>
          <w:rFonts w:ascii="Arial" w:hAnsi="Arial" w:cs="Arial"/>
          <w:lang w:val="en-US"/>
        </w:rPr>
        <w:t>buys on term contract based on ICIS link price quotation. As can be understood, no consideration was given to the fact that Aztec</w:t>
      </w:r>
      <w:r w:rsidR="004904FF" w:rsidRPr="00251DAD">
        <w:rPr>
          <w:rFonts w:ascii="Arial" w:hAnsi="Arial" w:cs="Arial"/>
          <w:lang w:val="en-US"/>
        </w:rPr>
        <w:t xml:space="preserve"> maybe</w:t>
      </w:r>
      <w:r w:rsidRPr="00251DAD">
        <w:rPr>
          <w:rFonts w:ascii="Arial" w:hAnsi="Arial" w:cs="Arial"/>
          <w:lang w:val="en-US"/>
        </w:rPr>
        <w:t xml:space="preserve"> purchases its base oil through brokers, whereas the Company purchases it directly from the manufacturer</w:t>
      </w:r>
      <w:r w:rsidR="00754975" w:rsidRPr="00251DAD">
        <w:rPr>
          <w:rFonts w:ascii="Arial" w:hAnsi="Arial" w:cs="Arial"/>
          <w:lang w:val="en-US"/>
        </w:rPr>
        <w:t xml:space="preserve"> and </w:t>
      </w:r>
      <w:r w:rsidR="00754975" w:rsidRPr="00251DAD">
        <w:rPr>
          <w:rFonts w:ascii="Arial" w:hAnsi="Arial" w:cs="Arial"/>
          <w:noProof/>
          <w:lang w:val="en-US"/>
        </w:rPr>
        <w:t>in very large quantities</w:t>
      </w:r>
      <w:r w:rsidRPr="00251DAD">
        <w:rPr>
          <w:rFonts w:ascii="Arial" w:hAnsi="Arial" w:cs="Arial"/>
          <w:lang w:val="en-US"/>
        </w:rPr>
        <w:t xml:space="preserve">, which undoubtedly results in lower raw material </w:t>
      </w:r>
      <w:r w:rsidR="00C134A1">
        <w:rPr>
          <w:rFonts w:ascii="Arial" w:hAnsi="Arial" w:cs="Arial"/>
          <w:lang w:val="en-US"/>
        </w:rPr>
        <w:t xml:space="preserve">purchase </w:t>
      </w:r>
      <w:r w:rsidRPr="00251DAD">
        <w:rPr>
          <w:rFonts w:ascii="Arial" w:hAnsi="Arial" w:cs="Arial"/>
          <w:lang w:val="en-US"/>
        </w:rPr>
        <w:t>costs.</w:t>
      </w:r>
    </w:p>
    <w:p w14:paraId="42D82B65" w14:textId="65FF6A9D" w:rsidR="00F72C68" w:rsidRPr="00FA4608" w:rsidRDefault="00F72C68" w:rsidP="006D4C78">
      <w:pPr>
        <w:pStyle w:val="Sraopastraipa"/>
        <w:numPr>
          <w:ilvl w:val="0"/>
          <w:numId w:val="6"/>
        </w:numPr>
        <w:spacing w:before="120" w:after="120" w:line="240" w:lineRule="auto"/>
        <w:ind w:left="426"/>
        <w:contextualSpacing w:val="0"/>
        <w:jc w:val="both"/>
        <w:rPr>
          <w:rFonts w:ascii="Arial" w:hAnsi="Arial" w:cs="Arial"/>
        </w:rPr>
      </w:pPr>
      <w:r w:rsidRPr="00251DAD">
        <w:rPr>
          <w:rFonts w:ascii="Arial" w:hAnsi="Arial" w:cs="Arial"/>
          <w:lang w:val="en-US"/>
        </w:rPr>
        <w:t xml:space="preserve">Meanwhile it seems like Aztec isn't really trying to find better </w:t>
      </w:r>
      <w:r w:rsidR="00C134A1">
        <w:rPr>
          <w:rFonts w:ascii="Arial" w:hAnsi="Arial" w:cs="Arial"/>
          <w:lang w:val="en-US"/>
        </w:rPr>
        <w:t>a</w:t>
      </w:r>
      <w:r w:rsidR="00783495">
        <w:rPr>
          <w:rFonts w:ascii="Arial" w:hAnsi="Arial" w:cs="Arial"/>
          <w:lang w:val="en-US"/>
        </w:rPr>
        <w:t xml:space="preserve">nd </w:t>
      </w:r>
      <w:r w:rsidR="00783495" w:rsidRPr="006D4C78">
        <w:rPr>
          <w:rFonts w:ascii="Arial" w:hAnsi="Arial" w:cs="Arial"/>
          <w:lang w:val="en-US"/>
        </w:rPr>
        <w:t xml:space="preserve">more </w:t>
      </w:r>
      <w:proofErr w:type="spellStart"/>
      <w:r w:rsidR="00783495" w:rsidRPr="006D4C78">
        <w:rPr>
          <w:rFonts w:ascii="Arial" w:hAnsi="Arial" w:cs="Arial"/>
          <w:lang w:val="en-US"/>
        </w:rPr>
        <w:t>favourable</w:t>
      </w:r>
      <w:proofErr w:type="spellEnd"/>
      <w:r w:rsidR="00783495" w:rsidRPr="006D4C78">
        <w:rPr>
          <w:rFonts w:ascii="Arial" w:hAnsi="Arial" w:cs="Arial"/>
          <w:lang w:val="en-US"/>
        </w:rPr>
        <w:t xml:space="preserve"> </w:t>
      </w:r>
      <w:r w:rsidRPr="006D4C78">
        <w:rPr>
          <w:rFonts w:ascii="Arial" w:hAnsi="Arial" w:cs="Arial"/>
          <w:lang w:val="en-US"/>
        </w:rPr>
        <w:t>deals for raw materials</w:t>
      </w:r>
      <w:r w:rsidR="0030701C" w:rsidRPr="006D4C78">
        <w:rPr>
          <w:rFonts w:ascii="Arial" w:hAnsi="Arial" w:cs="Arial"/>
          <w:lang w:val="en-US"/>
        </w:rPr>
        <w:t>, or otherwise optimize manufacturing costs and participate in fair competition</w:t>
      </w:r>
      <w:r w:rsidRPr="00FA4608">
        <w:rPr>
          <w:rFonts w:ascii="Arial" w:hAnsi="Arial" w:cs="Arial"/>
          <w:lang w:val="en-US"/>
        </w:rPr>
        <w:t xml:space="preserve">. </w:t>
      </w:r>
      <w:r w:rsidR="00754975" w:rsidRPr="00FA4608">
        <w:rPr>
          <w:rFonts w:ascii="Arial" w:hAnsi="Arial" w:cs="Arial"/>
          <w:lang w:val="en-US"/>
        </w:rPr>
        <w:t xml:space="preserve">Only the </w:t>
      </w:r>
      <w:r w:rsidRPr="00FA4608">
        <w:rPr>
          <w:rFonts w:ascii="Arial" w:hAnsi="Arial" w:cs="Arial"/>
          <w:lang w:val="en-US"/>
        </w:rPr>
        <w:t>Aztec is basically trying to protect its bad business decisions by saying there's dumping going on.</w:t>
      </w:r>
    </w:p>
    <w:p w14:paraId="7A058D11" w14:textId="77777777" w:rsidR="00F72C68" w:rsidRPr="00AE2D37" w:rsidRDefault="00F72C68" w:rsidP="006D4C78">
      <w:pPr>
        <w:pStyle w:val="Sraopastraipa"/>
        <w:numPr>
          <w:ilvl w:val="0"/>
          <w:numId w:val="5"/>
        </w:numPr>
        <w:spacing w:before="120" w:after="120" w:line="240" w:lineRule="auto"/>
        <w:contextualSpacing w:val="0"/>
        <w:rPr>
          <w:rFonts w:ascii="Arial" w:hAnsi="Arial" w:cs="Arial"/>
          <w:lang w:val="en-US"/>
        </w:rPr>
      </w:pPr>
      <w:r w:rsidRPr="00AE2D37">
        <w:rPr>
          <w:rFonts w:ascii="Arial" w:hAnsi="Arial" w:cs="Arial"/>
          <w:b/>
          <w:bCs/>
          <w:lang w:val="en-US"/>
        </w:rPr>
        <w:t>Price depression did not occur</w:t>
      </w:r>
      <w:r w:rsidRPr="00AE2D37">
        <w:rPr>
          <w:rFonts w:ascii="Arial" w:hAnsi="Arial" w:cs="Arial"/>
          <w:lang w:val="en-US"/>
        </w:rPr>
        <w:t>.</w:t>
      </w:r>
    </w:p>
    <w:p w14:paraId="1511C8A8" w14:textId="77777777" w:rsidR="00251DAD"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51DAD">
        <w:rPr>
          <w:rFonts w:ascii="Arial" w:hAnsi="Arial" w:cs="Arial"/>
          <w:lang w:val="en-US"/>
        </w:rPr>
        <w:t xml:space="preserve">According TRA, price depression occurs when the UK industry is forced to reduce its prices to compete against lower priced dumped goods [156]. </w:t>
      </w:r>
    </w:p>
    <w:p w14:paraId="588D660B" w14:textId="77777777" w:rsidR="00251DAD"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51DAD">
        <w:rPr>
          <w:rFonts w:ascii="Arial" w:hAnsi="Arial" w:cs="Arial"/>
          <w:lang w:val="en-US"/>
        </w:rPr>
        <w:t xml:space="preserve">This decline in pricing aligns with the downward pressure on the base oil prices across the markets. </w:t>
      </w:r>
    </w:p>
    <w:p w14:paraId="79664B14" w14:textId="77777777" w:rsidR="0060478D"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251DAD">
        <w:rPr>
          <w:rFonts w:ascii="Arial" w:hAnsi="Arial" w:cs="Arial"/>
          <w:lang w:val="en-US"/>
        </w:rPr>
        <w:t xml:space="preserve">It is very important to emphasize that ICIS and ARGUS Base Oils prices are not the same. Recently, the ICIS Europe prices are often higher than ARGUS prices for the same base oil grade. </w:t>
      </w:r>
    </w:p>
    <w:p w14:paraId="7F10A4D2" w14:textId="77777777" w:rsidR="0060478D" w:rsidRDefault="00AB6EFB"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noProof/>
          <w:lang w:val="en-US"/>
        </w:rPr>
        <w:t>Both ICIS and A</w:t>
      </w:r>
      <w:r w:rsidR="00D14B45" w:rsidRPr="0060478D">
        <w:rPr>
          <w:rFonts w:ascii="Arial" w:hAnsi="Arial" w:cs="Arial"/>
          <w:noProof/>
          <w:lang w:val="en-US"/>
        </w:rPr>
        <w:t>RGUS</w:t>
      </w:r>
      <w:r w:rsidRPr="0060478D">
        <w:rPr>
          <w:rFonts w:ascii="Arial" w:hAnsi="Arial" w:cs="Arial"/>
          <w:noProof/>
          <w:lang w:val="en-US"/>
        </w:rPr>
        <w:t xml:space="preserve"> provide comprehensive base oil price data through their weekly subscription-based reports. Due to the commercial policies of these data providers and the public nature of this document (PAD), we are unable to reproduce their graphs or specific pricing figures here.</w:t>
      </w:r>
    </w:p>
    <w:p w14:paraId="0A88B036" w14:textId="5E785CF3" w:rsidR="0060478D" w:rsidRDefault="00AB6EFB"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noProof/>
          <w:lang w:val="en-US"/>
        </w:rPr>
        <w:t>However, given the Company's extensive experience and active involvement in base oil sales over the years, we have conducted our own market analysis and are pleased to share our insights. Industry professionals with access to both the ICIS and A</w:t>
      </w:r>
      <w:r w:rsidR="00D14B45" w:rsidRPr="0060478D">
        <w:rPr>
          <w:rFonts w:ascii="Arial" w:hAnsi="Arial" w:cs="Arial"/>
          <w:noProof/>
          <w:lang w:val="en-US"/>
        </w:rPr>
        <w:t>RGUS</w:t>
      </w:r>
      <w:r w:rsidRPr="0060478D">
        <w:rPr>
          <w:rFonts w:ascii="Arial" w:hAnsi="Arial" w:cs="Arial"/>
          <w:noProof/>
          <w:lang w:val="en-US"/>
        </w:rPr>
        <w:t xml:space="preserve"> reports will recognize a consistent trend: a general decline in base oil prices across Groups I, II, and III from 2022 through 2024. That is the same time period that Aztec Oil</w:t>
      </w:r>
      <w:r w:rsidR="00B90639">
        <w:rPr>
          <w:rFonts w:ascii="Arial" w:hAnsi="Arial" w:cs="Arial"/>
          <w:noProof/>
          <w:lang w:val="en-US"/>
        </w:rPr>
        <w:t>s</w:t>
      </w:r>
      <w:r w:rsidRPr="0060478D">
        <w:rPr>
          <w:rFonts w:ascii="Arial" w:hAnsi="Arial" w:cs="Arial"/>
          <w:noProof/>
          <w:lang w:val="en-US"/>
        </w:rPr>
        <w:t xml:space="preserve"> claims to have been forced to reduce their own prices to compete against lower priced dumped products. However, failed to mention that the whole base oils market trend was downward during that timeframe. </w:t>
      </w:r>
    </w:p>
    <w:p w14:paraId="2FDF386B" w14:textId="11CA427A" w:rsidR="0060478D" w:rsidRPr="00F131DF" w:rsidRDefault="00AB6EFB" w:rsidP="00F131DF">
      <w:pPr>
        <w:pStyle w:val="Sraopastraipa"/>
        <w:numPr>
          <w:ilvl w:val="0"/>
          <w:numId w:val="6"/>
        </w:numPr>
        <w:spacing w:before="120" w:after="120" w:line="240" w:lineRule="auto"/>
        <w:ind w:left="425" w:hanging="357"/>
        <w:contextualSpacing w:val="0"/>
        <w:jc w:val="both"/>
        <w:rPr>
          <w:rFonts w:ascii="Arial" w:hAnsi="Arial" w:cs="Arial"/>
          <w:noProof/>
        </w:rPr>
      </w:pPr>
      <w:r w:rsidRPr="0060478D">
        <w:rPr>
          <w:rFonts w:ascii="Arial" w:hAnsi="Arial" w:cs="Arial"/>
          <w:noProof/>
          <w:lang w:val="en-US"/>
        </w:rPr>
        <w:t>Moreover, based on our analysis based on the reports of the independent base oils price providers, we notice same base oil grades (</w:t>
      </w:r>
      <w:r w:rsidRPr="0060478D">
        <w:rPr>
          <w:rFonts w:ascii="Arial" w:hAnsi="Arial" w:cs="Arial"/>
          <w:i/>
          <w:iCs/>
          <w:noProof/>
          <w:lang w:val="en-US"/>
        </w:rPr>
        <w:t>e.g.</w:t>
      </w:r>
      <w:r w:rsidRPr="0060478D">
        <w:rPr>
          <w:rFonts w:ascii="Arial" w:hAnsi="Arial" w:cs="Arial"/>
          <w:noProof/>
          <w:lang w:val="en-US"/>
        </w:rPr>
        <w:t xml:space="preserve"> SN150, SN500, BS, 110N, 150N, 220N, 600N, 2 cSt, 4 cSt, 6 cSt, 8 cSt - to name a few grades) of the same base oil groups (Group 1, Group 2, Group 3) </w:t>
      </w:r>
      <w:r w:rsidR="00F131DF" w:rsidRPr="00F131DF">
        <w:rPr>
          <w:rFonts w:ascii="Arial" w:hAnsi="Arial" w:cs="Arial"/>
          <w:noProof/>
        </w:rPr>
        <w:t>during the period under review</w:t>
      </w:r>
      <w:r w:rsidR="00F131DF">
        <w:rPr>
          <w:rFonts w:ascii="Arial" w:hAnsi="Arial" w:cs="Arial"/>
          <w:noProof/>
        </w:rPr>
        <w:t xml:space="preserve"> </w:t>
      </w:r>
      <w:r w:rsidRPr="00F131DF">
        <w:rPr>
          <w:rFonts w:ascii="Arial" w:hAnsi="Arial" w:cs="Arial"/>
          <w:noProof/>
          <w:lang w:val="en-US"/>
        </w:rPr>
        <w:t xml:space="preserve">vary depending on the region where is it being sourced from. In recent years, due to various factors, European base oil prices tend to be higher than other regions, such as US or South Korea. Sometimes the difference between the prices can be as big as 100 if </w:t>
      </w:r>
      <w:r w:rsidRPr="00F131DF">
        <w:rPr>
          <w:rFonts w:ascii="Arial" w:hAnsi="Arial" w:cs="Arial"/>
          <w:noProof/>
          <w:lang w:val="en-US"/>
        </w:rPr>
        <w:lastRenderedPageBreak/>
        <w:t>compared in the same currency. The Company has the advantage of having access to sourcing the base oils on the spot market from the refiners directly and purchase big bulk loads from overseas thus having the economical advantage in the pricing. </w:t>
      </w:r>
    </w:p>
    <w:p w14:paraId="4A7BF3B2" w14:textId="77777777" w:rsidR="0060478D" w:rsidRDefault="00AB6EFB" w:rsidP="00F131DF">
      <w:pPr>
        <w:pStyle w:val="Sraopastraipa"/>
        <w:numPr>
          <w:ilvl w:val="0"/>
          <w:numId w:val="6"/>
        </w:numPr>
        <w:spacing w:before="120" w:after="120" w:line="240" w:lineRule="auto"/>
        <w:ind w:left="425" w:hanging="357"/>
        <w:contextualSpacing w:val="0"/>
        <w:jc w:val="both"/>
        <w:rPr>
          <w:rFonts w:ascii="Arial" w:hAnsi="Arial" w:cs="Arial"/>
          <w:lang w:val="en-US"/>
        </w:rPr>
      </w:pPr>
      <w:r w:rsidRPr="0060478D">
        <w:rPr>
          <w:rFonts w:ascii="Arial" w:hAnsi="Arial" w:cs="Arial"/>
          <w:noProof/>
          <w:lang w:val="en-US"/>
        </w:rPr>
        <w:t>Our analysis also shows that while both independent price report providers report the base oils market pricing situation, there’s price discrepancy between the two - if to compare the same grade of the same group base oils it will be noticable that among the reports prices do differ. If one, such as Aztec Oils, purchases their base oils on the term contracts, they do not get to compare the prices across the markets and between the reports to base their purchasing decisions on. </w:t>
      </w:r>
    </w:p>
    <w:p w14:paraId="7E902582" w14:textId="5C727B4B" w:rsidR="0060478D" w:rsidRDefault="00AB6EFB"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noProof/>
          <w:lang w:val="en-US"/>
        </w:rPr>
        <w:t>Also, it is worth noting that while both of the independent price rating reporters published prices help give a general idea of the market, it‘s vital to note that they are only price indications – not final selling prices – fixed prices</w:t>
      </w:r>
      <w:r w:rsidRPr="0060478D">
        <w:rPr>
          <w:rFonts w:ascii="Arial" w:hAnsi="Arial" w:cs="Arial"/>
        </w:rPr>
        <w:t xml:space="preserve">. </w:t>
      </w:r>
      <w:r w:rsidR="00F72C68" w:rsidRPr="0060478D">
        <w:rPr>
          <w:rFonts w:ascii="Arial" w:hAnsi="Arial" w:cs="Arial"/>
          <w:lang w:val="en-US"/>
        </w:rPr>
        <w:t>The actual price in a deal depends on many factors, such as the volume of product</w:t>
      </w:r>
      <w:r w:rsidR="00BD2574" w:rsidRPr="0060478D">
        <w:rPr>
          <w:rFonts w:ascii="Arial" w:hAnsi="Arial" w:cs="Arial"/>
          <w:lang w:val="en-US"/>
        </w:rPr>
        <w:t xml:space="preserve"> purchased</w:t>
      </w:r>
      <w:r w:rsidR="00F72C68" w:rsidRPr="0060478D">
        <w:rPr>
          <w:rFonts w:ascii="Arial" w:hAnsi="Arial" w:cs="Arial"/>
          <w:lang w:val="en-US"/>
        </w:rPr>
        <w:t xml:space="preserve">, </w:t>
      </w:r>
      <w:r w:rsidR="00E03B42">
        <w:rPr>
          <w:rFonts w:ascii="Arial" w:hAnsi="Arial" w:cs="Arial"/>
          <w:lang w:val="en-US"/>
        </w:rPr>
        <w:t xml:space="preserve">future </w:t>
      </w:r>
      <w:r w:rsidR="00F72C68" w:rsidRPr="0060478D">
        <w:rPr>
          <w:rFonts w:ascii="Arial" w:hAnsi="Arial" w:cs="Arial"/>
          <w:lang w:val="en-US"/>
        </w:rPr>
        <w:t>market trends, geopolitical events affecting the oils and base oils markets, refinery maintenances (turnarounds), year-end sell-offs (usually in the US), the business relationships between the buyer and seller and other factors.</w:t>
      </w:r>
    </w:p>
    <w:p w14:paraId="260CF4D9" w14:textId="1E7EB91C" w:rsidR="00F72C68" w:rsidRPr="0060478D"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lang w:val="en-US"/>
        </w:rPr>
        <w:t>Therefore, TRA's conclusion that the prices of the products under investigation fell due to alleged dumping is unfounded.</w:t>
      </w:r>
    </w:p>
    <w:p w14:paraId="5A19FBA0" w14:textId="77777777" w:rsidR="00F72C68" w:rsidRPr="00AE2D37" w:rsidRDefault="00F72C68" w:rsidP="00042FC6">
      <w:pPr>
        <w:pStyle w:val="Sraopastraipa"/>
        <w:numPr>
          <w:ilvl w:val="0"/>
          <w:numId w:val="5"/>
        </w:numPr>
        <w:spacing w:before="120" w:after="120" w:line="240" w:lineRule="auto"/>
        <w:contextualSpacing w:val="0"/>
        <w:rPr>
          <w:rFonts w:ascii="Arial" w:hAnsi="Arial" w:cs="Arial"/>
          <w:lang w:val="en-US"/>
        </w:rPr>
      </w:pPr>
      <w:r w:rsidRPr="00AE2D37">
        <w:rPr>
          <w:rFonts w:ascii="Arial" w:hAnsi="Arial" w:cs="Arial"/>
          <w:b/>
          <w:bCs/>
          <w:lang w:val="en-US"/>
        </w:rPr>
        <w:t>UK industry did not suffer any actual decline</w:t>
      </w:r>
      <w:r w:rsidRPr="00AE2D37">
        <w:rPr>
          <w:rFonts w:ascii="Arial" w:hAnsi="Arial" w:cs="Arial"/>
          <w:lang w:val="en-US"/>
        </w:rPr>
        <w:t>.</w:t>
      </w:r>
    </w:p>
    <w:p w14:paraId="16F793A8" w14:textId="77777777" w:rsidR="0060478D" w:rsidRDefault="00F72C68"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lang w:val="en-US"/>
        </w:rPr>
        <w:t xml:space="preserve">The Company do not agree with TRA conclusion, that ,,UK industry is suffering from injury, in particular in the form of an actual decline in sales, an actual decline in profits, an actual material decline in output, an actual material decline in market share, an actual material decline in productivity, an actual decline in return on investments, an actual material decline of </w:t>
      </w:r>
      <w:proofErr w:type="spellStart"/>
      <w:r w:rsidRPr="0060478D">
        <w:rPr>
          <w:rFonts w:ascii="Arial" w:hAnsi="Arial" w:cs="Arial"/>
          <w:lang w:val="en-US"/>
        </w:rPr>
        <w:t>utilisation</w:t>
      </w:r>
      <w:proofErr w:type="spellEnd"/>
      <w:r w:rsidRPr="0060478D">
        <w:rPr>
          <w:rFonts w:ascii="Arial" w:hAnsi="Arial" w:cs="Arial"/>
          <w:lang w:val="en-US"/>
        </w:rPr>
        <w:t xml:space="preserve"> of capacity, an actual material negative effect on employment, an material negative effect on wages and an actual material negative effect on growth [195]. </w:t>
      </w:r>
    </w:p>
    <w:p w14:paraId="105DD73A" w14:textId="453144E4" w:rsidR="0060478D" w:rsidRPr="00145228" w:rsidRDefault="00EA1EE4" w:rsidP="00145228">
      <w:pPr>
        <w:pStyle w:val="Sraopastraipa"/>
        <w:numPr>
          <w:ilvl w:val="0"/>
          <w:numId w:val="6"/>
        </w:numPr>
        <w:spacing w:before="120" w:after="120" w:line="240" w:lineRule="auto"/>
        <w:ind w:left="425" w:hanging="357"/>
        <w:contextualSpacing w:val="0"/>
        <w:jc w:val="both"/>
        <w:rPr>
          <w:rFonts w:ascii="Arial" w:hAnsi="Arial" w:cs="Arial"/>
          <w:lang w:val="en-US"/>
        </w:rPr>
      </w:pPr>
      <w:r w:rsidRPr="00145228">
        <w:rPr>
          <w:rFonts w:ascii="Arial" w:hAnsi="Arial" w:cs="Arial"/>
          <w:lang w:val="en-US"/>
        </w:rPr>
        <w:t>The investigation identified only one company that had unsuccessful trading, namely the applicant Aztec. As can be seen from the PAD charts, all of the business performance indicators of the above-mentioned producer Paterson that participated in the investigation improved.</w:t>
      </w:r>
    </w:p>
    <w:p w14:paraId="26FEDAF4" w14:textId="77777777" w:rsidR="0060478D" w:rsidRDefault="00D57B86" w:rsidP="00145228">
      <w:pPr>
        <w:pStyle w:val="Sraopastraipa"/>
        <w:numPr>
          <w:ilvl w:val="0"/>
          <w:numId w:val="6"/>
        </w:numPr>
        <w:spacing w:before="120" w:after="120" w:line="240" w:lineRule="auto"/>
        <w:ind w:left="425" w:hanging="357"/>
        <w:contextualSpacing w:val="0"/>
        <w:jc w:val="both"/>
        <w:rPr>
          <w:rFonts w:ascii="Arial" w:hAnsi="Arial" w:cs="Arial"/>
          <w:lang w:val="en-US"/>
        </w:rPr>
      </w:pPr>
      <w:r w:rsidRPr="0060478D">
        <w:rPr>
          <w:rFonts w:ascii="Arial" w:hAnsi="Arial" w:cs="Arial"/>
          <w:lang w:val="en-US"/>
        </w:rPr>
        <w:t xml:space="preserve">Aztec have reported in its questionnaire response that the volume of domestic sales of engine oils have fallen by 25-30% over the IP, and that the volume of domestic sales of hydraulic fluids have declined by 20-25% [166]. </w:t>
      </w:r>
      <w:r w:rsidR="009C5277" w:rsidRPr="0060478D">
        <w:rPr>
          <w:rFonts w:ascii="Arial" w:hAnsi="Arial" w:cs="Arial"/>
          <w:lang w:val="en-US"/>
        </w:rPr>
        <w:t>However, Paterson have submitted that domestic sales volumes have increased by</w:t>
      </w:r>
      <w:r w:rsidR="00900D78" w:rsidRPr="0060478D">
        <w:rPr>
          <w:rFonts w:ascii="Arial" w:hAnsi="Arial" w:cs="Arial"/>
          <w:lang w:val="en-US"/>
        </w:rPr>
        <w:t xml:space="preserve"> even</w:t>
      </w:r>
      <w:r w:rsidR="009C5277" w:rsidRPr="0060478D">
        <w:rPr>
          <w:rFonts w:ascii="Arial" w:hAnsi="Arial" w:cs="Arial"/>
          <w:lang w:val="en-US"/>
        </w:rPr>
        <w:t xml:space="preserve"> 52% for engine oils</w:t>
      </w:r>
      <w:r w:rsidR="00900D78" w:rsidRPr="0060478D">
        <w:rPr>
          <w:rFonts w:ascii="Arial" w:hAnsi="Arial" w:cs="Arial"/>
          <w:lang w:val="en-US"/>
        </w:rPr>
        <w:t xml:space="preserve"> (twice as much as the Aztec decline)</w:t>
      </w:r>
      <w:r w:rsidR="009C5277" w:rsidRPr="0060478D">
        <w:rPr>
          <w:rFonts w:ascii="Arial" w:hAnsi="Arial" w:cs="Arial"/>
          <w:lang w:val="en-US"/>
        </w:rPr>
        <w:t xml:space="preserve">, and 21% for hydraulic fluids, over the IP [167]. </w:t>
      </w:r>
      <w:r w:rsidR="000E0C8D" w:rsidRPr="0060478D">
        <w:rPr>
          <w:rFonts w:ascii="Arial" w:hAnsi="Arial" w:cs="Arial"/>
          <w:lang w:val="en-US"/>
        </w:rPr>
        <w:t xml:space="preserve">Paterson has not suffered an actual negative effect on growth [189]. </w:t>
      </w:r>
      <w:r w:rsidR="004C2272" w:rsidRPr="0060478D">
        <w:rPr>
          <w:rFonts w:ascii="Arial" w:hAnsi="Arial" w:cs="Arial"/>
          <w:lang w:val="en-US"/>
        </w:rPr>
        <w:t xml:space="preserve">Meanwhile </w:t>
      </w:r>
      <w:r w:rsidR="00265AF8" w:rsidRPr="0060478D">
        <w:rPr>
          <w:rFonts w:ascii="Arial" w:hAnsi="Arial" w:cs="Arial"/>
          <w:lang w:val="en-US"/>
        </w:rPr>
        <w:t xml:space="preserve">Aztec has submitted to the TRA that it has reduced its investments [188]. </w:t>
      </w:r>
    </w:p>
    <w:p w14:paraId="29F2A7AA" w14:textId="77777777" w:rsidR="0060478D" w:rsidRDefault="008A116F"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lang w:val="en-US"/>
        </w:rPr>
        <w:t xml:space="preserve">The conclusion suggests that Peterson simply took over part of Aztec's customer base and sales market. </w:t>
      </w:r>
      <w:r w:rsidR="00763593" w:rsidRPr="0060478D">
        <w:rPr>
          <w:rFonts w:ascii="Arial" w:hAnsi="Arial" w:cs="Arial"/>
          <w:lang w:val="en-US"/>
        </w:rPr>
        <w:t xml:space="preserve">As it can be seen, Paterson's performance indicators improved to a greater extent than Aztec's performance indicators declined. </w:t>
      </w:r>
      <w:r w:rsidRPr="0060478D">
        <w:rPr>
          <w:rFonts w:ascii="Arial" w:hAnsi="Arial" w:cs="Arial"/>
          <w:lang w:val="en-US"/>
        </w:rPr>
        <w:t>Furthermore, the graph shows that, in terms of volume/quantity, sales increased for both companies together.</w:t>
      </w:r>
    </w:p>
    <w:p w14:paraId="6549A0BD" w14:textId="66686EDA" w:rsidR="00F72C68" w:rsidRPr="0060478D" w:rsidRDefault="00F83C48" w:rsidP="00042FC6">
      <w:pPr>
        <w:pStyle w:val="Sraopastraipa"/>
        <w:numPr>
          <w:ilvl w:val="0"/>
          <w:numId w:val="6"/>
        </w:numPr>
        <w:spacing w:before="120" w:after="120" w:line="240" w:lineRule="auto"/>
        <w:ind w:left="426"/>
        <w:contextualSpacing w:val="0"/>
        <w:jc w:val="both"/>
        <w:rPr>
          <w:rFonts w:ascii="Arial" w:hAnsi="Arial" w:cs="Arial"/>
          <w:lang w:val="en-US"/>
        </w:rPr>
      </w:pPr>
      <w:r w:rsidRPr="0060478D">
        <w:rPr>
          <w:rFonts w:ascii="Arial" w:hAnsi="Arial" w:cs="Arial"/>
          <w:lang w:val="en-US"/>
        </w:rPr>
        <w:t>It should be pointed out that</w:t>
      </w:r>
      <w:r w:rsidR="00F72C68" w:rsidRPr="0060478D">
        <w:rPr>
          <w:rFonts w:ascii="Arial" w:hAnsi="Arial" w:cs="Arial"/>
          <w:lang w:val="en-US"/>
        </w:rPr>
        <w:t xml:space="preserve"> while making the alleged injury assessment, only 2 companies were reviewed (that is far from the entire UK market). However, public data shows that the revenues and turnover of other market participants also increased (</w:t>
      </w:r>
      <w:r w:rsidR="00F72C68" w:rsidRPr="0060478D">
        <w:rPr>
          <w:rFonts w:ascii="Arial" w:hAnsi="Arial" w:cs="Arial"/>
          <w:i/>
          <w:iCs/>
          <w:lang w:val="en-US"/>
        </w:rPr>
        <w:t xml:space="preserve">Annex </w:t>
      </w:r>
      <w:r w:rsidR="00042FC6">
        <w:rPr>
          <w:rFonts w:ascii="Arial" w:hAnsi="Arial" w:cs="Arial"/>
          <w:i/>
          <w:iCs/>
          <w:lang w:val="en-US"/>
        </w:rPr>
        <w:t>1</w:t>
      </w:r>
      <w:r w:rsidR="00F72C68" w:rsidRPr="0060478D">
        <w:rPr>
          <w:rFonts w:ascii="Arial" w:hAnsi="Arial" w:cs="Arial"/>
          <w:lang w:val="en-US"/>
        </w:rPr>
        <w:t>)</w:t>
      </w:r>
      <w:r w:rsidR="00E724E0" w:rsidRPr="0060478D">
        <w:rPr>
          <w:rFonts w:ascii="Arial" w:hAnsi="Arial" w:cs="Arial"/>
          <w:lang w:val="en-US"/>
        </w:rPr>
        <w:t>:</w:t>
      </w:r>
      <w:r w:rsidR="00F72C68" w:rsidRPr="0060478D">
        <w:rPr>
          <w:rFonts w:ascii="Arial" w:hAnsi="Arial" w:cs="Arial"/>
          <w:lang w:val="en-US"/>
        </w:rPr>
        <w:t xml:space="preserve"> </w:t>
      </w:r>
    </w:p>
    <w:p w14:paraId="73E8951A" w14:textId="4ECAABD2" w:rsidR="0060478D" w:rsidRDefault="00E724E0" w:rsidP="00042FC6">
      <w:pPr>
        <w:pStyle w:val="Sraopastraipa"/>
        <w:spacing w:before="120" w:after="120" w:line="240" w:lineRule="auto"/>
        <w:ind w:left="142" w:firstLine="142"/>
        <w:contextualSpacing w:val="0"/>
        <w:jc w:val="both"/>
        <w:rPr>
          <w:rFonts w:ascii="Arial" w:hAnsi="Arial" w:cs="Arial"/>
          <w:lang w:val="en-US"/>
        </w:rPr>
      </w:pPr>
      <w:r w:rsidRPr="00AE2D37">
        <w:rPr>
          <w:noProof/>
          <w:lang w:val="en-US"/>
        </w:rPr>
        <w:drawing>
          <wp:inline distT="0" distB="0" distL="0" distR="0" wp14:anchorId="1F597D3A" wp14:editId="1DB55F7C">
            <wp:extent cx="6524625" cy="749300"/>
            <wp:effectExtent l="0" t="0" r="9525" b="0"/>
            <wp:docPr id="18479918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0922" cy="750023"/>
                    </a:xfrm>
                    <a:prstGeom prst="rect">
                      <a:avLst/>
                    </a:prstGeom>
                    <a:noFill/>
                    <a:ln>
                      <a:noFill/>
                    </a:ln>
                  </pic:spPr>
                </pic:pic>
              </a:graphicData>
            </a:graphic>
          </wp:inline>
        </w:drawing>
      </w:r>
      <w:r w:rsidR="0060478D">
        <w:rPr>
          <w:rFonts w:ascii="Arial" w:hAnsi="Arial" w:cs="Arial"/>
          <w:lang w:val="en-US"/>
        </w:rPr>
        <w:t xml:space="preserve">31. </w:t>
      </w:r>
      <w:r w:rsidR="007D6B56" w:rsidRPr="0060478D">
        <w:rPr>
          <w:rFonts w:ascii="Arial" w:hAnsi="Arial" w:cs="Arial"/>
          <w:lang w:val="en-US"/>
        </w:rPr>
        <w:t xml:space="preserve">Costs (such as wages, electricity and other utility costs, fuel costs, vehicle fleet costs, etc.) are already an internal matter for each business entity (business model, etc.), so it is necessary to evaluate </w:t>
      </w:r>
      <w:r w:rsidR="007D6B56" w:rsidRPr="0060478D">
        <w:rPr>
          <w:rFonts w:ascii="Arial" w:hAnsi="Arial" w:cs="Arial"/>
          <w:lang w:val="en-US"/>
        </w:rPr>
        <w:lastRenderedPageBreak/>
        <w:t xml:space="preserve">GROSS rather than NET, i.e. to compare turnover and margin. The turnover of UK industry participants has increased (even NET). These circumstances explain why only two UK domestic producers (Aztec Oils Ltd and Paterson Enterprises Lt) submitted full questionnaires and agreed to disclose their financial data.  </w:t>
      </w:r>
    </w:p>
    <w:p w14:paraId="22F346E8" w14:textId="77777777" w:rsidR="00101B81" w:rsidRDefault="00192AD6" w:rsidP="00042FC6">
      <w:pPr>
        <w:pStyle w:val="Sraopastraipa"/>
        <w:numPr>
          <w:ilvl w:val="0"/>
          <w:numId w:val="7"/>
        </w:numPr>
        <w:spacing w:before="120" w:after="120" w:line="240" w:lineRule="auto"/>
        <w:ind w:left="426"/>
        <w:contextualSpacing w:val="0"/>
        <w:jc w:val="both"/>
        <w:rPr>
          <w:rFonts w:ascii="Arial" w:hAnsi="Arial" w:cs="Arial"/>
          <w:lang w:val="en-US"/>
        </w:rPr>
      </w:pPr>
      <w:r w:rsidRPr="0060478D">
        <w:rPr>
          <w:rFonts w:ascii="Arial" w:hAnsi="Arial" w:cs="Arial"/>
          <w:lang w:val="en-US"/>
        </w:rPr>
        <w:t xml:space="preserve">Therefore, TRA made an incorrect and unjustified conclusion that UK industry, as a whole, has actually suffered from material injury in relation to sales, profitability, output, productivity, return on investments, capacity </w:t>
      </w:r>
      <w:proofErr w:type="spellStart"/>
      <w:r w:rsidRPr="0060478D">
        <w:rPr>
          <w:rFonts w:ascii="Arial" w:hAnsi="Arial" w:cs="Arial"/>
          <w:lang w:val="en-US"/>
        </w:rPr>
        <w:t>utilisation</w:t>
      </w:r>
      <w:proofErr w:type="spellEnd"/>
      <w:r w:rsidRPr="0060478D">
        <w:rPr>
          <w:rFonts w:ascii="Arial" w:hAnsi="Arial" w:cs="Arial"/>
          <w:lang w:val="en-US"/>
        </w:rPr>
        <w:t>, the margin of dumping, employment, wages, and growth. The decline of Aztec, the only domestic producer, cannot be equated with the decline of the entire UK industry.</w:t>
      </w:r>
    </w:p>
    <w:p w14:paraId="01A92B7B" w14:textId="77777777" w:rsidR="00C922FF" w:rsidRDefault="00B616F4" w:rsidP="00042FC6">
      <w:pPr>
        <w:pStyle w:val="Sraopastraipa"/>
        <w:numPr>
          <w:ilvl w:val="0"/>
          <w:numId w:val="7"/>
        </w:numPr>
        <w:spacing w:before="120" w:after="120" w:line="240" w:lineRule="auto"/>
        <w:ind w:left="426"/>
        <w:contextualSpacing w:val="0"/>
        <w:jc w:val="both"/>
        <w:rPr>
          <w:rFonts w:ascii="Arial" w:hAnsi="Arial" w:cs="Arial"/>
          <w:lang w:val="en-US"/>
        </w:rPr>
      </w:pPr>
      <w:r w:rsidRPr="00101B81">
        <w:rPr>
          <w:rFonts w:ascii="Arial" w:hAnsi="Arial" w:cs="Arial"/>
          <w:lang w:val="en-US"/>
        </w:rPr>
        <w:t xml:space="preserve">Even more, </w:t>
      </w:r>
      <w:r w:rsidR="005B1873" w:rsidRPr="00101B81">
        <w:rPr>
          <w:rFonts w:ascii="Arial" w:hAnsi="Arial" w:cs="Arial"/>
          <w:lang w:val="en-US"/>
        </w:rPr>
        <w:t xml:space="preserve">TRA made an incorrect and unjustified conclusion that </w:t>
      </w:r>
      <w:r w:rsidRPr="00101B81">
        <w:rPr>
          <w:rFonts w:ascii="Arial" w:hAnsi="Arial" w:cs="Arial"/>
          <w:lang w:val="en-US"/>
        </w:rPr>
        <w:t xml:space="preserve">causation remains established </w:t>
      </w:r>
      <w:r w:rsidR="0000301C" w:rsidRPr="00101B81">
        <w:rPr>
          <w:rFonts w:ascii="Arial" w:hAnsi="Arial" w:cs="Arial"/>
          <w:lang w:val="en-US"/>
        </w:rPr>
        <w:t>because of significant increase in the volume of imports from Lithuania and the UAE [</w:t>
      </w:r>
      <w:r w:rsidR="00C01821" w:rsidRPr="00101B81">
        <w:rPr>
          <w:rFonts w:ascii="Arial" w:hAnsi="Arial" w:cs="Arial"/>
          <w:lang w:val="en-US"/>
        </w:rPr>
        <w:t xml:space="preserve">205]. Figure 19 in paragraph 204 clearly shows that </w:t>
      </w:r>
      <w:r w:rsidR="00E16C45" w:rsidRPr="00101B81">
        <w:rPr>
          <w:rFonts w:ascii="Arial" w:hAnsi="Arial" w:cs="Arial"/>
          <w:lang w:val="en-US"/>
        </w:rPr>
        <w:t xml:space="preserve">the market share of importers from the UAE and Lithuania increased not at the </w:t>
      </w:r>
      <w:r w:rsidR="00782E6A" w:rsidRPr="00101B81">
        <w:rPr>
          <w:rFonts w:ascii="Arial" w:hAnsi="Arial" w:cs="Arial"/>
          <w:lang w:val="en-US"/>
        </w:rPr>
        <w:t>detriment</w:t>
      </w:r>
      <w:r w:rsidR="00E16C45" w:rsidRPr="00101B81">
        <w:rPr>
          <w:rFonts w:ascii="Arial" w:hAnsi="Arial" w:cs="Arial"/>
          <w:lang w:val="en-US"/>
        </w:rPr>
        <w:t xml:space="preserve"> of UK</w:t>
      </w:r>
      <w:r w:rsidR="00782E6A" w:rsidRPr="00101B81">
        <w:rPr>
          <w:rFonts w:ascii="Arial" w:hAnsi="Arial" w:cs="Arial"/>
          <w:lang w:val="en-US"/>
        </w:rPr>
        <w:t xml:space="preserve"> domestic</w:t>
      </w:r>
      <w:r w:rsidR="00E16C45" w:rsidRPr="00101B81">
        <w:rPr>
          <w:rFonts w:ascii="Arial" w:hAnsi="Arial" w:cs="Arial"/>
          <w:lang w:val="en-US"/>
        </w:rPr>
        <w:t xml:space="preserve"> producers, but due to a decrease in the market share of </w:t>
      </w:r>
      <w:r w:rsidR="00900D78" w:rsidRPr="00101B81">
        <w:rPr>
          <w:rFonts w:ascii="Arial" w:hAnsi="Arial" w:cs="Arial"/>
          <w:lang w:val="en-US"/>
        </w:rPr>
        <w:t xml:space="preserve">for example </w:t>
      </w:r>
      <w:r w:rsidR="00E16C45" w:rsidRPr="00101B81">
        <w:rPr>
          <w:rFonts w:ascii="Arial" w:hAnsi="Arial" w:cs="Arial"/>
          <w:lang w:val="en-US"/>
        </w:rPr>
        <w:t>German importers</w:t>
      </w:r>
      <w:r w:rsidR="00C922FF">
        <w:rPr>
          <w:rFonts w:ascii="Arial" w:hAnsi="Arial" w:cs="Arial"/>
          <w:lang w:val="en-US"/>
        </w:rPr>
        <w:t>:</w:t>
      </w:r>
    </w:p>
    <w:p w14:paraId="5BF1B436" w14:textId="42F52829" w:rsidR="00C922FF" w:rsidRDefault="00C922FF" w:rsidP="00C922FF">
      <w:pPr>
        <w:pStyle w:val="Sraopastraipa"/>
        <w:spacing w:before="120" w:after="120" w:line="240" w:lineRule="auto"/>
        <w:ind w:left="426"/>
        <w:contextualSpacing w:val="0"/>
        <w:jc w:val="both"/>
        <w:rPr>
          <w:rFonts w:ascii="Arial" w:hAnsi="Arial" w:cs="Arial"/>
          <w:lang w:val="en-US"/>
        </w:rPr>
      </w:pPr>
      <w:r w:rsidRPr="00C922FF">
        <w:rPr>
          <w:rFonts w:ascii="Arial" w:hAnsi="Arial" w:cs="Arial"/>
          <w:noProof/>
          <w:lang w:val="en-US"/>
        </w:rPr>
        <w:drawing>
          <wp:inline distT="0" distB="0" distL="0" distR="0" wp14:anchorId="6ECA3765" wp14:editId="39C78086">
            <wp:extent cx="5900420" cy="3621196"/>
            <wp:effectExtent l="0" t="0" r="5080" b="0"/>
            <wp:docPr id="308389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804" cy="3626342"/>
                    </a:xfrm>
                    <a:prstGeom prst="rect">
                      <a:avLst/>
                    </a:prstGeom>
                    <a:noFill/>
                    <a:ln>
                      <a:noFill/>
                    </a:ln>
                  </pic:spPr>
                </pic:pic>
              </a:graphicData>
            </a:graphic>
          </wp:inline>
        </w:drawing>
      </w:r>
    </w:p>
    <w:p w14:paraId="25B46BA8" w14:textId="18038807" w:rsidR="00311FBC" w:rsidRPr="00311FBC" w:rsidRDefault="00311FBC" w:rsidP="00311FBC">
      <w:pPr>
        <w:pStyle w:val="Sraopastraipa"/>
        <w:spacing w:before="120" w:after="120"/>
        <w:ind w:left="425"/>
        <w:contextualSpacing w:val="0"/>
        <w:jc w:val="both"/>
        <w:rPr>
          <w:rFonts w:ascii="Arial" w:hAnsi="Arial" w:cs="Arial"/>
          <w:lang w:val="en-US"/>
        </w:rPr>
      </w:pPr>
      <w:r w:rsidRPr="00311FBC">
        <w:rPr>
          <w:rFonts w:ascii="Arial" w:hAnsi="Arial" w:cs="Arial"/>
          <w:lang w:val="en-US"/>
        </w:rPr>
        <w:t>The diagram shows that the market share of UK manufacturers' sales did not decrease due to imports, as import volumes remained largely unchanged.</w:t>
      </w:r>
    </w:p>
    <w:p w14:paraId="70A5450B" w14:textId="0860B916" w:rsidR="00E16C45" w:rsidRPr="00101B81" w:rsidRDefault="005A432A" w:rsidP="00311FBC">
      <w:pPr>
        <w:pStyle w:val="Sraopastraipa"/>
        <w:numPr>
          <w:ilvl w:val="0"/>
          <w:numId w:val="7"/>
        </w:numPr>
        <w:spacing w:before="120" w:after="120" w:line="240" w:lineRule="auto"/>
        <w:ind w:left="425"/>
        <w:contextualSpacing w:val="0"/>
        <w:jc w:val="both"/>
        <w:rPr>
          <w:rFonts w:ascii="Arial" w:hAnsi="Arial" w:cs="Arial"/>
          <w:lang w:val="en-US"/>
        </w:rPr>
      </w:pPr>
      <w:r w:rsidRPr="00101B81">
        <w:rPr>
          <w:rFonts w:ascii="Arial" w:hAnsi="Arial" w:cs="Arial"/>
          <w:lang w:val="en-US"/>
        </w:rPr>
        <w:t xml:space="preserve">Since TRA estimated that more than half of the UK demand for CEOHF is supplied by imports [68, 77], this means that imports from the UAE and Lithuania did not increase (did not change) the existing ratio, i.e. did not change the share of the consumption market, did not displace UK producers from the UK sales market. </w:t>
      </w:r>
      <w:r w:rsidR="00E16C45" w:rsidRPr="00101B81">
        <w:rPr>
          <w:rFonts w:ascii="Arial" w:hAnsi="Arial" w:cs="Arial"/>
          <w:lang w:val="en-US"/>
        </w:rPr>
        <w:t xml:space="preserve">Thus, market sharing occurred in the importer segment, not at the expense of </w:t>
      </w:r>
      <w:r w:rsidR="00782E6A" w:rsidRPr="00101B81">
        <w:rPr>
          <w:rFonts w:ascii="Arial" w:hAnsi="Arial" w:cs="Arial"/>
          <w:lang w:val="en-US"/>
        </w:rPr>
        <w:t>domestic</w:t>
      </w:r>
      <w:r w:rsidR="00E16C45" w:rsidRPr="00101B81">
        <w:rPr>
          <w:rFonts w:ascii="Arial" w:hAnsi="Arial" w:cs="Arial"/>
          <w:lang w:val="en-US"/>
        </w:rPr>
        <w:t xml:space="preserve"> producers.</w:t>
      </w:r>
    </w:p>
    <w:p w14:paraId="77C975E9" w14:textId="6ED17EAD" w:rsidR="00505982" w:rsidRPr="00AE2D37" w:rsidRDefault="00CC41B7" w:rsidP="00042FC6">
      <w:pPr>
        <w:pStyle w:val="Sraopastraipa"/>
        <w:numPr>
          <w:ilvl w:val="0"/>
          <w:numId w:val="5"/>
        </w:numPr>
        <w:spacing w:before="120" w:after="120" w:line="240" w:lineRule="auto"/>
        <w:contextualSpacing w:val="0"/>
        <w:jc w:val="both"/>
        <w:rPr>
          <w:rFonts w:ascii="Arial" w:eastAsia="Times New Roman" w:hAnsi="Arial" w:cs="Arial"/>
          <w:b/>
          <w:bCs/>
          <w:kern w:val="0"/>
          <w:lang w:val="en-US" w:eastAsia="lt-LT"/>
          <w14:ligatures w14:val="none"/>
        </w:rPr>
      </w:pPr>
      <w:r w:rsidRPr="00AE2D37">
        <w:rPr>
          <w:rFonts w:ascii="Arial" w:eastAsia="Times New Roman" w:hAnsi="Arial" w:cs="Arial"/>
          <w:b/>
          <w:bCs/>
          <w:kern w:val="0"/>
          <w:lang w:val="en-US" w:eastAsia="lt-LT"/>
          <w14:ligatures w14:val="none"/>
        </w:rPr>
        <w:t>Two</w:t>
      </w:r>
      <w:r w:rsidR="003753B5" w:rsidRPr="00AE2D37">
        <w:rPr>
          <w:rFonts w:ascii="Arial" w:eastAsia="Times New Roman" w:hAnsi="Arial" w:cs="Arial"/>
          <w:b/>
          <w:bCs/>
          <w:kern w:val="0"/>
          <w:lang w:val="en-US" w:eastAsia="lt-LT"/>
          <w14:ligatures w14:val="none"/>
        </w:rPr>
        <w:t xml:space="preserve"> representatives of UK domestic producers are unjustifiably treated as representatives of the entire UK industry.</w:t>
      </w:r>
    </w:p>
    <w:p w14:paraId="7F24A8A5" w14:textId="73922D65" w:rsidR="00BE7AC1" w:rsidRPr="00AE2D37" w:rsidRDefault="00505982" w:rsidP="00042FC6">
      <w:pPr>
        <w:pStyle w:val="Default"/>
        <w:numPr>
          <w:ilvl w:val="0"/>
          <w:numId w:val="7"/>
        </w:numPr>
        <w:spacing w:before="120" w:after="120"/>
        <w:ind w:left="426"/>
        <w:jc w:val="both"/>
        <w:rPr>
          <w:sz w:val="22"/>
          <w:szCs w:val="22"/>
          <w:lang w:val="en-US"/>
        </w:rPr>
      </w:pPr>
      <w:r w:rsidRPr="00AE2D37">
        <w:rPr>
          <w:sz w:val="22"/>
          <w:szCs w:val="22"/>
          <w:lang w:val="en-US"/>
        </w:rPr>
        <w:t xml:space="preserve">The TRA established that the UK industry is fragmented, made up of at least 21 known UK producers of various sizes [62]. </w:t>
      </w:r>
      <w:r w:rsidR="00372E40" w:rsidRPr="00AE2D37">
        <w:rPr>
          <w:sz w:val="22"/>
          <w:szCs w:val="22"/>
          <w:lang w:val="en-US"/>
        </w:rPr>
        <w:t xml:space="preserve">The Company considers that the TRA's conclusion that </w:t>
      </w:r>
    </w:p>
    <w:p w14:paraId="380B132C" w14:textId="586C70CE" w:rsidR="00B75A9F" w:rsidRPr="00AE2D37" w:rsidRDefault="00BE7AC1" w:rsidP="00042FC6">
      <w:pPr>
        <w:pStyle w:val="Default"/>
        <w:numPr>
          <w:ilvl w:val="0"/>
          <w:numId w:val="7"/>
        </w:numPr>
        <w:spacing w:before="120" w:after="120"/>
        <w:ind w:left="426"/>
        <w:jc w:val="both"/>
        <w:rPr>
          <w:sz w:val="22"/>
          <w:szCs w:val="22"/>
          <w:lang w:val="en-US"/>
        </w:rPr>
      </w:pPr>
      <w:r w:rsidRPr="00AE2D37">
        <w:rPr>
          <w:sz w:val="22"/>
          <w:szCs w:val="22"/>
          <w:lang w:val="en-US"/>
        </w:rPr>
        <w:lastRenderedPageBreak/>
        <w:t>UK industry shall be defined as only the two, cooperating domestic producers</w:t>
      </w:r>
      <w:r w:rsidR="00C55FB8" w:rsidRPr="00AE2D37">
        <w:rPr>
          <w:sz w:val="22"/>
          <w:szCs w:val="22"/>
          <w:lang w:val="en-US"/>
        </w:rPr>
        <w:t xml:space="preserve"> (Aztec and </w:t>
      </w:r>
      <w:r w:rsidR="00D30F39" w:rsidRPr="00AE2D37">
        <w:rPr>
          <w:sz w:val="22"/>
          <w:szCs w:val="22"/>
          <w:lang w:val="en-US"/>
        </w:rPr>
        <w:t>Paterson)</w:t>
      </w:r>
      <w:r w:rsidR="00E325A6" w:rsidRPr="00AE2D37">
        <w:rPr>
          <w:sz w:val="22"/>
          <w:szCs w:val="22"/>
          <w:lang w:val="en-US"/>
        </w:rPr>
        <w:t>, is incorrect</w:t>
      </w:r>
      <w:r w:rsidR="00D30F39" w:rsidRPr="00AE2D37">
        <w:rPr>
          <w:sz w:val="22"/>
          <w:szCs w:val="22"/>
          <w:lang w:val="en-US"/>
        </w:rPr>
        <w:t>.</w:t>
      </w:r>
    </w:p>
    <w:p w14:paraId="138FC968" w14:textId="33D8554A" w:rsidR="006C7E58" w:rsidRPr="00101B81" w:rsidRDefault="00B75A9F" w:rsidP="00042FC6">
      <w:pPr>
        <w:pStyle w:val="Sraopastraipa"/>
        <w:numPr>
          <w:ilvl w:val="0"/>
          <w:numId w:val="7"/>
        </w:numPr>
        <w:spacing w:before="120" w:after="120" w:line="240" w:lineRule="auto"/>
        <w:ind w:left="426"/>
        <w:contextualSpacing w:val="0"/>
        <w:jc w:val="both"/>
        <w:rPr>
          <w:rFonts w:ascii="Arial" w:hAnsi="Arial" w:cs="Arial"/>
          <w:lang w:val="en-US"/>
        </w:rPr>
      </w:pPr>
      <w:r w:rsidRPr="00101B81">
        <w:rPr>
          <w:rFonts w:ascii="Arial" w:hAnsi="Arial" w:cs="Arial"/>
          <w:color w:val="000000"/>
          <w:kern w:val="0"/>
          <w:lang w:val="en-US"/>
        </w:rPr>
        <w:t xml:space="preserve">TRA </w:t>
      </w:r>
      <w:r w:rsidR="00B47DE8" w:rsidRPr="00101B81">
        <w:rPr>
          <w:rFonts w:ascii="Arial" w:hAnsi="Arial" w:cs="Arial"/>
          <w:lang w:val="en-US"/>
        </w:rPr>
        <w:t>states</w:t>
      </w:r>
      <w:r w:rsidRPr="00101B81">
        <w:rPr>
          <w:rFonts w:ascii="Arial" w:hAnsi="Arial" w:cs="Arial"/>
          <w:color w:val="000000"/>
          <w:kern w:val="0"/>
          <w:lang w:val="en-US"/>
        </w:rPr>
        <w:t xml:space="preserve"> that it calculated UK production based on the participating </w:t>
      </w:r>
      <w:r w:rsidR="00B47DE8" w:rsidRPr="00101B81">
        <w:rPr>
          <w:rFonts w:ascii="Arial" w:hAnsi="Arial" w:cs="Arial"/>
          <w:lang w:val="en-US"/>
        </w:rPr>
        <w:t xml:space="preserve">domestic </w:t>
      </w:r>
      <w:r w:rsidRPr="00101B81">
        <w:rPr>
          <w:rFonts w:ascii="Arial" w:hAnsi="Arial" w:cs="Arial"/>
          <w:color w:val="000000"/>
          <w:kern w:val="0"/>
          <w:lang w:val="en-US"/>
        </w:rPr>
        <w:t xml:space="preserve">producers, i.e. only on the basis of data from two UK </w:t>
      </w:r>
      <w:r w:rsidR="00B47DE8" w:rsidRPr="00101B81">
        <w:rPr>
          <w:rFonts w:ascii="Arial" w:hAnsi="Arial" w:cs="Arial"/>
          <w:lang w:val="en-US"/>
        </w:rPr>
        <w:t xml:space="preserve">domestic </w:t>
      </w:r>
      <w:r w:rsidRPr="00101B81">
        <w:rPr>
          <w:rFonts w:ascii="Arial" w:hAnsi="Arial" w:cs="Arial"/>
          <w:color w:val="000000"/>
          <w:kern w:val="0"/>
          <w:lang w:val="en-US"/>
        </w:rPr>
        <w:t xml:space="preserve">producers, extrapolating them to the entire market, while the data (production) of UK producers not participating in the investigation were calculated on the basis of the ratio between the number of employees of UK </w:t>
      </w:r>
      <w:r w:rsidR="00B47DE8" w:rsidRPr="00101B81">
        <w:rPr>
          <w:rFonts w:ascii="Arial" w:hAnsi="Arial" w:cs="Arial"/>
          <w:lang w:val="en-US"/>
        </w:rPr>
        <w:t xml:space="preserve">domestic </w:t>
      </w:r>
      <w:r w:rsidRPr="00101B81">
        <w:rPr>
          <w:rFonts w:ascii="Arial" w:hAnsi="Arial" w:cs="Arial"/>
          <w:color w:val="000000"/>
          <w:kern w:val="0"/>
          <w:lang w:val="en-US"/>
        </w:rPr>
        <w:t xml:space="preserve">producers not participating in the investigation and the production of the two UK </w:t>
      </w:r>
      <w:r w:rsidR="00B47DE8" w:rsidRPr="00101B81">
        <w:rPr>
          <w:rFonts w:ascii="Arial" w:hAnsi="Arial" w:cs="Arial"/>
          <w:lang w:val="en-US"/>
        </w:rPr>
        <w:t xml:space="preserve">domestic </w:t>
      </w:r>
      <w:r w:rsidRPr="00101B81">
        <w:rPr>
          <w:rFonts w:ascii="Arial" w:hAnsi="Arial" w:cs="Arial"/>
          <w:color w:val="000000"/>
          <w:kern w:val="0"/>
          <w:lang w:val="en-US"/>
        </w:rPr>
        <w:t xml:space="preserve">producers participating in the investigation [62, 63]. </w:t>
      </w:r>
      <w:r w:rsidR="006C7E58" w:rsidRPr="00101B81">
        <w:rPr>
          <w:rFonts w:ascii="Arial" w:hAnsi="Arial" w:cs="Arial"/>
          <w:lang w:val="en-US"/>
        </w:rPr>
        <w:t>The Company does not agree that the number of the employees show if the business is small or big.  It might be that the lines in production are technologically developed and there is no need for control of human. Furthermore, the scale of a company is determined by three indicators: assets, employees, and turnover.</w:t>
      </w:r>
    </w:p>
    <w:p w14:paraId="2E12FEAB" w14:textId="31A5ED70" w:rsidR="00B75A9F" w:rsidRPr="00AE2D37" w:rsidRDefault="006C7E58" w:rsidP="00042FC6">
      <w:pPr>
        <w:pStyle w:val="Default"/>
        <w:numPr>
          <w:ilvl w:val="0"/>
          <w:numId w:val="7"/>
        </w:numPr>
        <w:spacing w:before="120" w:after="120"/>
        <w:ind w:left="426"/>
        <w:jc w:val="both"/>
        <w:rPr>
          <w:sz w:val="22"/>
          <w:szCs w:val="22"/>
          <w:lang w:val="en-US"/>
        </w:rPr>
      </w:pPr>
      <w:proofErr w:type="gramStart"/>
      <w:r w:rsidRPr="00AE2D37">
        <w:rPr>
          <w:sz w:val="22"/>
          <w:szCs w:val="22"/>
          <w:lang w:val="en-US"/>
        </w:rPr>
        <w:t>So</w:t>
      </w:r>
      <w:proofErr w:type="gramEnd"/>
      <w:r w:rsidRPr="00AE2D37">
        <w:rPr>
          <w:sz w:val="22"/>
          <w:szCs w:val="22"/>
          <w:lang w:val="en-US"/>
        </w:rPr>
        <w:t xml:space="preserve"> </w:t>
      </w:r>
      <w:r w:rsidR="004F50B8">
        <w:rPr>
          <w:sz w:val="22"/>
          <w:szCs w:val="22"/>
          <w:lang w:val="en-US"/>
        </w:rPr>
        <w:t>the</w:t>
      </w:r>
      <w:r w:rsidR="00B75A9F" w:rsidRPr="00AE2D37">
        <w:rPr>
          <w:sz w:val="22"/>
          <w:szCs w:val="22"/>
          <w:lang w:val="en-US"/>
        </w:rPr>
        <w:t xml:space="preserve"> determination of the UK industry</w:t>
      </w:r>
      <w:r w:rsidRPr="00AE2D37">
        <w:rPr>
          <w:sz w:val="22"/>
          <w:szCs w:val="22"/>
          <w:lang w:val="en-US"/>
        </w:rPr>
        <w:t xml:space="preserve"> made in </w:t>
      </w:r>
      <w:r w:rsidR="00137F09" w:rsidRPr="00AE2D37">
        <w:rPr>
          <w:sz w:val="22"/>
          <w:szCs w:val="22"/>
          <w:lang w:val="en-US"/>
        </w:rPr>
        <w:t>PAD</w:t>
      </w:r>
      <w:r w:rsidR="00B75A9F" w:rsidRPr="00AE2D37">
        <w:rPr>
          <w:sz w:val="22"/>
          <w:szCs w:val="22"/>
          <w:lang w:val="en-US"/>
        </w:rPr>
        <w:t xml:space="preserve"> does not meet the definition criteria, is unfounded and incorrect, and leads to the conclusion that the investigation was conducted essentially on behalf of two or one specific local producer (Aztec) rather than the entire UK industry.</w:t>
      </w:r>
    </w:p>
    <w:p w14:paraId="61848143" w14:textId="0720BF17" w:rsidR="00E01E6D" w:rsidRPr="004F50B8" w:rsidRDefault="004F50B8" w:rsidP="00042FC6">
      <w:pPr>
        <w:pStyle w:val="Sraopastraipa"/>
        <w:numPr>
          <w:ilvl w:val="0"/>
          <w:numId w:val="5"/>
        </w:numPr>
        <w:spacing w:before="120" w:after="120" w:line="240" w:lineRule="auto"/>
        <w:contextualSpacing w:val="0"/>
        <w:rPr>
          <w:rFonts w:ascii="Arial" w:eastAsia="Yu Mincho" w:hAnsi="Arial" w:cs="Arial"/>
          <w:lang w:val="en-US"/>
        </w:rPr>
      </w:pPr>
      <w:r w:rsidRPr="004F50B8">
        <w:rPr>
          <w:rFonts w:ascii="Arial" w:eastAsia="Yu Mincho" w:hAnsi="Arial" w:cs="Arial"/>
          <w:b/>
          <w:bCs/>
          <w:lang w:val="en-US"/>
        </w:rPr>
        <w:t>UAB SCT Lubricants</w:t>
      </w:r>
      <w:r w:rsidR="004170DB" w:rsidRPr="004F50B8">
        <w:rPr>
          <w:rFonts w:ascii="Arial" w:eastAsia="Yu Mincho" w:hAnsi="Arial" w:cs="Arial"/>
          <w:b/>
          <w:bCs/>
          <w:lang w:val="en-US"/>
        </w:rPr>
        <w:t xml:space="preserve"> proved and substantiated that </w:t>
      </w:r>
      <w:r w:rsidRPr="004F50B8">
        <w:rPr>
          <w:rFonts w:ascii="Arial" w:eastAsia="Yu Mincho" w:hAnsi="Arial" w:cs="Arial"/>
          <w:b/>
          <w:bCs/>
          <w:lang w:val="en-US"/>
        </w:rPr>
        <w:t>g</w:t>
      </w:r>
      <w:r w:rsidR="00E01E6D" w:rsidRPr="004F50B8">
        <w:rPr>
          <w:rFonts w:ascii="Arial" w:eastAsia="Yu Mincho" w:hAnsi="Arial" w:cs="Arial"/>
          <w:b/>
          <w:bCs/>
          <w:lang w:val="en-US"/>
        </w:rPr>
        <w:t xml:space="preserve">oods </w:t>
      </w:r>
      <w:r w:rsidR="00641CE7" w:rsidRPr="004F50B8">
        <w:rPr>
          <w:rFonts w:ascii="Arial" w:eastAsia="Yu Mincho" w:hAnsi="Arial" w:cs="Arial"/>
          <w:b/>
          <w:bCs/>
          <w:lang w:val="en-US"/>
        </w:rPr>
        <w:t xml:space="preserve">were and </w:t>
      </w:r>
      <w:r w:rsidR="00E01E6D" w:rsidRPr="004F50B8">
        <w:rPr>
          <w:rFonts w:ascii="Arial" w:eastAsia="Yu Mincho" w:hAnsi="Arial" w:cs="Arial"/>
          <w:b/>
          <w:bCs/>
          <w:lang w:val="en-US"/>
        </w:rPr>
        <w:t>are exported to the UK at market prices, which are not lower than the selling price in other countries and in the domestic market</w:t>
      </w:r>
      <w:r w:rsidR="00E01E6D" w:rsidRPr="004F50B8">
        <w:rPr>
          <w:rFonts w:ascii="Arial" w:eastAsia="Yu Mincho" w:hAnsi="Arial" w:cs="Arial"/>
          <w:lang w:val="en-US"/>
        </w:rPr>
        <w:t>.</w:t>
      </w:r>
    </w:p>
    <w:p w14:paraId="4F9C9288" w14:textId="336DBCA8" w:rsidR="005E168E" w:rsidRPr="00101B81" w:rsidRDefault="005E168E" w:rsidP="00042FC6">
      <w:pPr>
        <w:pStyle w:val="Sraopastraipa"/>
        <w:numPr>
          <w:ilvl w:val="0"/>
          <w:numId w:val="7"/>
        </w:numPr>
        <w:spacing w:before="120" w:after="120" w:line="240" w:lineRule="auto"/>
        <w:ind w:left="426"/>
        <w:contextualSpacing w:val="0"/>
        <w:jc w:val="both"/>
        <w:rPr>
          <w:rStyle w:val="Vietosrezervavimoenklotekstas"/>
          <w:rFonts w:ascii="Arial" w:hAnsi="Arial" w:cs="Arial"/>
          <w:color w:val="auto"/>
          <w:lang w:val="en-US"/>
        </w:rPr>
      </w:pPr>
      <w:r w:rsidRPr="00101B81">
        <w:rPr>
          <w:rFonts w:ascii="Arial" w:eastAsia="Times New Roman" w:hAnsi="Arial" w:cs="Arial"/>
          <w:kern w:val="0"/>
          <w:lang w:val="en-US" w:eastAsia="lt-LT"/>
          <w14:ligatures w14:val="none"/>
        </w:rPr>
        <w:t xml:space="preserve">However, TRA did not assess these particularly significant circumstances. </w:t>
      </w:r>
      <w:r w:rsidR="00E01E6D" w:rsidRPr="00101B81">
        <w:rPr>
          <w:rStyle w:val="Vietosrezervavimoenklotekstas"/>
          <w:rFonts w:ascii="Arial" w:hAnsi="Arial" w:cs="Arial"/>
          <w:color w:val="auto"/>
          <w:lang w:val="en-US"/>
        </w:rPr>
        <w:t>UAB SCT Lubricants</w:t>
      </w:r>
      <w:r w:rsidRPr="00101B81">
        <w:rPr>
          <w:rStyle w:val="Vietosrezervavimoenklotekstas"/>
          <w:rFonts w:ascii="Arial" w:hAnsi="Arial" w:cs="Arial"/>
          <w:color w:val="auto"/>
          <w:lang w:val="en-US"/>
        </w:rPr>
        <w:t xml:space="preserve"> </w:t>
      </w:r>
      <w:proofErr w:type="gramStart"/>
      <w:r w:rsidRPr="00101B81">
        <w:rPr>
          <w:rStyle w:val="Vietosrezervavimoenklotekstas"/>
          <w:rFonts w:ascii="Arial" w:hAnsi="Arial" w:cs="Arial"/>
          <w:color w:val="auto"/>
          <w:lang w:val="en-US"/>
        </w:rPr>
        <w:t>one</w:t>
      </w:r>
      <w:proofErr w:type="gramEnd"/>
      <w:r w:rsidRPr="00101B81">
        <w:rPr>
          <w:rStyle w:val="Vietosrezervavimoenklotekstas"/>
          <w:rFonts w:ascii="Arial" w:hAnsi="Arial" w:cs="Arial"/>
          <w:color w:val="auto"/>
          <w:lang w:val="en-US"/>
        </w:rPr>
        <w:t xml:space="preserve"> again</w:t>
      </w:r>
      <w:r w:rsidR="00E01E6D" w:rsidRPr="00101B81">
        <w:rPr>
          <w:rStyle w:val="Vietosrezervavimoenklotekstas"/>
          <w:rFonts w:ascii="Arial" w:hAnsi="Arial" w:cs="Arial"/>
          <w:color w:val="auto"/>
          <w:lang w:val="en-US"/>
        </w:rPr>
        <w:t xml:space="preserve"> states and confirms that, that goods concerned are being exported to the UK at market price, thus, the injury to the UK market did not and could not have been made. Exporting to the UK market is no different from exporting to other countries and selling domestically</w:t>
      </w:r>
      <w:r w:rsidRPr="00101B81">
        <w:rPr>
          <w:rStyle w:val="Vietosrezervavimoenklotekstas"/>
          <w:rFonts w:ascii="Arial" w:hAnsi="Arial" w:cs="Arial"/>
          <w:color w:val="auto"/>
          <w:lang w:val="en-US"/>
        </w:rPr>
        <w:t>.</w:t>
      </w:r>
    </w:p>
    <w:p w14:paraId="076F1006" w14:textId="1626A973" w:rsidR="00F91B17" w:rsidRPr="00101B81" w:rsidRDefault="00F91B17" w:rsidP="00042FC6">
      <w:pPr>
        <w:pStyle w:val="Sraopastraipa"/>
        <w:numPr>
          <w:ilvl w:val="0"/>
          <w:numId w:val="7"/>
        </w:numPr>
        <w:spacing w:before="120" w:after="120" w:line="240" w:lineRule="auto"/>
        <w:ind w:left="426"/>
        <w:contextualSpacing w:val="0"/>
        <w:jc w:val="both"/>
        <w:rPr>
          <w:rFonts w:ascii="Arial" w:eastAsia="Arial" w:hAnsi="Arial" w:cs="Arial"/>
          <w:lang w:val="en-US"/>
        </w:rPr>
      </w:pPr>
      <w:r w:rsidRPr="00101B81">
        <w:rPr>
          <w:rFonts w:ascii="Arial" w:eastAsia="Arial" w:hAnsi="Arial" w:cs="Arial"/>
          <w:lang w:val="en-US"/>
        </w:rPr>
        <w:t>It shall be noted, that during POI only 5,64 % of the production of the Company was exported to UK, 2,95 % was sold at the domestic market so the rest part of the production – 91,41 % was exported to third countries.</w:t>
      </w:r>
    </w:p>
    <w:p w14:paraId="68946978" w14:textId="75693446" w:rsidR="00496906" w:rsidRPr="00101B81" w:rsidRDefault="003F6453" w:rsidP="00042FC6">
      <w:pPr>
        <w:pStyle w:val="Sraopastraipa"/>
        <w:numPr>
          <w:ilvl w:val="0"/>
          <w:numId w:val="7"/>
        </w:numPr>
        <w:spacing w:before="120" w:after="120" w:line="240" w:lineRule="auto"/>
        <w:ind w:left="426"/>
        <w:contextualSpacing w:val="0"/>
        <w:jc w:val="both"/>
        <w:rPr>
          <w:rFonts w:ascii="Arial" w:eastAsia="Yu Mincho" w:hAnsi="Arial" w:cs="Arial"/>
          <w:lang w:val="en-US"/>
        </w:rPr>
      </w:pPr>
      <w:r w:rsidRPr="00101B81">
        <w:rPr>
          <w:rFonts w:ascii="Arial" w:eastAsia="Yu Mincho" w:hAnsi="Arial" w:cs="Arial"/>
          <w:lang w:val="en-US"/>
        </w:rPr>
        <w:t xml:space="preserve">In conducting its investigation, TRA failed to consider the circumstances that </w:t>
      </w:r>
      <w:r w:rsidR="00496906" w:rsidRPr="00101B81">
        <w:rPr>
          <w:rFonts w:ascii="Arial" w:eastAsia="Yu Mincho" w:hAnsi="Arial" w:cs="Arial"/>
          <w:lang w:val="en-US"/>
        </w:rPr>
        <w:t>UAB SCT Lubricants is one of the most modern factories in Europe. Advanced technologies and the latest scientific and technological achievements are used in the production of engine oils and lubricants. This is one of the Company's advantages, enabling it to produce products at lower costs. Anyway, it shall be noted that there is no difference between the price of the production exported to UK or other countries and sold in domestic market because of these factors</w:t>
      </w:r>
      <w:r w:rsidR="00496906" w:rsidRPr="00101B81">
        <w:rPr>
          <w:rFonts w:ascii="Arial" w:hAnsi="Arial" w:cs="Arial"/>
          <w:lang w:val="en-US"/>
        </w:rPr>
        <w:t>.</w:t>
      </w:r>
    </w:p>
    <w:p w14:paraId="2ECB4B83" w14:textId="452EFED1" w:rsidR="00F91B17" w:rsidRPr="00101B81" w:rsidRDefault="005E168E" w:rsidP="00042FC6">
      <w:pPr>
        <w:pStyle w:val="Sraopastraipa"/>
        <w:numPr>
          <w:ilvl w:val="0"/>
          <w:numId w:val="7"/>
        </w:numPr>
        <w:spacing w:before="120" w:after="120" w:line="240" w:lineRule="auto"/>
        <w:ind w:left="426"/>
        <w:contextualSpacing w:val="0"/>
        <w:jc w:val="both"/>
        <w:rPr>
          <w:rFonts w:ascii="Arial" w:hAnsi="Arial" w:cs="Arial"/>
          <w:lang w:val="en-US"/>
        </w:rPr>
      </w:pPr>
      <w:r w:rsidRPr="00101B81">
        <w:rPr>
          <w:rFonts w:ascii="Arial" w:eastAsia="Times New Roman" w:hAnsi="Arial" w:cs="Arial"/>
          <w:kern w:val="0"/>
          <w:lang w:val="en-US" w:eastAsia="lt-LT"/>
          <w14:ligatures w14:val="none"/>
        </w:rPr>
        <w:t xml:space="preserve">Furthermore, </w:t>
      </w:r>
      <w:r w:rsidRPr="00101B81">
        <w:rPr>
          <w:rFonts w:ascii="Arial" w:hAnsi="Arial" w:cs="Arial"/>
          <w:lang w:val="en-US"/>
        </w:rPr>
        <w:t>t</w:t>
      </w:r>
      <w:r w:rsidR="00E01E6D" w:rsidRPr="00101B81">
        <w:rPr>
          <w:rFonts w:ascii="Arial" w:hAnsi="Arial" w:cs="Arial"/>
          <w:lang w:val="en-US"/>
        </w:rPr>
        <w:t>here is a significant difference between the Lithuanian market and the UK market in terms of the size of the countries, the number of end-users and other factors</w:t>
      </w:r>
      <w:r w:rsidR="00F91B17" w:rsidRPr="00101B81">
        <w:rPr>
          <w:rFonts w:ascii="Arial" w:hAnsi="Arial" w:cs="Arial"/>
          <w:lang w:val="en-US"/>
        </w:rPr>
        <w:t xml:space="preserve">, thus </w:t>
      </w:r>
      <w:r w:rsidR="00900D78" w:rsidRPr="00101B81">
        <w:rPr>
          <w:rFonts w:ascii="Arial" w:hAnsi="Arial" w:cs="Arial"/>
        </w:rPr>
        <w:t xml:space="preserve">a </w:t>
      </w:r>
      <w:r w:rsidR="00900D78" w:rsidRPr="00101B81">
        <w:rPr>
          <w:rFonts w:ascii="Arial" w:hAnsi="Arial" w:cs="Arial"/>
          <w:lang w:val="en-US"/>
        </w:rPr>
        <w:t>comparison of the UK market and sales volume with the Lithuanian market had to be assessed.</w:t>
      </w:r>
    </w:p>
    <w:p w14:paraId="67D09963" w14:textId="1A626B41" w:rsidR="003A03C1" w:rsidRPr="00AE2D37" w:rsidRDefault="003A03C1" w:rsidP="00042FC6">
      <w:pPr>
        <w:pStyle w:val="Sraopastraipa"/>
        <w:numPr>
          <w:ilvl w:val="0"/>
          <w:numId w:val="5"/>
        </w:numPr>
        <w:spacing w:before="120" w:after="120" w:line="240" w:lineRule="auto"/>
        <w:contextualSpacing w:val="0"/>
        <w:rPr>
          <w:rFonts w:ascii="Arial" w:eastAsia="Times New Roman" w:hAnsi="Arial" w:cs="Arial"/>
          <w:kern w:val="0"/>
          <w:lang w:val="en-US" w:eastAsia="lt-LT"/>
          <w14:ligatures w14:val="none"/>
        </w:rPr>
      </w:pPr>
      <w:r w:rsidRPr="00AE2D37">
        <w:rPr>
          <w:rFonts w:ascii="Arial" w:eastAsia="Times New Roman" w:hAnsi="Arial" w:cs="Arial"/>
          <w:b/>
          <w:bCs/>
          <w:kern w:val="0"/>
          <w:lang w:val="en-US" w:eastAsia="lt-LT"/>
          <w14:ligatures w14:val="none"/>
        </w:rPr>
        <w:t>Price undercut</w:t>
      </w:r>
      <w:r w:rsidR="002F1AB9" w:rsidRPr="00AE2D37">
        <w:rPr>
          <w:rFonts w:ascii="Arial" w:eastAsia="Times New Roman" w:hAnsi="Arial" w:cs="Arial"/>
          <w:b/>
          <w:bCs/>
          <w:kern w:val="0"/>
          <w:lang w:val="en-US" w:eastAsia="lt-LT"/>
          <w14:ligatures w14:val="none"/>
        </w:rPr>
        <w:t xml:space="preserve">ting </w:t>
      </w:r>
      <w:r w:rsidRPr="00AE2D37">
        <w:rPr>
          <w:rFonts w:ascii="Arial" w:eastAsia="Times New Roman" w:hAnsi="Arial" w:cs="Arial"/>
          <w:b/>
          <w:bCs/>
          <w:kern w:val="0"/>
          <w:lang w:val="en-US" w:eastAsia="lt-LT"/>
          <w14:ligatures w14:val="none"/>
        </w:rPr>
        <w:t>was determined incorrectly</w:t>
      </w:r>
      <w:r w:rsidR="002F1AB9" w:rsidRPr="00AE2D37">
        <w:rPr>
          <w:rFonts w:ascii="Arial" w:eastAsia="Times New Roman" w:hAnsi="Arial" w:cs="Arial"/>
          <w:kern w:val="0"/>
          <w:lang w:val="en-US" w:eastAsia="lt-LT"/>
          <w14:ligatures w14:val="none"/>
        </w:rPr>
        <w:t>.</w:t>
      </w:r>
    </w:p>
    <w:p w14:paraId="656B7741" w14:textId="7952E10A" w:rsidR="00F43F3A" w:rsidRPr="00101B81" w:rsidRDefault="002F1AB9" w:rsidP="00042FC6">
      <w:pPr>
        <w:pStyle w:val="Sraopastraipa"/>
        <w:numPr>
          <w:ilvl w:val="0"/>
          <w:numId w:val="7"/>
        </w:numPr>
        <w:spacing w:before="120" w:after="120" w:line="240" w:lineRule="auto"/>
        <w:ind w:left="426"/>
        <w:contextualSpacing w:val="0"/>
        <w:jc w:val="both"/>
        <w:rPr>
          <w:rFonts w:ascii="Arial" w:eastAsia="Times New Roman" w:hAnsi="Arial" w:cs="Arial"/>
          <w:kern w:val="0"/>
          <w:lang w:val="en-US" w:eastAsia="lt-LT"/>
          <w14:ligatures w14:val="none"/>
        </w:rPr>
      </w:pPr>
      <w:r w:rsidRPr="00101B81">
        <w:rPr>
          <w:rFonts w:ascii="Arial" w:eastAsia="Times New Roman" w:hAnsi="Arial" w:cs="Arial"/>
          <w:kern w:val="0"/>
          <w:lang w:val="en-US" w:eastAsia="lt-LT"/>
          <w14:ligatures w14:val="none"/>
        </w:rPr>
        <w:t xml:space="preserve">In PAD it </w:t>
      </w:r>
      <w:proofErr w:type="spellStart"/>
      <w:r w:rsidRPr="00101B81">
        <w:rPr>
          <w:rFonts w:ascii="Arial" w:eastAsia="Times New Roman" w:hAnsi="Arial" w:cs="Arial"/>
          <w:kern w:val="0"/>
          <w:lang w:val="en-US" w:eastAsia="lt-LT"/>
          <w14:ligatures w14:val="none"/>
        </w:rPr>
        <w:t>isstated</w:t>
      </w:r>
      <w:proofErr w:type="spellEnd"/>
      <w:r w:rsidRPr="00101B81">
        <w:rPr>
          <w:rFonts w:ascii="Arial" w:eastAsia="Times New Roman" w:hAnsi="Arial" w:cs="Arial"/>
          <w:kern w:val="0"/>
          <w:lang w:val="en-US" w:eastAsia="lt-LT"/>
          <w14:ligatures w14:val="none"/>
        </w:rPr>
        <w:t xml:space="preserve">, </w:t>
      </w:r>
      <w:proofErr w:type="gramStart"/>
      <w:r w:rsidRPr="00101B81">
        <w:rPr>
          <w:rFonts w:ascii="Arial" w:eastAsia="Times New Roman" w:hAnsi="Arial" w:cs="Arial"/>
          <w:kern w:val="0"/>
          <w:lang w:val="en-US" w:eastAsia="lt-LT"/>
          <w14:ligatures w14:val="none"/>
        </w:rPr>
        <w:t xml:space="preserve">that </w:t>
      </w:r>
      <w:r w:rsidR="00E35B92" w:rsidRPr="00101B81">
        <w:rPr>
          <w:rFonts w:ascii="Arial" w:eastAsia="Times New Roman" w:hAnsi="Arial" w:cs="Arial"/>
          <w:kern w:val="0"/>
          <w:lang w:val="en-US" w:eastAsia="lt-LT"/>
          <w14:ligatures w14:val="none"/>
        </w:rPr>
        <w:t>,,&lt;</w:t>
      </w:r>
      <w:proofErr w:type="gramEnd"/>
      <w:r w:rsidR="00E35B92" w:rsidRPr="00101B81">
        <w:rPr>
          <w:rFonts w:ascii="Arial" w:eastAsia="Times New Roman" w:hAnsi="Arial" w:cs="Arial"/>
          <w:kern w:val="0"/>
          <w:lang w:val="en-US" w:eastAsia="lt-LT"/>
          <w14:ligatures w14:val="none"/>
        </w:rPr>
        <w:t xml:space="preserve">...&gt;as an average weighted by sales volume across the matching PCNs, UK like goods were found to have been undercut by 37% of UK sales </w:t>
      </w:r>
      <w:proofErr w:type="gramStart"/>
      <w:r w:rsidR="00E35B92" w:rsidRPr="00101B81">
        <w:rPr>
          <w:rFonts w:ascii="Arial" w:eastAsia="Times New Roman" w:hAnsi="Arial" w:cs="Arial"/>
          <w:kern w:val="0"/>
          <w:lang w:val="en-US" w:eastAsia="lt-LT"/>
          <w14:ligatures w14:val="none"/>
        </w:rPr>
        <w:t>prices“ [</w:t>
      </w:r>
      <w:proofErr w:type="gramEnd"/>
      <w:r w:rsidR="00E35B92" w:rsidRPr="00101B81">
        <w:rPr>
          <w:rFonts w:ascii="Arial" w:eastAsia="Times New Roman" w:hAnsi="Arial" w:cs="Arial"/>
          <w:kern w:val="0"/>
          <w:lang w:val="en-US" w:eastAsia="lt-LT"/>
          <w14:ligatures w14:val="none"/>
        </w:rPr>
        <w:t>154].</w:t>
      </w:r>
      <w:r w:rsidR="001664AD" w:rsidRPr="00101B81">
        <w:rPr>
          <w:rFonts w:ascii="Arial" w:eastAsia="Times New Roman" w:hAnsi="Arial" w:cs="Arial"/>
          <w:kern w:val="0"/>
          <w:lang w:val="en-US" w:eastAsia="lt-LT"/>
          <w14:ligatures w14:val="none"/>
        </w:rPr>
        <w:t xml:space="preserve"> </w:t>
      </w:r>
      <w:proofErr w:type="gramStart"/>
      <w:r w:rsidR="001664AD" w:rsidRPr="00101B81">
        <w:rPr>
          <w:rFonts w:ascii="Arial" w:eastAsia="Times New Roman" w:hAnsi="Arial" w:cs="Arial"/>
          <w:kern w:val="0"/>
          <w:lang w:val="en-US" w:eastAsia="lt-LT"/>
          <w14:ligatures w14:val="none"/>
        </w:rPr>
        <w:t>Howe</w:t>
      </w:r>
      <w:r w:rsidR="00F43F3A" w:rsidRPr="00101B81">
        <w:rPr>
          <w:rFonts w:ascii="Arial" w:eastAsia="Times New Roman" w:hAnsi="Arial" w:cs="Arial"/>
          <w:kern w:val="0"/>
          <w:lang w:val="en-US" w:eastAsia="lt-LT"/>
          <w14:ligatures w14:val="none"/>
        </w:rPr>
        <w:t>ver</w:t>
      </w:r>
      <w:proofErr w:type="gramEnd"/>
      <w:r w:rsidR="00F43F3A" w:rsidRPr="00101B81">
        <w:rPr>
          <w:rFonts w:ascii="Arial" w:eastAsia="Times New Roman" w:hAnsi="Arial" w:cs="Arial"/>
          <w:kern w:val="0"/>
          <w:lang w:val="en-US" w:eastAsia="lt-LT"/>
          <w14:ligatures w14:val="none"/>
        </w:rPr>
        <w:t xml:space="preserve"> TRA states, </w:t>
      </w:r>
      <w:proofErr w:type="gramStart"/>
      <w:r w:rsidR="00F43F3A" w:rsidRPr="00101B81">
        <w:rPr>
          <w:rFonts w:ascii="Arial" w:eastAsia="Times New Roman" w:hAnsi="Arial" w:cs="Arial"/>
          <w:kern w:val="0"/>
          <w:lang w:val="en-US" w:eastAsia="lt-LT"/>
          <w14:ligatures w14:val="none"/>
        </w:rPr>
        <w:t>that ,,&lt;</w:t>
      </w:r>
      <w:proofErr w:type="gramEnd"/>
      <w:r w:rsidR="00F43F3A" w:rsidRPr="00101B81">
        <w:rPr>
          <w:rFonts w:ascii="Arial" w:eastAsia="Times New Roman" w:hAnsi="Arial" w:cs="Arial"/>
          <w:kern w:val="0"/>
          <w:lang w:val="en-US" w:eastAsia="lt-LT"/>
          <w14:ligatures w14:val="none"/>
        </w:rPr>
        <w:t xml:space="preserve">...&gt;not able to express this undercutting as a margin of import prices, because the TRA does not have sufficiently reliable data that provides import volumes by individual PCNs. The TRA was not able to perform this calculation over the whole of the IP, because (as stated, above) the OTS data that the TRA had access to did not reflect the specific allegations of </w:t>
      </w:r>
      <w:proofErr w:type="gramStart"/>
      <w:r w:rsidR="00F43F3A" w:rsidRPr="00101B81">
        <w:rPr>
          <w:rFonts w:ascii="Arial" w:eastAsia="Times New Roman" w:hAnsi="Arial" w:cs="Arial"/>
          <w:kern w:val="0"/>
          <w:lang w:val="en-US" w:eastAsia="lt-LT"/>
          <w14:ligatures w14:val="none"/>
        </w:rPr>
        <w:t>dumping“</w:t>
      </w:r>
      <w:r w:rsidR="00275018" w:rsidRPr="00101B81">
        <w:rPr>
          <w:rFonts w:ascii="Arial" w:eastAsia="Times New Roman" w:hAnsi="Arial" w:cs="Arial"/>
          <w:kern w:val="0"/>
          <w:lang w:val="en-US" w:eastAsia="lt-LT"/>
          <w14:ligatures w14:val="none"/>
        </w:rPr>
        <w:t xml:space="preserve"> [</w:t>
      </w:r>
      <w:proofErr w:type="gramEnd"/>
      <w:r w:rsidR="00275018" w:rsidRPr="00101B81">
        <w:rPr>
          <w:rFonts w:ascii="Arial" w:eastAsia="Times New Roman" w:hAnsi="Arial" w:cs="Arial"/>
          <w:kern w:val="0"/>
          <w:lang w:val="en-US" w:eastAsia="lt-LT"/>
          <w14:ligatures w14:val="none"/>
        </w:rPr>
        <w:t>155].</w:t>
      </w:r>
    </w:p>
    <w:p w14:paraId="10478400" w14:textId="2FED7DC3" w:rsidR="00BD79FC" w:rsidRPr="00101B81" w:rsidRDefault="00F55D41" w:rsidP="00042FC6">
      <w:pPr>
        <w:pStyle w:val="Sraopastraipa"/>
        <w:numPr>
          <w:ilvl w:val="0"/>
          <w:numId w:val="7"/>
        </w:numPr>
        <w:spacing w:before="120" w:after="120" w:line="240" w:lineRule="auto"/>
        <w:ind w:left="426"/>
        <w:contextualSpacing w:val="0"/>
        <w:jc w:val="both"/>
        <w:rPr>
          <w:rFonts w:ascii="Arial" w:eastAsia="Times New Roman" w:hAnsi="Arial" w:cs="Arial"/>
          <w:kern w:val="0"/>
          <w:lang w:val="en-US" w:eastAsia="lt-LT"/>
          <w14:ligatures w14:val="none"/>
        </w:rPr>
      </w:pPr>
      <w:r w:rsidRPr="00101B81">
        <w:rPr>
          <w:rFonts w:ascii="Arial" w:eastAsia="Times New Roman" w:hAnsi="Arial" w:cs="Arial"/>
          <w:kern w:val="0"/>
          <w:lang w:val="en-US" w:eastAsia="lt-LT"/>
          <w14:ligatures w14:val="none"/>
        </w:rPr>
        <w:t xml:space="preserve">Figure 10 (paragraph 156) </w:t>
      </w:r>
      <w:r w:rsidR="00C947B1" w:rsidRPr="00101B81">
        <w:rPr>
          <w:rFonts w:ascii="Arial" w:eastAsia="Times New Roman" w:hAnsi="Arial" w:cs="Arial"/>
          <w:kern w:val="0"/>
          <w:lang w:val="en-US" w:eastAsia="lt-LT"/>
          <w14:ligatures w14:val="none"/>
        </w:rPr>
        <w:t xml:space="preserve">shows </w:t>
      </w:r>
      <w:r w:rsidR="0076313F" w:rsidRPr="00101B81">
        <w:rPr>
          <w:rFonts w:ascii="Arial" w:eastAsia="Times New Roman" w:hAnsi="Arial" w:cs="Arial"/>
          <w:kern w:val="0"/>
          <w:lang w:val="en-US" w:eastAsia="lt-LT"/>
          <w14:ligatures w14:val="none"/>
        </w:rPr>
        <w:t xml:space="preserve">that average domestic sales prices per </w:t>
      </w:r>
      <w:proofErr w:type="spellStart"/>
      <w:r w:rsidR="0076313F" w:rsidRPr="00101B81">
        <w:rPr>
          <w:rFonts w:ascii="Arial" w:eastAsia="Times New Roman" w:hAnsi="Arial" w:cs="Arial"/>
          <w:kern w:val="0"/>
          <w:lang w:val="en-US" w:eastAsia="lt-LT"/>
          <w14:ligatures w14:val="none"/>
        </w:rPr>
        <w:t>litre</w:t>
      </w:r>
      <w:proofErr w:type="spellEnd"/>
      <w:r w:rsidR="0076313F" w:rsidRPr="00101B81">
        <w:rPr>
          <w:rFonts w:ascii="Arial" w:eastAsia="Times New Roman" w:hAnsi="Arial" w:cs="Arial"/>
          <w:kern w:val="0"/>
          <w:lang w:val="en-US" w:eastAsia="lt-LT"/>
          <w14:ligatures w14:val="none"/>
        </w:rPr>
        <w:t xml:space="preserve"> for engine oils increased</w:t>
      </w:r>
      <w:r w:rsidR="0003377F" w:rsidRPr="00101B81">
        <w:rPr>
          <w:rFonts w:ascii="Arial" w:eastAsia="Times New Roman" w:hAnsi="Arial" w:cs="Arial"/>
          <w:kern w:val="0"/>
          <w:lang w:val="en-US" w:eastAsia="lt-LT"/>
          <w14:ligatures w14:val="none"/>
        </w:rPr>
        <w:t xml:space="preserve">. </w:t>
      </w:r>
      <w:r w:rsidR="00A53A09" w:rsidRPr="00101B81">
        <w:rPr>
          <w:rFonts w:ascii="Arial" w:eastAsia="Times New Roman" w:hAnsi="Arial" w:cs="Arial"/>
          <w:kern w:val="0"/>
          <w:lang w:val="en-US" w:eastAsia="lt-LT"/>
          <w14:ligatures w14:val="none"/>
        </w:rPr>
        <w:t xml:space="preserve">Only a very minor decrease is noticeable at the end of POI. </w:t>
      </w:r>
      <w:r w:rsidR="001E6CA2" w:rsidRPr="00101B81">
        <w:rPr>
          <w:rFonts w:ascii="Arial" w:eastAsia="Times New Roman" w:hAnsi="Arial" w:cs="Arial"/>
          <w:kern w:val="0"/>
          <w:lang w:val="en-US" w:eastAsia="lt-LT"/>
          <w14:ligatures w14:val="none"/>
        </w:rPr>
        <w:t xml:space="preserve">Average domestic sales price per </w:t>
      </w:r>
      <w:proofErr w:type="spellStart"/>
      <w:r w:rsidR="001E6CA2" w:rsidRPr="00101B81">
        <w:rPr>
          <w:rFonts w:ascii="Arial" w:eastAsia="Times New Roman" w:hAnsi="Arial" w:cs="Arial"/>
          <w:kern w:val="0"/>
          <w:lang w:val="en-US" w:eastAsia="lt-LT"/>
          <w14:ligatures w14:val="none"/>
        </w:rPr>
        <w:t>litre</w:t>
      </w:r>
      <w:proofErr w:type="spellEnd"/>
      <w:r w:rsidR="001E6CA2" w:rsidRPr="00101B81">
        <w:rPr>
          <w:rFonts w:ascii="Arial" w:eastAsia="Times New Roman" w:hAnsi="Arial" w:cs="Arial"/>
          <w:kern w:val="0"/>
          <w:lang w:val="en-US" w:eastAsia="lt-LT"/>
          <w14:ligatures w14:val="none"/>
        </w:rPr>
        <w:t xml:space="preserve"> for hydraulic fluids was always increasing and started to decrease just at the end of POI [</w:t>
      </w:r>
      <w:r w:rsidR="00166728" w:rsidRPr="00101B81">
        <w:rPr>
          <w:rFonts w:ascii="Arial" w:eastAsia="Times New Roman" w:hAnsi="Arial" w:cs="Arial"/>
          <w:kern w:val="0"/>
          <w:lang w:val="en-US" w:eastAsia="lt-LT"/>
          <w14:ligatures w14:val="none"/>
        </w:rPr>
        <w:t xml:space="preserve">Figure 11, paragraph </w:t>
      </w:r>
      <w:r w:rsidR="001E6CA2" w:rsidRPr="00101B81">
        <w:rPr>
          <w:rFonts w:ascii="Arial" w:eastAsia="Times New Roman" w:hAnsi="Arial" w:cs="Arial"/>
          <w:kern w:val="0"/>
          <w:lang w:val="en-US" w:eastAsia="lt-LT"/>
          <w14:ligatures w14:val="none"/>
        </w:rPr>
        <w:t>156]</w:t>
      </w:r>
      <w:r w:rsidR="00877414" w:rsidRPr="00101B81">
        <w:rPr>
          <w:rFonts w:ascii="Arial" w:eastAsia="Times New Roman" w:hAnsi="Arial" w:cs="Arial"/>
          <w:kern w:val="0"/>
          <w:lang w:val="en-US" w:eastAsia="lt-LT"/>
          <w14:ligatures w14:val="none"/>
        </w:rPr>
        <w:t xml:space="preserve">. </w:t>
      </w:r>
      <w:r w:rsidR="0042596A" w:rsidRPr="00101B81">
        <w:rPr>
          <w:rFonts w:ascii="Arial" w:eastAsia="Times New Roman" w:hAnsi="Arial" w:cs="Arial"/>
          <w:kern w:val="0"/>
          <w:lang w:val="en-US" w:eastAsia="lt-LT"/>
          <w14:ligatures w14:val="none"/>
        </w:rPr>
        <w:t>However, it is very important to consider the fact that during that period, imports</w:t>
      </w:r>
      <w:r w:rsidR="00547C97" w:rsidRPr="00101B81">
        <w:rPr>
          <w:rFonts w:ascii="Arial" w:eastAsia="Times New Roman" w:hAnsi="Arial" w:cs="Arial"/>
          <w:kern w:val="0"/>
          <w:lang w:val="en-US" w:eastAsia="lt-LT"/>
          <w14:ligatures w14:val="none"/>
        </w:rPr>
        <w:t xml:space="preserve"> of 271019</w:t>
      </w:r>
      <w:r w:rsidR="00BD79FC" w:rsidRPr="00101B81">
        <w:rPr>
          <w:rFonts w:ascii="Arial" w:eastAsia="Times New Roman" w:hAnsi="Arial" w:cs="Arial"/>
          <w:kern w:val="0"/>
          <w:lang w:val="en-US" w:eastAsia="lt-LT"/>
          <w14:ligatures w14:val="none"/>
        </w:rPr>
        <w:t>83</w:t>
      </w:r>
      <w:r w:rsidR="0042596A" w:rsidRPr="00101B81">
        <w:rPr>
          <w:rFonts w:ascii="Arial" w:eastAsia="Times New Roman" w:hAnsi="Arial" w:cs="Arial"/>
          <w:kern w:val="0"/>
          <w:lang w:val="en-US" w:eastAsia="lt-LT"/>
          <w14:ligatures w14:val="none"/>
        </w:rPr>
        <w:t xml:space="preserve"> from Lithuania decreased significantly</w:t>
      </w:r>
      <w:r w:rsidR="00BD79FC" w:rsidRPr="00101B81">
        <w:rPr>
          <w:rFonts w:ascii="Arial" w:eastAsia="Times New Roman" w:hAnsi="Arial" w:cs="Arial"/>
          <w:kern w:val="0"/>
          <w:lang w:val="en-US" w:eastAsia="lt-LT"/>
          <w14:ligatures w14:val="none"/>
        </w:rPr>
        <w:t xml:space="preserve"> [142]</w:t>
      </w:r>
      <w:r w:rsidR="009778E7" w:rsidRPr="00101B81">
        <w:rPr>
          <w:rFonts w:ascii="Arial" w:eastAsia="Times New Roman" w:hAnsi="Arial" w:cs="Arial"/>
          <w:kern w:val="0"/>
          <w:lang w:val="en-US" w:eastAsia="lt-LT"/>
          <w14:ligatures w14:val="none"/>
        </w:rPr>
        <w:t xml:space="preserve"> and imports of 27101981 from Lithuania</w:t>
      </w:r>
      <w:r w:rsidR="00CD73FB" w:rsidRPr="00101B81">
        <w:rPr>
          <w:rFonts w:ascii="Arial" w:eastAsia="Times New Roman" w:hAnsi="Arial" w:cs="Arial"/>
          <w:kern w:val="0"/>
          <w:lang w:val="en-US" w:eastAsia="lt-LT"/>
          <w14:ligatures w14:val="none"/>
        </w:rPr>
        <w:t xml:space="preserve"> were</w:t>
      </w:r>
      <w:r w:rsidR="00900D78" w:rsidRPr="00101B81">
        <w:rPr>
          <w:rFonts w:ascii="Arial" w:eastAsia="Times New Roman" w:hAnsi="Arial" w:cs="Arial"/>
          <w:kern w:val="0"/>
          <w:lang w:val="en-US" w:eastAsia="lt-LT"/>
          <w14:ligatures w14:val="none"/>
        </w:rPr>
        <w:t xml:space="preserve"> </w:t>
      </w:r>
      <w:r w:rsidR="00CD73FB" w:rsidRPr="00101B81">
        <w:rPr>
          <w:rFonts w:ascii="Arial" w:eastAsia="Times New Roman" w:hAnsi="Arial" w:cs="Arial"/>
          <w:kern w:val="0"/>
          <w:lang w:val="en-US" w:eastAsia="lt-LT"/>
          <w14:ligatures w14:val="none"/>
        </w:rPr>
        <w:t>lower than imports from the UAE [141]</w:t>
      </w:r>
      <w:r w:rsidR="00546A75" w:rsidRPr="00101B81">
        <w:rPr>
          <w:rFonts w:ascii="Arial" w:eastAsia="Times New Roman" w:hAnsi="Arial" w:cs="Arial"/>
          <w:kern w:val="0"/>
          <w:lang w:val="en-US" w:eastAsia="lt-LT"/>
          <w14:ligatures w14:val="none"/>
        </w:rPr>
        <w:t>:</w:t>
      </w:r>
    </w:p>
    <w:p w14:paraId="56EA6201" w14:textId="31B87E35" w:rsidR="0042596A" w:rsidRPr="00AE2D37" w:rsidRDefault="00E13C05" w:rsidP="00042FC6">
      <w:pPr>
        <w:spacing w:before="120" w:after="120" w:line="240" w:lineRule="auto"/>
        <w:rPr>
          <w:rFonts w:ascii="Arial" w:eastAsia="Times New Roman" w:hAnsi="Arial" w:cs="Arial"/>
          <w:kern w:val="0"/>
          <w:lang w:val="en-US" w:eastAsia="lt-LT"/>
          <w14:ligatures w14:val="none"/>
        </w:rPr>
      </w:pPr>
      <w:r w:rsidRPr="00AE2D37">
        <w:rPr>
          <w:rFonts w:ascii="Arial" w:eastAsia="Times New Roman" w:hAnsi="Arial" w:cs="Arial"/>
          <w:noProof/>
          <w:kern w:val="0"/>
          <w:lang w:val="en-US" w:eastAsia="lt-LT"/>
          <w14:ligatures w14:val="none"/>
        </w:rPr>
        <w:lastRenderedPageBreak/>
        <w:drawing>
          <wp:inline distT="0" distB="0" distL="0" distR="0" wp14:anchorId="015591DB" wp14:editId="14698F6E">
            <wp:extent cx="6332220" cy="734695"/>
            <wp:effectExtent l="0" t="0" r="0" b="8255"/>
            <wp:docPr id="22975131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734695"/>
                    </a:xfrm>
                    <a:prstGeom prst="rect">
                      <a:avLst/>
                    </a:prstGeom>
                    <a:noFill/>
                    <a:ln>
                      <a:noFill/>
                    </a:ln>
                  </pic:spPr>
                </pic:pic>
              </a:graphicData>
            </a:graphic>
          </wp:inline>
        </w:drawing>
      </w:r>
      <w:r w:rsidR="0042596A" w:rsidRPr="00AE2D37">
        <w:rPr>
          <w:rFonts w:ascii="Arial" w:eastAsia="Times New Roman" w:hAnsi="Arial" w:cs="Arial"/>
          <w:kern w:val="0"/>
          <w:lang w:val="en-US" w:eastAsia="lt-LT"/>
          <w14:ligatures w14:val="none"/>
        </w:rPr>
        <w:t xml:space="preserve"> </w:t>
      </w:r>
    </w:p>
    <w:p w14:paraId="4B61408F" w14:textId="51B2A94B" w:rsidR="00477079" w:rsidRPr="00AE2D37" w:rsidRDefault="00CA4B61" w:rsidP="00042FC6">
      <w:pPr>
        <w:spacing w:before="120" w:after="120" w:line="240" w:lineRule="auto"/>
        <w:rPr>
          <w:rFonts w:ascii="Arial" w:eastAsia="Times New Roman" w:hAnsi="Arial" w:cs="Arial"/>
          <w:kern w:val="0"/>
          <w:lang w:val="en-US" w:eastAsia="lt-LT"/>
          <w14:ligatures w14:val="none"/>
        </w:rPr>
      </w:pPr>
      <w:r w:rsidRPr="00AE2D37">
        <w:rPr>
          <w:rFonts w:ascii="Arial" w:eastAsia="Times New Roman" w:hAnsi="Arial" w:cs="Arial"/>
          <w:noProof/>
          <w:kern w:val="0"/>
          <w:lang w:val="en-US" w:eastAsia="lt-LT"/>
          <w14:ligatures w14:val="none"/>
        </w:rPr>
        <w:drawing>
          <wp:inline distT="0" distB="0" distL="0" distR="0" wp14:anchorId="1EECA7A8" wp14:editId="3F67B38E">
            <wp:extent cx="6332220" cy="707390"/>
            <wp:effectExtent l="0" t="0" r="0" b="0"/>
            <wp:docPr id="29086972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707390"/>
                    </a:xfrm>
                    <a:prstGeom prst="rect">
                      <a:avLst/>
                    </a:prstGeom>
                    <a:noFill/>
                    <a:ln>
                      <a:noFill/>
                    </a:ln>
                  </pic:spPr>
                </pic:pic>
              </a:graphicData>
            </a:graphic>
          </wp:inline>
        </w:drawing>
      </w:r>
    </w:p>
    <w:p w14:paraId="18812CF5" w14:textId="687D93BA" w:rsidR="00750356" w:rsidRPr="00042FC6" w:rsidRDefault="00900D78" w:rsidP="00042FC6">
      <w:pPr>
        <w:pStyle w:val="Sraopastraipa"/>
        <w:numPr>
          <w:ilvl w:val="0"/>
          <w:numId w:val="7"/>
        </w:numPr>
        <w:spacing w:before="120" w:after="120" w:line="240" w:lineRule="auto"/>
        <w:ind w:left="426"/>
        <w:contextualSpacing w:val="0"/>
        <w:jc w:val="both"/>
        <w:rPr>
          <w:rFonts w:ascii="Arial" w:eastAsia="Times New Roman" w:hAnsi="Arial" w:cs="Arial"/>
          <w:kern w:val="0"/>
          <w:lang w:val="en-US" w:eastAsia="lt-LT"/>
          <w14:ligatures w14:val="none"/>
        </w:rPr>
      </w:pPr>
      <w:r w:rsidRPr="00042FC6">
        <w:rPr>
          <w:rFonts w:ascii="Arial" w:eastAsia="Times New Roman" w:hAnsi="Arial" w:cs="Arial"/>
          <w:kern w:val="0"/>
          <w:lang w:val="en-US" w:eastAsia="lt-LT"/>
          <w14:ligatures w14:val="none"/>
        </w:rPr>
        <w:t xml:space="preserve">These circumstances allow us to conclude that imports from Lithuania could not objectively have been the cause of the forced reduction in sales prices in the UK and do not provide grounds for concluding that there is a causal link between the slight decrease in prices and imports </w:t>
      </w:r>
      <w:r w:rsidR="006900ED" w:rsidRPr="006900ED">
        <w:rPr>
          <w:rFonts w:ascii="Arial" w:eastAsia="Times New Roman" w:hAnsi="Arial" w:cs="Arial"/>
          <w:kern w:val="0"/>
          <w:lang w:val="en-US" w:eastAsia="lt-LT"/>
          <w14:ligatures w14:val="none"/>
        </w:rPr>
        <w:t xml:space="preserve">specifically </w:t>
      </w:r>
      <w:r w:rsidRPr="00042FC6">
        <w:rPr>
          <w:rFonts w:ascii="Arial" w:eastAsia="Times New Roman" w:hAnsi="Arial" w:cs="Arial"/>
          <w:kern w:val="0"/>
          <w:lang w:val="en-US" w:eastAsia="lt-LT"/>
          <w14:ligatures w14:val="none"/>
        </w:rPr>
        <w:t>from Lithuania.</w:t>
      </w:r>
    </w:p>
    <w:p w14:paraId="18A2025E" w14:textId="6FD4D61C" w:rsidR="00821747" w:rsidRPr="00042FC6" w:rsidRDefault="00821747" w:rsidP="00042FC6">
      <w:pPr>
        <w:pStyle w:val="Sraopastraipa"/>
        <w:numPr>
          <w:ilvl w:val="0"/>
          <w:numId w:val="7"/>
        </w:numPr>
        <w:spacing w:before="120" w:after="120" w:line="240" w:lineRule="auto"/>
        <w:ind w:left="426"/>
        <w:contextualSpacing w:val="0"/>
        <w:jc w:val="both"/>
        <w:rPr>
          <w:rFonts w:ascii="Arial" w:eastAsia="Times New Roman" w:hAnsi="Arial" w:cs="Arial"/>
          <w:kern w:val="0"/>
          <w:lang w:val="en-US" w:eastAsia="lt-LT"/>
          <w14:ligatures w14:val="none"/>
        </w:rPr>
      </w:pPr>
      <w:r w:rsidRPr="00042FC6">
        <w:rPr>
          <w:rFonts w:ascii="Arial" w:eastAsia="Times New Roman" w:hAnsi="Arial" w:cs="Arial"/>
          <w:kern w:val="0"/>
          <w:lang w:val="en-US" w:eastAsia="lt-LT"/>
          <w14:ligatures w14:val="none"/>
        </w:rPr>
        <w:t>Also, figure 16</w:t>
      </w:r>
      <w:r w:rsidR="00024C26" w:rsidRPr="00042FC6">
        <w:rPr>
          <w:rFonts w:ascii="Arial" w:eastAsia="Times New Roman" w:hAnsi="Arial" w:cs="Arial"/>
          <w:kern w:val="0"/>
          <w:lang w:val="en-US" w:eastAsia="lt-LT"/>
          <w14:ligatures w14:val="none"/>
        </w:rPr>
        <w:t xml:space="preserve"> (paragraph 196) clearly shows, that </w:t>
      </w:r>
      <w:r w:rsidR="00E67722" w:rsidRPr="00042FC6">
        <w:rPr>
          <w:rFonts w:ascii="Arial" w:eastAsia="Times New Roman" w:hAnsi="Arial" w:cs="Arial"/>
          <w:kern w:val="0"/>
          <w:lang w:val="en-US" w:eastAsia="lt-LT"/>
          <w14:ligatures w14:val="none"/>
        </w:rPr>
        <w:t xml:space="preserve">price of </w:t>
      </w:r>
      <w:r w:rsidR="00900D78" w:rsidRPr="00042FC6">
        <w:rPr>
          <w:rFonts w:ascii="Arial" w:eastAsia="Times New Roman" w:hAnsi="Arial" w:cs="Arial"/>
          <w:kern w:val="0"/>
          <w:lang w:val="en-US" w:eastAsia="lt-LT"/>
          <w14:ligatures w14:val="none"/>
        </w:rPr>
        <w:t xml:space="preserve">UK </w:t>
      </w:r>
      <w:r w:rsidR="00E67722" w:rsidRPr="00042FC6">
        <w:rPr>
          <w:rFonts w:ascii="Arial" w:eastAsia="Times New Roman" w:hAnsi="Arial" w:cs="Arial"/>
          <w:kern w:val="0"/>
          <w:lang w:val="en-US" w:eastAsia="lt-LT"/>
          <w14:ligatures w14:val="none"/>
        </w:rPr>
        <w:t>domesticall</w:t>
      </w:r>
      <w:r w:rsidR="00900D78" w:rsidRPr="00042FC6">
        <w:rPr>
          <w:rFonts w:ascii="Arial" w:eastAsia="Times New Roman" w:hAnsi="Arial" w:cs="Arial"/>
          <w:kern w:val="0"/>
          <w:lang w:val="en-US" w:eastAsia="lt-LT"/>
          <w14:ligatures w14:val="none"/>
        </w:rPr>
        <w:t>y</w:t>
      </w:r>
      <w:r w:rsidR="00E67722" w:rsidRPr="00042FC6">
        <w:rPr>
          <w:rFonts w:ascii="Arial" w:eastAsia="Times New Roman" w:hAnsi="Arial" w:cs="Arial"/>
          <w:kern w:val="0"/>
          <w:lang w:val="en-US" w:eastAsia="lt-LT"/>
          <w14:ligatures w14:val="none"/>
        </w:rPr>
        <w:t xml:space="preserve"> manufactured engine oils </w:t>
      </w:r>
      <w:r w:rsidR="00CE46E9" w:rsidRPr="00042FC6">
        <w:rPr>
          <w:rFonts w:ascii="Arial" w:eastAsia="Times New Roman" w:hAnsi="Arial" w:cs="Arial"/>
          <w:kern w:val="0"/>
          <w:lang w:val="en-US" w:eastAsia="lt-LT"/>
          <w14:ligatures w14:val="none"/>
        </w:rPr>
        <w:t xml:space="preserve">was increasing despite the </w:t>
      </w:r>
      <w:proofErr w:type="spellStart"/>
      <w:r w:rsidR="00CE46E9" w:rsidRPr="00042FC6">
        <w:rPr>
          <w:rFonts w:ascii="Arial" w:eastAsia="Times New Roman" w:hAnsi="Arial" w:cs="Arial"/>
          <w:kern w:val="0"/>
          <w:lang w:val="en-US" w:eastAsia="lt-LT"/>
          <w14:ligatures w14:val="none"/>
        </w:rPr>
        <w:t>the</w:t>
      </w:r>
      <w:proofErr w:type="spellEnd"/>
      <w:r w:rsidR="00CE46E9" w:rsidRPr="00042FC6">
        <w:rPr>
          <w:rFonts w:ascii="Arial" w:eastAsia="Times New Roman" w:hAnsi="Arial" w:cs="Arial"/>
          <w:kern w:val="0"/>
          <w:lang w:val="en-US" w:eastAsia="lt-LT"/>
          <w14:ligatures w14:val="none"/>
        </w:rPr>
        <w:t xml:space="preserve"> fact, that domestic sales by volume</w:t>
      </w:r>
      <w:r w:rsidR="00E70433" w:rsidRPr="00042FC6">
        <w:rPr>
          <w:rFonts w:ascii="Arial" w:eastAsia="Times New Roman" w:hAnsi="Arial" w:cs="Arial"/>
          <w:kern w:val="0"/>
          <w:lang w:val="en-US" w:eastAsia="lt-LT"/>
          <w14:ligatures w14:val="none"/>
        </w:rPr>
        <w:t xml:space="preserve"> decreased slightly.</w:t>
      </w:r>
    </w:p>
    <w:p w14:paraId="03C2702E" w14:textId="74057866" w:rsidR="00F60784" w:rsidRPr="00042FC6" w:rsidRDefault="000E49AC" w:rsidP="00042FC6">
      <w:pPr>
        <w:pStyle w:val="Sraopastraipa"/>
        <w:numPr>
          <w:ilvl w:val="0"/>
          <w:numId w:val="7"/>
        </w:numPr>
        <w:spacing w:before="120" w:after="120" w:line="240" w:lineRule="auto"/>
        <w:ind w:left="426"/>
        <w:contextualSpacing w:val="0"/>
        <w:jc w:val="both"/>
        <w:rPr>
          <w:rFonts w:ascii="Arial" w:eastAsia="Times New Roman" w:hAnsi="Arial" w:cs="Arial"/>
          <w:kern w:val="0"/>
          <w:lang w:val="en-US" w:eastAsia="lt-LT"/>
          <w14:ligatures w14:val="none"/>
        </w:rPr>
      </w:pPr>
      <w:r w:rsidRPr="00042FC6">
        <w:rPr>
          <w:rFonts w:ascii="Arial" w:eastAsia="Times New Roman" w:hAnsi="Arial" w:cs="Arial"/>
          <w:kern w:val="0"/>
          <w:lang w:val="en-US" w:eastAsia="lt-LT"/>
          <w14:ligatures w14:val="none"/>
        </w:rPr>
        <w:t xml:space="preserve">Furthermore, </w:t>
      </w:r>
      <w:r w:rsidR="00F60784" w:rsidRPr="00042FC6">
        <w:rPr>
          <w:rFonts w:ascii="Arial" w:eastAsia="Times New Roman" w:hAnsi="Arial" w:cs="Arial"/>
          <w:kern w:val="0"/>
          <w:lang w:val="en-US" w:eastAsia="lt-LT"/>
          <w14:ligatures w14:val="none"/>
        </w:rPr>
        <w:t xml:space="preserve">TRA has found no evidence of price depression, as, generally, UK industry </w:t>
      </w:r>
      <w:proofErr w:type="gramStart"/>
      <w:r w:rsidR="00F60784" w:rsidRPr="00042FC6">
        <w:rPr>
          <w:rFonts w:ascii="Arial" w:eastAsia="Times New Roman" w:hAnsi="Arial" w:cs="Arial"/>
          <w:kern w:val="0"/>
          <w:lang w:val="en-US" w:eastAsia="lt-LT"/>
          <w14:ligatures w14:val="none"/>
        </w:rPr>
        <w:t>have</w:t>
      </w:r>
      <w:proofErr w:type="gramEnd"/>
      <w:r w:rsidR="00F60784" w:rsidRPr="00042FC6">
        <w:rPr>
          <w:rFonts w:ascii="Arial" w:eastAsia="Times New Roman" w:hAnsi="Arial" w:cs="Arial"/>
          <w:kern w:val="0"/>
          <w:lang w:val="en-US" w:eastAsia="lt-LT"/>
          <w14:ligatures w14:val="none"/>
        </w:rPr>
        <w:t xml:space="preserve"> not reduced their prices over the IP (with the exception of the final year of the IP to the POI) </w:t>
      </w:r>
      <w:r w:rsidR="006E385F" w:rsidRPr="00042FC6">
        <w:rPr>
          <w:rFonts w:ascii="Arial" w:eastAsia="Times New Roman" w:hAnsi="Arial" w:cs="Arial"/>
          <w:kern w:val="0"/>
          <w:lang w:val="en-US" w:eastAsia="lt-LT"/>
          <w14:ligatures w14:val="none"/>
        </w:rPr>
        <w:t>[157]</w:t>
      </w:r>
      <w:r w:rsidR="00900D78" w:rsidRPr="00042FC6">
        <w:rPr>
          <w:rFonts w:ascii="Arial" w:eastAsia="Times New Roman" w:hAnsi="Arial" w:cs="Arial"/>
          <w:kern w:val="0"/>
          <w:lang w:val="en-US" w:eastAsia="lt-LT"/>
          <w14:ligatures w14:val="none"/>
        </w:rPr>
        <w:t xml:space="preserve">, </w:t>
      </w:r>
      <w:r w:rsidR="001B27C3" w:rsidRPr="00042FC6">
        <w:rPr>
          <w:rFonts w:ascii="Arial" w:eastAsia="Times New Roman" w:hAnsi="Arial" w:cs="Arial"/>
          <w:kern w:val="0"/>
          <w:lang w:val="en-US" w:eastAsia="lt-LT"/>
          <w14:ligatures w14:val="none"/>
        </w:rPr>
        <w:t>when imports from Lithuania had decreased significantly.</w:t>
      </w:r>
    </w:p>
    <w:p w14:paraId="1A682249" w14:textId="3E8EF662" w:rsidR="00564066" w:rsidRPr="00AE2D37" w:rsidRDefault="00B11CC1" w:rsidP="00042FC6">
      <w:pPr>
        <w:pStyle w:val="Sraopastraipa"/>
        <w:numPr>
          <w:ilvl w:val="0"/>
          <w:numId w:val="5"/>
        </w:numPr>
        <w:spacing w:before="120" w:after="120" w:line="240" w:lineRule="auto"/>
        <w:contextualSpacing w:val="0"/>
        <w:rPr>
          <w:rFonts w:ascii="Arial" w:hAnsi="Arial" w:cs="Arial"/>
          <w:i/>
          <w:iCs/>
          <w:lang w:val="en-US"/>
        </w:rPr>
      </w:pPr>
      <w:r w:rsidRPr="00AE2D37">
        <w:rPr>
          <w:rFonts w:ascii="Arial" w:hAnsi="Arial" w:cs="Arial"/>
          <w:b/>
          <w:bCs/>
          <w:lang w:val="en-US"/>
        </w:rPr>
        <w:t xml:space="preserve">Concerns raised by </w:t>
      </w:r>
      <w:r w:rsidR="00117E22" w:rsidRPr="00AE2D37">
        <w:rPr>
          <w:rFonts w:ascii="Arial" w:hAnsi="Arial" w:cs="Arial"/>
          <w:b/>
          <w:bCs/>
          <w:lang w:val="en-US"/>
        </w:rPr>
        <w:t>European Commission (EC)</w:t>
      </w:r>
      <w:r w:rsidRPr="00AE2D37">
        <w:rPr>
          <w:rFonts w:ascii="Arial" w:hAnsi="Arial" w:cs="Arial"/>
          <w:b/>
          <w:bCs/>
          <w:lang w:val="en-US"/>
        </w:rPr>
        <w:t xml:space="preserve"> were rejected </w:t>
      </w:r>
      <w:r w:rsidR="00564066" w:rsidRPr="00AE2D37">
        <w:rPr>
          <w:rFonts w:ascii="Arial" w:hAnsi="Arial" w:cs="Arial"/>
          <w:b/>
          <w:bCs/>
          <w:lang w:val="en-US"/>
        </w:rPr>
        <w:t>unreasonably, without justification</w:t>
      </w:r>
      <w:r w:rsidR="00564066" w:rsidRPr="00AE2D37">
        <w:rPr>
          <w:rFonts w:ascii="Arial" w:hAnsi="Arial" w:cs="Arial"/>
          <w:i/>
          <w:iCs/>
          <w:lang w:val="en-US"/>
        </w:rPr>
        <w:t>.</w:t>
      </w:r>
    </w:p>
    <w:p w14:paraId="4E4CE788" w14:textId="6DF904BD" w:rsidR="0064306D" w:rsidRPr="00042FC6" w:rsidRDefault="0064306D" w:rsidP="00042FC6">
      <w:pPr>
        <w:pStyle w:val="Sraopastraipa"/>
        <w:numPr>
          <w:ilvl w:val="0"/>
          <w:numId w:val="7"/>
        </w:numPr>
        <w:spacing w:before="120" w:after="120" w:line="240" w:lineRule="auto"/>
        <w:ind w:left="426"/>
        <w:contextualSpacing w:val="0"/>
        <w:jc w:val="both"/>
        <w:rPr>
          <w:rStyle w:val="Vietosrezervavimoenklotekstas"/>
          <w:rFonts w:ascii="Arial" w:hAnsi="Arial" w:cs="Arial"/>
          <w:color w:val="auto"/>
          <w:lang w:val="en-US"/>
        </w:rPr>
      </w:pPr>
      <w:r w:rsidRPr="00042FC6">
        <w:rPr>
          <w:rStyle w:val="Vietosrezervavimoenklotekstas"/>
          <w:rFonts w:ascii="Arial" w:hAnsi="Arial" w:cs="Arial"/>
          <w:color w:val="auto"/>
          <w:lang w:val="en-US"/>
        </w:rPr>
        <w:t>In response to the EC's arguments, the TRA limited itself to a formal assessment, that there was sufficient evidence submitted in the application to demonstrate industry support, dumping, material injury and causality. The TRA assessed that industry support was demonstrated through the domestic trade body, as well as by communications included in the confidential application that indicated the support of individual companies [42]. In other words, no response was given to the EC's comment on the association's (UKLA) powers to represent its members in the anti-dumping investigation, nor to the comment that the association did not support the request covering imports from Lithuania. Company therefore</w:t>
      </w:r>
      <w:r w:rsidR="001B27C3" w:rsidRPr="00042FC6">
        <w:rPr>
          <w:rStyle w:val="Vietosrezervavimoenklotekstas"/>
          <w:rFonts w:ascii="Arial" w:hAnsi="Arial" w:cs="Arial"/>
          <w:color w:val="auto"/>
          <w:lang w:val="en-US"/>
        </w:rPr>
        <w:t xml:space="preserve"> justifiably</w:t>
      </w:r>
      <w:r w:rsidRPr="00042FC6">
        <w:rPr>
          <w:rStyle w:val="Vietosrezervavimoenklotekstas"/>
          <w:rFonts w:ascii="Arial" w:hAnsi="Arial" w:cs="Arial"/>
          <w:color w:val="auto"/>
          <w:lang w:val="en-US"/>
        </w:rPr>
        <w:t xml:space="preserve"> considers</w:t>
      </w:r>
      <w:r w:rsidR="00F80F32" w:rsidRPr="00042FC6">
        <w:rPr>
          <w:rStyle w:val="Vietosrezervavimoenklotekstas"/>
          <w:rFonts w:ascii="Arial" w:hAnsi="Arial" w:cs="Arial"/>
          <w:color w:val="auto"/>
          <w:lang w:val="en-US"/>
        </w:rPr>
        <w:t xml:space="preserve"> </w:t>
      </w:r>
      <w:r w:rsidRPr="00042FC6">
        <w:rPr>
          <w:rStyle w:val="Vietosrezervavimoenklotekstas"/>
          <w:rFonts w:ascii="Arial" w:hAnsi="Arial" w:cs="Arial"/>
          <w:color w:val="auto"/>
          <w:lang w:val="en-US"/>
        </w:rPr>
        <w:t>that there were no grounds for investigating Lithuanian imports.</w:t>
      </w:r>
    </w:p>
    <w:p w14:paraId="4D362D38" w14:textId="74B0D3D8" w:rsidR="0040261D" w:rsidRPr="00042FC6" w:rsidRDefault="0040261D" w:rsidP="00042FC6">
      <w:pPr>
        <w:pStyle w:val="Sraopastraipa"/>
        <w:numPr>
          <w:ilvl w:val="0"/>
          <w:numId w:val="7"/>
        </w:numPr>
        <w:spacing w:before="120" w:after="120" w:line="240" w:lineRule="auto"/>
        <w:ind w:left="426"/>
        <w:contextualSpacing w:val="0"/>
        <w:jc w:val="both"/>
        <w:rPr>
          <w:rStyle w:val="Vietosrezervavimoenklotekstas"/>
          <w:rFonts w:ascii="Arial" w:hAnsi="Arial" w:cs="Arial"/>
          <w:color w:val="auto"/>
          <w:lang w:val="en-US"/>
        </w:rPr>
      </w:pPr>
      <w:r w:rsidRPr="00042FC6">
        <w:rPr>
          <w:rStyle w:val="Vietosrezervavimoenklotekstas"/>
          <w:rFonts w:ascii="Arial" w:hAnsi="Arial" w:cs="Arial"/>
          <w:color w:val="auto"/>
          <w:lang w:val="en-US"/>
        </w:rPr>
        <w:t xml:space="preserve">EC </w:t>
      </w:r>
      <w:r w:rsidR="0018778D" w:rsidRPr="00042FC6">
        <w:rPr>
          <w:rStyle w:val="Vietosrezervavimoenklotekstas"/>
          <w:rFonts w:ascii="Arial" w:hAnsi="Arial" w:cs="Arial"/>
          <w:color w:val="auto"/>
          <w:lang w:val="en-US"/>
        </w:rPr>
        <w:t xml:space="preserve">commented that </w:t>
      </w:r>
      <w:r w:rsidR="0018778D" w:rsidRPr="00042FC6">
        <w:rPr>
          <w:rFonts w:ascii="Arial" w:hAnsi="Arial" w:cs="Arial"/>
          <w:lang w:val="en-US"/>
        </w:rPr>
        <w:t xml:space="preserve">UAE export volumes to the UK are substantially higher than Lithuanian exports to the UK (from total imports </w:t>
      </w:r>
      <w:proofErr w:type="spellStart"/>
      <w:r w:rsidR="0018778D" w:rsidRPr="00042FC6">
        <w:rPr>
          <w:rFonts w:ascii="Arial" w:hAnsi="Arial" w:cs="Arial"/>
          <w:lang w:val="en-US"/>
        </w:rPr>
        <w:t>analysed</w:t>
      </w:r>
      <w:proofErr w:type="spellEnd"/>
      <w:r w:rsidR="0018778D" w:rsidRPr="00042FC6">
        <w:rPr>
          <w:rFonts w:ascii="Arial" w:hAnsi="Arial" w:cs="Arial"/>
          <w:lang w:val="en-US"/>
        </w:rPr>
        <w:t xml:space="preserve">, UAE represents around 80% of imports and Lithuania 20%); and UAE average prices are considerably lower than Lithuanian prices. Therefore, Lithuanian and UAE imports should be de-cumulated for the purpose of the injury analysis [131]. </w:t>
      </w:r>
      <w:r w:rsidR="001068B5" w:rsidRPr="00042FC6">
        <w:rPr>
          <w:rFonts w:ascii="Arial" w:hAnsi="Arial" w:cs="Arial"/>
          <w:lang w:val="en-US"/>
        </w:rPr>
        <w:t>In response to this EC's comment on cumulation, which refers to the insignificant volume of Lithuanian imports, TRA just state</w:t>
      </w:r>
      <w:r w:rsidR="008B7434" w:rsidRPr="00042FC6">
        <w:rPr>
          <w:rFonts w:ascii="Arial" w:hAnsi="Arial" w:cs="Arial"/>
          <w:lang w:val="en-US"/>
        </w:rPr>
        <w:t>d</w:t>
      </w:r>
      <w:r w:rsidR="001068B5" w:rsidRPr="00042FC6">
        <w:rPr>
          <w:rFonts w:ascii="Arial" w:hAnsi="Arial" w:cs="Arial"/>
          <w:lang w:val="en-US"/>
        </w:rPr>
        <w:t xml:space="preserve"> that the price is unreliable because trade is between related companies (no </w:t>
      </w:r>
      <w:proofErr w:type="spellStart"/>
      <w:r w:rsidR="001068B5" w:rsidRPr="00042FC6">
        <w:rPr>
          <w:rFonts w:ascii="Arial" w:hAnsi="Arial" w:cs="Arial"/>
          <w:lang w:val="en-US"/>
        </w:rPr>
        <w:t>argumented</w:t>
      </w:r>
      <w:proofErr w:type="spellEnd"/>
      <w:r w:rsidR="001068B5" w:rsidRPr="00042FC6">
        <w:rPr>
          <w:rFonts w:ascii="Arial" w:hAnsi="Arial" w:cs="Arial"/>
          <w:lang w:val="en-US"/>
        </w:rPr>
        <w:t xml:space="preserve"> response to the EC's comment on volume). And, secondly, TRA argues that that it is the same company manufacturing the same products (again, it does not respond to the EC's comment on </w:t>
      </w:r>
      <w:r w:rsidR="001C0F3D" w:rsidRPr="00042FC6">
        <w:rPr>
          <w:rFonts w:ascii="Arial" w:hAnsi="Arial" w:cs="Arial"/>
          <w:lang w:val="en-US"/>
        </w:rPr>
        <w:t>Lithuania</w:t>
      </w:r>
      <w:r w:rsidR="00A7687F" w:rsidRPr="00042FC6">
        <w:rPr>
          <w:rFonts w:ascii="Arial" w:hAnsi="Arial" w:cs="Arial"/>
          <w:lang w:val="en-US"/>
        </w:rPr>
        <w:t>n imports</w:t>
      </w:r>
      <w:r w:rsidR="001068B5" w:rsidRPr="00042FC6">
        <w:rPr>
          <w:rFonts w:ascii="Arial" w:hAnsi="Arial" w:cs="Arial"/>
          <w:lang w:val="en-US"/>
        </w:rPr>
        <w:t xml:space="preserve"> low volume). The EC </w:t>
      </w:r>
      <w:r w:rsidR="00A7687F" w:rsidRPr="00042FC6">
        <w:rPr>
          <w:rFonts w:ascii="Arial" w:hAnsi="Arial" w:cs="Arial"/>
          <w:lang w:val="en-US"/>
        </w:rPr>
        <w:t>clearly expresses</w:t>
      </w:r>
      <w:r w:rsidR="001068B5" w:rsidRPr="00042FC6">
        <w:rPr>
          <w:rFonts w:ascii="Arial" w:hAnsi="Arial" w:cs="Arial"/>
          <w:lang w:val="en-US"/>
        </w:rPr>
        <w:t xml:space="preserve"> that L</w:t>
      </w:r>
      <w:r w:rsidR="00A7687F" w:rsidRPr="00042FC6">
        <w:rPr>
          <w:rFonts w:ascii="Arial" w:hAnsi="Arial" w:cs="Arial"/>
          <w:lang w:val="en-US"/>
        </w:rPr>
        <w:t>ithuania</w:t>
      </w:r>
      <w:r w:rsidR="001068B5" w:rsidRPr="00042FC6">
        <w:rPr>
          <w:rFonts w:ascii="Arial" w:hAnsi="Arial" w:cs="Arial"/>
          <w:lang w:val="en-US"/>
        </w:rPr>
        <w:t xml:space="preserve"> should be excluded</w:t>
      </w:r>
      <w:r w:rsidR="00A7687F" w:rsidRPr="00042FC6">
        <w:rPr>
          <w:rFonts w:ascii="Arial" w:hAnsi="Arial" w:cs="Arial"/>
          <w:lang w:val="en-US"/>
        </w:rPr>
        <w:t xml:space="preserve"> from the investigation</w:t>
      </w:r>
      <w:r w:rsidR="001068B5" w:rsidRPr="00042FC6">
        <w:rPr>
          <w:rFonts w:ascii="Arial" w:hAnsi="Arial" w:cs="Arial"/>
          <w:lang w:val="en-US"/>
        </w:rPr>
        <w:t xml:space="preserve"> because it imports too little compared to the </w:t>
      </w:r>
      <w:r w:rsidR="00A7687F" w:rsidRPr="00042FC6">
        <w:rPr>
          <w:rFonts w:ascii="Arial" w:hAnsi="Arial" w:cs="Arial"/>
          <w:lang w:val="en-US"/>
        </w:rPr>
        <w:t xml:space="preserve">imports from </w:t>
      </w:r>
      <w:r w:rsidR="001068B5" w:rsidRPr="00042FC6">
        <w:rPr>
          <w:rFonts w:ascii="Arial" w:hAnsi="Arial" w:cs="Arial"/>
          <w:lang w:val="en-US"/>
        </w:rPr>
        <w:t xml:space="preserve">UAE, but the TRA </w:t>
      </w:r>
      <w:proofErr w:type="gramStart"/>
      <w:r w:rsidR="00A7687F" w:rsidRPr="00042FC6">
        <w:rPr>
          <w:rFonts w:ascii="Arial" w:hAnsi="Arial" w:cs="Arial"/>
          <w:lang w:val="en-US"/>
        </w:rPr>
        <w:t>didn‘</w:t>
      </w:r>
      <w:proofErr w:type="gramEnd"/>
      <w:r w:rsidR="00A7687F" w:rsidRPr="00042FC6">
        <w:rPr>
          <w:rFonts w:ascii="Arial" w:hAnsi="Arial" w:cs="Arial"/>
          <w:lang w:val="en-US"/>
        </w:rPr>
        <w:t>t</w:t>
      </w:r>
      <w:r w:rsidR="001068B5" w:rsidRPr="00042FC6">
        <w:rPr>
          <w:rFonts w:ascii="Arial" w:hAnsi="Arial" w:cs="Arial"/>
          <w:lang w:val="en-US"/>
        </w:rPr>
        <w:t xml:space="preserve"> </w:t>
      </w:r>
      <w:proofErr w:type="gramStart"/>
      <w:r w:rsidR="001068B5" w:rsidRPr="00042FC6">
        <w:rPr>
          <w:rFonts w:ascii="Arial" w:hAnsi="Arial" w:cs="Arial"/>
          <w:lang w:val="en-US"/>
        </w:rPr>
        <w:t>respond</w:t>
      </w:r>
      <w:proofErr w:type="gramEnd"/>
      <w:r w:rsidR="001068B5" w:rsidRPr="00042FC6">
        <w:rPr>
          <w:rFonts w:ascii="Arial" w:hAnsi="Arial" w:cs="Arial"/>
          <w:lang w:val="en-US"/>
        </w:rPr>
        <w:t xml:space="preserve"> to this comment in any way, </w:t>
      </w:r>
      <w:r w:rsidR="00A7687F" w:rsidRPr="00042FC6">
        <w:rPr>
          <w:rFonts w:ascii="Arial" w:hAnsi="Arial" w:cs="Arial"/>
          <w:lang w:val="en-US"/>
        </w:rPr>
        <w:t xml:space="preserve">just </w:t>
      </w:r>
      <w:r w:rsidR="001068B5" w:rsidRPr="00042FC6">
        <w:rPr>
          <w:rFonts w:ascii="Arial" w:hAnsi="Arial" w:cs="Arial"/>
          <w:lang w:val="en-US"/>
        </w:rPr>
        <w:t xml:space="preserve">arguing that the export price is unreliable because trade is between related/associated companies, </w:t>
      </w:r>
      <w:r w:rsidR="00571D2A" w:rsidRPr="00042FC6">
        <w:rPr>
          <w:rFonts w:ascii="Arial" w:hAnsi="Arial" w:cs="Arial"/>
          <w:lang w:val="en-US"/>
        </w:rPr>
        <w:t xml:space="preserve">while </w:t>
      </w:r>
      <w:r w:rsidR="001068B5" w:rsidRPr="00042FC6">
        <w:rPr>
          <w:rFonts w:ascii="Arial" w:hAnsi="Arial" w:cs="Arial"/>
          <w:lang w:val="en-US"/>
        </w:rPr>
        <w:t>remains silent on the issue of volume and does not respond to this argument [132].</w:t>
      </w:r>
    </w:p>
    <w:p w14:paraId="277FFE19" w14:textId="3B441035" w:rsidR="000E49AC" w:rsidRPr="00FE4E7C" w:rsidRDefault="006449C4" w:rsidP="00042FC6">
      <w:pPr>
        <w:pStyle w:val="Sraopastraipa"/>
        <w:numPr>
          <w:ilvl w:val="0"/>
          <w:numId w:val="7"/>
        </w:numPr>
        <w:spacing w:before="120" w:after="120" w:line="240" w:lineRule="auto"/>
        <w:ind w:left="426"/>
        <w:contextualSpacing w:val="0"/>
        <w:jc w:val="both"/>
        <w:rPr>
          <w:rFonts w:ascii="Arial" w:eastAsia="Times New Roman" w:hAnsi="Arial" w:cs="Arial"/>
          <w:kern w:val="0"/>
          <w:lang w:val="en-US" w:eastAsia="lt-LT"/>
          <w14:ligatures w14:val="none"/>
        </w:rPr>
      </w:pPr>
      <w:r w:rsidRPr="00042FC6">
        <w:rPr>
          <w:rStyle w:val="Vietosrezervavimoenklotekstas"/>
          <w:rFonts w:ascii="Arial" w:hAnsi="Arial" w:cs="Arial"/>
          <w:color w:val="auto"/>
          <w:lang w:val="en-US"/>
        </w:rPr>
        <w:t xml:space="preserve">UAB SCT Lubricants supports the main arguments of </w:t>
      </w:r>
      <w:r w:rsidRPr="00042FC6">
        <w:rPr>
          <w:rFonts w:ascii="Arial" w:hAnsi="Arial" w:cs="Arial"/>
          <w:lang w:val="en-US"/>
        </w:rPr>
        <w:t>European Commission</w:t>
      </w:r>
      <w:r w:rsidR="001B27C3" w:rsidRPr="00042FC6">
        <w:rPr>
          <w:rFonts w:ascii="Arial" w:hAnsi="Arial" w:cs="Arial"/>
          <w:lang w:val="en-US"/>
        </w:rPr>
        <w:t xml:space="preserve"> and supports the opinion that imports from Lithuania were unjustifiably included in the investigation</w:t>
      </w:r>
      <w:r w:rsidR="003F6453" w:rsidRPr="00042FC6">
        <w:rPr>
          <w:rFonts w:ascii="Arial" w:hAnsi="Arial" w:cs="Arial"/>
          <w:lang w:val="en-US"/>
        </w:rPr>
        <w:t>.</w:t>
      </w:r>
    </w:p>
    <w:p w14:paraId="2B1EA330" w14:textId="2C02480F" w:rsidR="00FE4E7C" w:rsidRPr="004B2B2D" w:rsidRDefault="004B2B2D" w:rsidP="004B2B2D">
      <w:pPr>
        <w:pStyle w:val="Sraopastraipa"/>
        <w:spacing w:before="120" w:after="120" w:line="240" w:lineRule="auto"/>
        <w:ind w:left="426"/>
        <w:contextualSpacing w:val="0"/>
        <w:jc w:val="both"/>
        <w:rPr>
          <w:rFonts w:ascii="Arial" w:eastAsia="Times New Roman" w:hAnsi="Arial" w:cs="Arial"/>
          <w:b/>
          <w:bCs/>
          <w:kern w:val="0"/>
          <w:lang w:val="en-US" w:eastAsia="lt-LT"/>
          <w14:ligatures w14:val="none"/>
        </w:rPr>
      </w:pPr>
      <w:r w:rsidRPr="004B2B2D">
        <w:rPr>
          <w:rFonts w:ascii="Arial" w:hAnsi="Arial" w:cs="Arial"/>
          <w:b/>
          <w:bCs/>
          <w:lang w:val="en-US"/>
        </w:rPr>
        <w:t>Conclusion</w:t>
      </w:r>
    </w:p>
    <w:p w14:paraId="59F3A133" w14:textId="0E19E515" w:rsidR="004B2B2D" w:rsidRPr="004B2B2D" w:rsidRDefault="004B2B2D" w:rsidP="004B2B2D">
      <w:pPr>
        <w:pStyle w:val="Sraopastraipa"/>
        <w:numPr>
          <w:ilvl w:val="0"/>
          <w:numId w:val="7"/>
        </w:numPr>
        <w:spacing w:before="100" w:beforeAutospacing="1" w:after="100" w:afterAutospacing="1" w:line="240" w:lineRule="auto"/>
        <w:ind w:left="426"/>
        <w:jc w:val="both"/>
        <w:rPr>
          <w:rFonts w:ascii="Times New Roman" w:eastAsia="Times New Roman" w:hAnsi="Times New Roman" w:cs="Times New Roman"/>
          <w:kern w:val="0"/>
          <w:sz w:val="24"/>
          <w:szCs w:val="24"/>
          <w:lang w:val="en-US" w:eastAsia="lt-LT"/>
          <w14:ligatures w14:val="none"/>
        </w:rPr>
      </w:pPr>
      <w:r w:rsidRPr="004B2B2D">
        <w:rPr>
          <w:rFonts w:ascii="Arial" w:eastAsia="Times New Roman" w:hAnsi="Arial" w:cs="Arial"/>
          <w:kern w:val="0"/>
          <w:lang w:val="en-US" w:eastAsia="lt-LT"/>
          <w14:ligatures w14:val="none"/>
        </w:rPr>
        <w:lastRenderedPageBreak/>
        <w:t xml:space="preserve">In view of all the arguments set out in this response to the </w:t>
      </w:r>
      <w:r w:rsidR="0048756D">
        <w:rPr>
          <w:rFonts w:ascii="Arial" w:eastAsia="Times New Roman" w:hAnsi="Arial" w:cs="Arial"/>
          <w:kern w:val="0"/>
          <w:lang w:val="en-US" w:eastAsia="lt-LT"/>
          <w14:ligatures w14:val="none"/>
        </w:rPr>
        <w:t>Provisional Affirmative Determination</w:t>
      </w:r>
      <w:r w:rsidRPr="004B2B2D">
        <w:rPr>
          <w:rFonts w:ascii="Arial" w:eastAsia="Times New Roman" w:hAnsi="Arial" w:cs="Arial"/>
          <w:kern w:val="0"/>
          <w:lang w:val="en-US" w:eastAsia="lt-LT"/>
          <w14:ligatures w14:val="none"/>
        </w:rPr>
        <w:t xml:space="preserve">, TRA is respectfully requested to review its preliminary recommendations on tariff setting and to withdraw the </w:t>
      </w:r>
      <w:r w:rsidR="0048756D">
        <w:rPr>
          <w:rFonts w:ascii="Arial" w:eastAsia="Times New Roman" w:hAnsi="Arial" w:cs="Arial"/>
          <w:kern w:val="0"/>
          <w:lang w:val="en-US" w:eastAsia="lt-LT"/>
          <w14:ligatures w14:val="none"/>
        </w:rPr>
        <w:t>R</w:t>
      </w:r>
      <w:r w:rsidRPr="004B2B2D">
        <w:rPr>
          <w:rFonts w:ascii="Arial" w:eastAsia="Times New Roman" w:hAnsi="Arial" w:cs="Arial"/>
          <w:kern w:val="0"/>
          <w:lang w:val="en-US" w:eastAsia="lt-LT"/>
          <w14:ligatures w14:val="none"/>
        </w:rPr>
        <w:t xml:space="preserve">ecommendation </w:t>
      </w:r>
      <w:r w:rsidR="0048756D">
        <w:rPr>
          <w:rFonts w:ascii="Arial" w:eastAsia="Times New Roman" w:hAnsi="Arial" w:cs="Arial"/>
          <w:kern w:val="0"/>
          <w:lang w:val="en-US" w:eastAsia="lt-LT"/>
          <w14:ligatures w14:val="none"/>
        </w:rPr>
        <w:t>of</w:t>
      </w:r>
      <w:r w:rsidRPr="004B2B2D">
        <w:rPr>
          <w:rFonts w:ascii="Arial" w:eastAsia="Times New Roman" w:hAnsi="Arial" w:cs="Arial"/>
          <w:kern w:val="0"/>
          <w:lang w:val="en-US" w:eastAsia="lt-LT"/>
          <w14:ligatures w14:val="none"/>
        </w:rPr>
        <w:t xml:space="preserve"> </w:t>
      </w:r>
      <w:r w:rsidR="0048756D">
        <w:rPr>
          <w:rFonts w:ascii="Arial" w:eastAsia="Times New Roman" w:hAnsi="Arial" w:cs="Arial"/>
          <w:kern w:val="0"/>
          <w:lang w:val="en-US" w:eastAsia="lt-LT"/>
          <w14:ligatures w14:val="none"/>
        </w:rPr>
        <w:t>G</w:t>
      </w:r>
      <w:r w:rsidRPr="004B2B2D">
        <w:rPr>
          <w:rFonts w:ascii="Arial" w:eastAsia="Times New Roman" w:hAnsi="Arial" w:cs="Arial"/>
          <w:kern w:val="0"/>
          <w:lang w:val="en-US" w:eastAsia="lt-LT"/>
          <w14:ligatures w14:val="none"/>
        </w:rPr>
        <w:t>uarantee</w:t>
      </w:r>
      <w:r w:rsidR="0004725D">
        <w:rPr>
          <w:rFonts w:ascii="Arial" w:eastAsia="Times New Roman" w:hAnsi="Arial" w:cs="Arial"/>
          <w:kern w:val="0"/>
          <w:lang w:val="en-US" w:eastAsia="lt-LT"/>
          <w14:ligatures w14:val="none"/>
        </w:rPr>
        <w:t xml:space="preserve"> regarding the import from Lithuania</w:t>
      </w:r>
      <w:r w:rsidRPr="004B2B2D">
        <w:rPr>
          <w:rFonts w:ascii="Times New Roman" w:eastAsia="Times New Roman" w:hAnsi="Times New Roman" w:cs="Times New Roman"/>
          <w:kern w:val="0"/>
          <w:sz w:val="24"/>
          <w:szCs w:val="24"/>
          <w:lang w:val="en-US" w:eastAsia="lt-LT"/>
          <w14:ligatures w14:val="none"/>
        </w:rPr>
        <w:t>.</w:t>
      </w:r>
    </w:p>
    <w:p w14:paraId="707924E9" w14:textId="399CF3BB" w:rsidR="00F72C68" w:rsidRPr="004B2B2D" w:rsidRDefault="00F72C68" w:rsidP="004B2B2D">
      <w:pPr>
        <w:spacing w:before="120" w:after="120" w:line="240" w:lineRule="auto"/>
        <w:rPr>
          <w:rFonts w:ascii="Arial" w:hAnsi="Arial" w:cs="Arial"/>
          <w:lang w:val="en-US"/>
        </w:rPr>
      </w:pPr>
    </w:p>
    <w:p w14:paraId="488E2AC8" w14:textId="77777777" w:rsidR="00F72C68" w:rsidRPr="00AE2D37" w:rsidRDefault="00F72C68" w:rsidP="003F6453">
      <w:pPr>
        <w:spacing w:before="120" w:after="120" w:line="240" w:lineRule="auto"/>
        <w:rPr>
          <w:rFonts w:ascii="Arial" w:hAnsi="Arial" w:cs="Arial"/>
          <w:lang w:val="en-US"/>
        </w:rPr>
      </w:pPr>
    </w:p>
    <w:sectPr w:rsidR="00F72C68" w:rsidRPr="00AE2D37">
      <w:footerReference w:type="default" r:id="rId14"/>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2600" w14:textId="77777777" w:rsidR="00912A2F" w:rsidRDefault="00912A2F" w:rsidP="008C3DB4">
      <w:pPr>
        <w:spacing w:after="0" w:line="240" w:lineRule="auto"/>
      </w:pPr>
      <w:r>
        <w:separator/>
      </w:r>
    </w:p>
  </w:endnote>
  <w:endnote w:type="continuationSeparator" w:id="0">
    <w:p w14:paraId="23987045" w14:textId="77777777" w:rsidR="00912A2F" w:rsidRDefault="00912A2F" w:rsidP="008C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89912"/>
      <w:docPartObj>
        <w:docPartGallery w:val="Page Numbers (Bottom of Page)"/>
        <w:docPartUnique/>
      </w:docPartObj>
    </w:sdtPr>
    <w:sdtEndPr/>
    <w:sdtContent>
      <w:p w14:paraId="7F97ADBF" w14:textId="6CF9972B" w:rsidR="008C3DB4" w:rsidRDefault="008C3DB4">
        <w:pPr>
          <w:pStyle w:val="Porat"/>
          <w:jc w:val="center"/>
        </w:pPr>
        <w:r>
          <w:fldChar w:fldCharType="begin"/>
        </w:r>
        <w:r>
          <w:instrText>PAGE   \* MERGEFORMAT</w:instrText>
        </w:r>
        <w:r>
          <w:fldChar w:fldCharType="separate"/>
        </w:r>
        <w:r>
          <w:t>2</w:t>
        </w:r>
        <w:r>
          <w:fldChar w:fldCharType="end"/>
        </w:r>
      </w:p>
    </w:sdtContent>
  </w:sdt>
  <w:p w14:paraId="6954C34B" w14:textId="77777777" w:rsidR="008C3DB4" w:rsidRDefault="008C3D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4AA2" w14:textId="77777777" w:rsidR="00912A2F" w:rsidRDefault="00912A2F" w:rsidP="008C3DB4">
      <w:pPr>
        <w:spacing w:after="0" w:line="240" w:lineRule="auto"/>
      </w:pPr>
      <w:r>
        <w:separator/>
      </w:r>
    </w:p>
  </w:footnote>
  <w:footnote w:type="continuationSeparator" w:id="0">
    <w:p w14:paraId="5CA25641" w14:textId="77777777" w:rsidR="00912A2F" w:rsidRDefault="00912A2F" w:rsidP="008C3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1B8"/>
    <w:multiLevelType w:val="hybridMultilevel"/>
    <w:tmpl w:val="E1EE25FA"/>
    <w:lvl w:ilvl="0" w:tplc="70C246D6">
      <w:start w:val="1"/>
      <w:numFmt w:val="decimal"/>
      <w:lvlText w:val="%1."/>
      <w:lvlJc w:val="left"/>
      <w:pPr>
        <w:ind w:left="720" w:hanging="360"/>
      </w:pPr>
      <w:rPr>
        <w:b w:val="0"/>
        <w:bCs w:val="0"/>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E41AD6"/>
    <w:multiLevelType w:val="hybridMultilevel"/>
    <w:tmpl w:val="36745E9A"/>
    <w:lvl w:ilvl="0" w:tplc="CAC8E16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E542F"/>
    <w:multiLevelType w:val="hybridMultilevel"/>
    <w:tmpl w:val="AA8AF81E"/>
    <w:lvl w:ilvl="0" w:tplc="0427000F">
      <w:start w:val="1"/>
      <w:numFmt w:val="decimal"/>
      <w:lvlText w:val="%1."/>
      <w:lvlJc w:val="left"/>
      <w:pPr>
        <w:ind w:left="1145" w:hanging="360"/>
      </w:p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 w15:restartNumberingAfterBreak="0">
    <w:nsid w:val="202F5CAA"/>
    <w:multiLevelType w:val="hybridMultilevel"/>
    <w:tmpl w:val="60262780"/>
    <w:lvl w:ilvl="0" w:tplc="BB56532A">
      <w:start w:val="1"/>
      <w:numFmt w:val="upperRoman"/>
      <w:lvlText w:val="%1."/>
      <w:lvlJc w:val="left"/>
      <w:pPr>
        <w:ind w:left="1080" w:hanging="72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5E2498"/>
    <w:multiLevelType w:val="hybridMultilevel"/>
    <w:tmpl w:val="3B96754C"/>
    <w:lvl w:ilvl="0" w:tplc="669248C0">
      <w:start w:val="2"/>
      <w:numFmt w:val="bullet"/>
      <w:lvlText w:val="-"/>
      <w:lvlJc w:val="left"/>
      <w:pPr>
        <w:ind w:left="845" w:hanging="360"/>
      </w:pPr>
      <w:rPr>
        <w:rFonts w:ascii="Arial" w:eastAsiaTheme="minorHAnsi" w:hAnsi="Arial" w:cs="Arial" w:hint="default"/>
      </w:rPr>
    </w:lvl>
    <w:lvl w:ilvl="1" w:tplc="04270003" w:tentative="1">
      <w:start w:val="1"/>
      <w:numFmt w:val="bullet"/>
      <w:lvlText w:val="o"/>
      <w:lvlJc w:val="left"/>
      <w:pPr>
        <w:ind w:left="1565" w:hanging="360"/>
      </w:pPr>
      <w:rPr>
        <w:rFonts w:ascii="Courier New" w:hAnsi="Courier New" w:cs="Courier New" w:hint="default"/>
      </w:rPr>
    </w:lvl>
    <w:lvl w:ilvl="2" w:tplc="04270005" w:tentative="1">
      <w:start w:val="1"/>
      <w:numFmt w:val="bullet"/>
      <w:lvlText w:val=""/>
      <w:lvlJc w:val="left"/>
      <w:pPr>
        <w:ind w:left="2285" w:hanging="360"/>
      </w:pPr>
      <w:rPr>
        <w:rFonts w:ascii="Wingdings" w:hAnsi="Wingdings" w:hint="default"/>
      </w:rPr>
    </w:lvl>
    <w:lvl w:ilvl="3" w:tplc="04270001" w:tentative="1">
      <w:start w:val="1"/>
      <w:numFmt w:val="bullet"/>
      <w:lvlText w:val=""/>
      <w:lvlJc w:val="left"/>
      <w:pPr>
        <w:ind w:left="3005" w:hanging="360"/>
      </w:pPr>
      <w:rPr>
        <w:rFonts w:ascii="Symbol" w:hAnsi="Symbol" w:hint="default"/>
      </w:rPr>
    </w:lvl>
    <w:lvl w:ilvl="4" w:tplc="04270003" w:tentative="1">
      <w:start w:val="1"/>
      <w:numFmt w:val="bullet"/>
      <w:lvlText w:val="o"/>
      <w:lvlJc w:val="left"/>
      <w:pPr>
        <w:ind w:left="3725" w:hanging="360"/>
      </w:pPr>
      <w:rPr>
        <w:rFonts w:ascii="Courier New" w:hAnsi="Courier New" w:cs="Courier New" w:hint="default"/>
      </w:rPr>
    </w:lvl>
    <w:lvl w:ilvl="5" w:tplc="04270005" w:tentative="1">
      <w:start w:val="1"/>
      <w:numFmt w:val="bullet"/>
      <w:lvlText w:val=""/>
      <w:lvlJc w:val="left"/>
      <w:pPr>
        <w:ind w:left="4445" w:hanging="360"/>
      </w:pPr>
      <w:rPr>
        <w:rFonts w:ascii="Wingdings" w:hAnsi="Wingdings" w:hint="default"/>
      </w:rPr>
    </w:lvl>
    <w:lvl w:ilvl="6" w:tplc="04270001" w:tentative="1">
      <w:start w:val="1"/>
      <w:numFmt w:val="bullet"/>
      <w:lvlText w:val=""/>
      <w:lvlJc w:val="left"/>
      <w:pPr>
        <w:ind w:left="5165" w:hanging="360"/>
      </w:pPr>
      <w:rPr>
        <w:rFonts w:ascii="Symbol" w:hAnsi="Symbol" w:hint="default"/>
      </w:rPr>
    </w:lvl>
    <w:lvl w:ilvl="7" w:tplc="04270003" w:tentative="1">
      <w:start w:val="1"/>
      <w:numFmt w:val="bullet"/>
      <w:lvlText w:val="o"/>
      <w:lvlJc w:val="left"/>
      <w:pPr>
        <w:ind w:left="5885" w:hanging="360"/>
      </w:pPr>
      <w:rPr>
        <w:rFonts w:ascii="Courier New" w:hAnsi="Courier New" w:cs="Courier New" w:hint="default"/>
      </w:rPr>
    </w:lvl>
    <w:lvl w:ilvl="8" w:tplc="04270005" w:tentative="1">
      <w:start w:val="1"/>
      <w:numFmt w:val="bullet"/>
      <w:lvlText w:val=""/>
      <w:lvlJc w:val="left"/>
      <w:pPr>
        <w:ind w:left="6605" w:hanging="360"/>
      </w:pPr>
      <w:rPr>
        <w:rFonts w:ascii="Wingdings" w:hAnsi="Wingdings" w:hint="default"/>
      </w:rPr>
    </w:lvl>
  </w:abstractNum>
  <w:abstractNum w:abstractNumId="5" w15:restartNumberingAfterBreak="0">
    <w:nsid w:val="3FA01C95"/>
    <w:multiLevelType w:val="hybridMultilevel"/>
    <w:tmpl w:val="65140EBA"/>
    <w:lvl w:ilvl="0" w:tplc="47748186">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425B5E85"/>
    <w:multiLevelType w:val="hybridMultilevel"/>
    <w:tmpl w:val="E3B40A62"/>
    <w:lvl w:ilvl="0" w:tplc="C332F0D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514CF0"/>
    <w:multiLevelType w:val="hybridMultilevel"/>
    <w:tmpl w:val="42CAB436"/>
    <w:lvl w:ilvl="0" w:tplc="0CE85D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C871EA"/>
    <w:multiLevelType w:val="hybridMultilevel"/>
    <w:tmpl w:val="C720C146"/>
    <w:lvl w:ilvl="0" w:tplc="EC18E508">
      <w:start w:val="32"/>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C83E94"/>
    <w:multiLevelType w:val="hybridMultilevel"/>
    <w:tmpl w:val="A9A21D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9039461">
    <w:abstractNumId w:val="9"/>
  </w:num>
  <w:num w:numId="2" w16cid:durableId="1424763019">
    <w:abstractNumId w:val="6"/>
  </w:num>
  <w:num w:numId="3" w16cid:durableId="724108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01074">
    <w:abstractNumId w:val="7"/>
  </w:num>
  <w:num w:numId="5" w16cid:durableId="378826546">
    <w:abstractNumId w:val="3"/>
  </w:num>
  <w:num w:numId="6" w16cid:durableId="815143882">
    <w:abstractNumId w:val="1"/>
  </w:num>
  <w:num w:numId="7" w16cid:durableId="1992710986">
    <w:abstractNumId w:val="8"/>
  </w:num>
  <w:num w:numId="8" w16cid:durableId="1138492155">
    <w:abstractNumId w:val="2"/>
  </w:num>
  <w:num w:numId="9" w16cid:durableId="2130663674">
    <w:abstractNumId w:val="4"/>
  </w:num>
  <w:num w:numId="10" w16cid:durableId="138656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68"/>
    <w:rsid w:val="0000301C"/>
    <w:rsid w:val="000107C3"/>
    <w:rsid w:val="00024C26"/>
    <w:rsid w:val="00025D19"/>
    <w:rsid w:val="0003377F"/>
    <w:rsid w:val="00042FC6"/>
    <w:rsid w:val="0004725D"/>
    <w:rsid w:val="000538CF"/>
    <w:rsid w:val="00061B1E"/>
    <w:rsid w:val="000642B3"/>
    <w:rsid w:val="00065F90"/>
    <w:rsid w:val="000722A0"/>
    <w:rsid w:val="00083773"/>
    <w:rsid w:val="000A2F93"/>
    <w:rsid w:val="000B4A97"/>
    <w:rsid w:val="000E0C8D"/>
    <w:rsid w:val="000E49AC"/>
    <w:rsid w:val="00101B81"/>
    <w:rsid w:val="001042EF"/>
    <w:rsid w:val="001068B5"/>
    <w:rsid w:val="0010701B"/>
    <w:rsid w:val="00117E22"/>
    <w:rsid w:val="001376F7"/>
    <w:rsid w:val="00137F09"/>
    <w:rsid w:val="001413BC"/>
    <w:rsid w:val="00145228"/>
    <w:rsid w:val="00153C1D"/>
    <w:rsid w:val="001664AD"/>
    <w:rsid w:val="00166728"/>
    <w:rsid w:val="001762CB"/>
    <w:rsid w:val="0018778D"/>
    <w:rsid w:val="00191F92"/>
    <w:rsid w:val="00192AD6"/>
    <w:rsid w:val="001B0D42"/>
    <w:rsid w:val="001B27C3"/>
    <w:rsid w:val="001C0F3D"/>
    <w:rsid w:val="001D6208"/>
    <w:rsid w:val="001E6CA2"/>
    <w:rsid w:val="001E7818"/>
    <w:rsid w:val="00224974"/>
    <w:rsid w:val="00251DAD"/>
    <w:rsid w:val="00263E13"/>
    <w:rsid w:val="00265AF8"/>
    <w:rsid w:val="00275018"/>
    <w:rsid w:val="00284E0A"/>
    <w:rsid w:val="00291A6A"/>
    <w:rsid w:val="002933C6"/>
    <w:rsid w:val="002B5436"/>
    <w:rsid w:val="002D543D"/>
    <w:rsid w:val="002F1AB9"/>
    <w:rsid w:val="0030701C"/>
    <w:rsid w:val="00311FBC"/>
    <w:rsid w:val="0036578E"/>
    <w:rsid w:val="00371442"/>
    <w:rsid w:val="00372E40"/>
    <w:rsid w:val="003753B5"/>
    <w:rsid w:val="00381796"/>
    <w:rsid w:val="003878FA"/>
    <w:rsid w:val="003A03C1"/>
    <w:rsid w:val="003B3344"/>
    <w:rsid w:val="003B3D32"/>
    <w:rsid w:val="003B517D"/>
    <w:rsid w:val="003C08B9"/>
    <w:rsid w:val="003D64DB"/>
    <w:rsid w:val="003D694E"/>
    <w:rsid w:val="003F24F6"/>
    <w:rsid w:val="003F6453"/>
    <w:rsid w:val="0040261D"/>
    <w:rsid w:val="00404B71"/>
    <w:rsid w:val="004170DB"/>
    <w:rsid w:val="0042596A"/>
    <w:rsid w:val="00473A0B"/>
    <w:rsid w:val="00477079"/>
    <w:rsid w:val="0048756D"/>
    <w:rsid w:val="004904FF"/>
    <w:rsid w:val="00496906"/>
    <w:rsid w:val="004A6008"/>
    <w:rsid w:val="004B2B2D"/>
    <w:rsid w:val="004B4682"/>
    <w:rsid w:val="004C2272"/>
    <w:rsid w:val="004D2FD4"/>
    <w:rsid w:val="004E2794"/>
    <w:rsid w:val="004F50B8"/>
    <w:rsid w:val="00505982"/>
    <w:rsid w:val="0053754E"/>
    <w:rsid w:val="005465C3"/>
    <w:rsid w:val="00546A75"/>
    <w:rsid w:val="00547C97"/>
    <w:rsid w:val="005621DA"/>
    <w:rsid w:val="00564066"/>
    <w:rsid w:val="005672D3"/>
    <w:rsid w:val="00571D2A"/>
    <w:rsid w:val="005A432A"/>
    <w:rsid w:val="005B1873"/>
    <w:rsid w:val="005B1B96"/>
    <w:rsid w:val="005B74D8"/>
    <w:rsid w:val="005C26D2"/>
    <w:rsid w:val="005E168E"/>
    <w:rsid w:val="0060478D"/>
    <w:rsid w:val="00616A8C"/>
    <w:rsid w:val="00641CE7"/>
    <w:rsid w:val="0064306D"/>
    <w:rsid w:val="006449C4"/>
    <w:rsid w:val="00651BA1"/>
    <w:rsid w:val="006537AC"/>
    <w:rsid w:val="00660FCA"/>
    <w:rsid w:val="00670C20"/>
    <w:rsid w:val="00671009"/>
    <w:rsid w:val="0068173C"/>
    <w:rsid w:val="006900ED"/>
    <w:rsid w:val="00697087"/>
    <w:rsid w:val="006B6084"/>
    <w:rsid w:val="006C37B1"/>
    <w:rsid w:val="006C7E58"/>
    <w:rsid w:val="006D4C78"/>
    <w:rsid w:val="006E385F"/>
    <w:rsid w:val="006E5DCD"/>
    <w:rsid w:val="006F002F"/>
    <w:rsid w:val="006F518E"/>
    <w:rsid w:val="00706BB6"/>
    <w:rsid w:val="007371AA"/>
    <w:rsid w:val="007416B2"/>
    <w:rsid w:val="00750356"/>
    <w:rsid w:val="00754975"/>
    <w:rsid w:val="0076313F"/>
    <w:rsid w:val="00763593"/>
    <w:rsid w:val="00764AD3"/>
    <w:rsid w:val="00775E76"/>
    <w:rsid w:val="00782E6A"/>
    <w:rsid w:val="00783495"/>
    <w:rsid w:val="007A58AF"/>
    <w:rsid w:val="007B4A3C"/>
    <w:rsid w:val="007C4ABB"/>
    <w:rsid w:val="007D6B56"/>
    <w:rsid w:val="007D72FC"/>
    <w:rsid w:val="007E52FF"/>
    <w:rsid w:val="0080263F"/>
    <w:rsid w:val="00805A98"/>
    <w:rsid w:val="0080799B"/>
    <w:rsid w:val="00821747"/>
    <w:rsid w:val="00851E53"/>
    <w:rsid w:val="00877414"/>
    <w:rsid w:val="00877D38"/>
    <w:rsid w:val="008926FF"/>
    <w:rsid w:val="008A116F"/>
    <w:rsid w:val="008B7434"/>
    <w:rsid w:val="008C1E2F"/>
    <w:rsid w:val="008C3DB4"/>
    <w:rsid w:val="008F7FF0"/>
    <w:rsid w:val="00900A79"/>
    <w:rsid w:val="00900D78"/>
    <w:rsid w:val="009026BB"/>
    <w:rsid w:val="00912A2F"/>
    <w:rsid w:val="00925304"/>
    <w:rsid w:val="0097284A"/>
    <w:rsid w:val="009778E7"/>
    <w:rsid w:val="0098289A"/>
    <w:rsid w:val="009A3E94"/>
    <w:rsid w:val="009B2743"/>
    <w:rsid w:val="009B328C"/>
    <w:rsid w:val="009C5277"/>
    <w:rsid w:val="009F6764"/>
    <w:rsid w:val="00A04D77"/>
    <w:rsid w:val="00A277EC"/>
    <w:rsid w:val="00A413CD"/>
    <w:rsid w:val="00A41B56"/>
    <w:rsid w:val="00A42046"/>
    <w:rsid w:val="00A46BEF"/>
    <w:rsid w:val="00A50EA8"/>
    <w:rsid w:val="00A53602"/>
    <w:rsid w:val="00A53A09"/>
    <w:rsid w:val="00A63FEA"/>
    <w:rsid w:val="00A65D6C"/>
    <w:rsid w:val="00A7687F"/>
    <w:rsid w:val="00A83918"/>
    <w:rsid w:val="00A94A06"/>
    <w:rsid w:val="00AB6EFB"/>
    <w:rsid w:val="00AD24BA"/>
    <w:rsid w:val="00AE2206"/>
    <w:rsid w:val="00AE2D37"/>
    <w:rsid w:val="00AF62E8"/>
    <w:rsid w:val="00B0517E"/>
    <w:rsid w:val="00B069AB"/>
    <w:rsid w:val="00B11CC1"/>
    <w:rsid w:val="00B122DA"/>
    <w:rsid w:val="00B34EAD"/>
    <w:rsid w:val="00B46F8C"/>
    <w:rsid w:val="00B47DE8"/>
    <w:rsid w:val="00B54BB5"/>
    <w:rsid w:val="00B55160"/>
    <w:rsid w:val="00B55DFB"/>
    <w:rsid w:val="00B6019D"/>
    <w:rsid w:val="00B616F4"/>
    <w:rsid w:val="00B74DCF"/>
    <w:rsid w:val="00B75A9F"/>
    <w:rsid w:val="00B90639"/>
    <w:rsid w:val="00B91E23"/>
    <w:rsid w:val="00B928DD"/>
    <w:rsid w:val="00BD1068"/>
    <w:rsid w:val="00BD2092"/>
    <w:rsid w:val="00BD2574"/>
    <w:rsid w:val="00BD257A"/>
    <w:rsid w:val="00BD6512"/>
    <w:rsid w:val="00BD79FC"/>
    <w:rsid w:val="00BE7AC1"/>
    <w:rsid w:val="00C01821"/>
    <w:rsid w:val="00C134A1"/>
    <w:rsid w:val="00C1522D"/>
    <w:rsid w:val="00C27DB1"/>
    <w:rsid w:val="00C542D0"/>
    <w:rsid w:val="00C55E06"/>
    <w:rsid w:val="00C55FB8"/>
    <w:rsid w:val="00C6046A"/>
    <w:rsid w:val="00C63838"/>
    <w:rsid w:val="00C643D5"/>
    <w:rsid w:val="00C922FF"/>
    <w:rsid w:val="00C944F0"/>
    <w:rsid w:val="00C947B1"/>
    <w:rsid w:val="00C96B6C"/>
    <w:rsid w:val="00CA4B61"/>
    <w:rsid w:val="00CA705B"/>
    <w:rsid w:val="00CB001F"/>
    <w:rsid w:val="00CB78B5"/>
    <w:rsid w:val="00CB7B7A"/>
    <w:rsid w:val="00CC41B7"/>
    <w:rsid w:val="00CC673C"/>
    <w:rsid w:val="00CD1738"/>
    <w:rsid w:val="00CD73FB"/>
    <w:rsid w:val="00CE46E9"/>
    <w:rsid w:val="00D14B45"/>
    <w:rsid w:val="00D30F39"/>
    <w:rsid w:val="00D448C5"/>
    <w:rsid w:val="00D57B86"/>
    <w:rsid w:val="00D903EC"/>
    <w:rsid w:val="00DA314B"/>
    <w:rsid w:val="00DB5373"/>
    <w:rsid w:val="00DC3F83"/>
    <w:rsid w:val="00E01E6D"/>
    <w:rsid w:val="00E03B42"/>
    <w:rsid w:val="00E13C05"/>
    <w:rsid w:val="00E16C45"/>
    <w:rsid w:val="00E325A6"/>
    <w:rsid w:val="00E35B92"/>
    <w:rsid w:val="00E67722"/>
    <w:rsid w:val="00E67EA8"/>
    <w:rsid w:val="00E70433"/>
    <w:rsid w:val="00E724E0"/>
    <w:rsid w:val="00EA1EE4"/>
    <w:rsid w:val="00EA67A0"/>
    <w:rsid w:val="00ED2D10"/>
    <w:rsid w:val="00EE7656"/>
    <w:rsid w:val="00F0029B"/>
    <w:rsid w:val="00F13152"/>
    <w:rsid w:val="00F131DF"/>
    <w:rsid w:val="00F43F3A"/>
    <w:rsid w:val="00F55D41"/>
    <w:rsid w:val="00F60784"/>
    <w:rsid w:val="00F72C68"/>
    <w:rsid w:val="00F80F32"/>
    <w:rsid w:val="00F83C48"/>
    <w:rsid w:val="00F91B17"/>
    <w:rsid w:val="00F91BDF"/>
    <w:rsid w:val="00F96C86"/>
    <w:rsid w:val="00FA4608"/>
    <w:rsid w:val="00FA5F59"/>
    <w:rsid w:val="00FB1409"/>
    <w:rsid w:val="00FE3E3E"/>
    <w:rsid w:val="00FE4E7C"/>
    <w:rsid w:val="00FE6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52E7"/>
  <w15:chartTrackingRefBased/>
  <w15:docId w15:val="{8D1338C6-5D60-4C64-8FD4-A4E4373B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C68"/>
  </w:style>
  <w:style w:type="paragraph" w:styleId="Antrat1">
    <w:name w:val="heading 1"/>
    <w:basedOn w:val="prastasis"/>
    <w:next w:val="prastasis"/>
    <w:link w:val="Antrat1Diagrama"/>
    <w:uiPriority w:val="9"/>
    <w:qFormat/>
    <w:rsid w:val="00F72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72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72C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72C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72C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72C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2C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2C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2C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2C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72C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72C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72C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72C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72C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2C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2C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2C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2C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2C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2C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2C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2C68"/>
    <w:rPr>
      <w:i/>
      <w:iCs/>
      <w:color w:val="404040" w:themeColor="text1" w:themeTint="BF"/>
    </w:rPr>
  </w:style>
  <w:style w:type="paragraph" w:styleId="Sraopastraipa">
    <w:name w:val="List Paragraph"/>
    <w:basedOn w:val="prastasis"/>
    <w:uiPriority w:val="34"/>
    <w:qFormat/>
    <w:rsid w:val="00F72C68"/>
    <w:pPr>
      <w:ind w:left="720"/>
      <w:contextualSpacing/>
    </w:pPr>
  </w:style>
  <w:style w:type="character" w:styleId="Rykuspabraukimas">
    <w:name w:val="Intense Emphasis"/>
    <w:basedOn w:val="Numatytasispastraiposriftas"/>
    <w:uiPriority w:val="21"/>
    <w:qFormat/>
    <w:rsid w:val="00F72C68"/>
    <w:rPr>
      <w:i/>
      <w:iCs/>
      <w:color w:val="2F5496" w:themeColor="accent1" w:themeShade="BF"/>
    </w:rPr>
  </w:style>
  <w:style w:type="paragraph" w:styleId="Iskirtacitata">
    <w:name w:val="Intense Quote"/>
    <w:basedOn w:val="prastasis"/>
    <w:next w:val="prastasis"/>
    <w:link w:val="IskirtacitataDiagrama"/>
    <w:uiPriority w:val="30"/>
    <w:qFormat/>
    <w:rsid w:val="00F72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72C68"/>
    <w:rPr>
      <w:i/>
      <w:iCs/>
      <w:color w:val="2F5496" w:themeColor="accent1" w:themeShade="BF"/>
    </w:rPr>
  </w:style>
  <w:style w:type="character" w:styleId="Rykinuoroda">
    <w:name w:val="Intense Reference"/>
    <w:basedOn w:val="Numatytasispastraiposriftas"/>
    <w:uiPriority w:val="32"/>
    <w:qFormat/>
    <w:rsid w:val="00F72C68"/>
    <w:rPr>
      <w:b/>
      <w:bCs/>
      <w:smallCaps/>
      <w:color w:val="2F5496" w:themeColor="accent1" w:themeShade="BF"/>
      <w:spacing w:val="5"/>
    </w:rPr>
  </w:style>
  <w:style w:type="paragraph" w:customStyle="1" w:styleId="Default">
    <w:name w:val="Default"/>
    <w:rsid w:val="00F72C68"/>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F72C68"/>
    <w:rPr>
      <w:color w:val="0563C1" w:themeColor="hyperlink"/>
      <w:u w:val="single"/>
    </w:rPr>
  </w:style>
  <w:style w:type="paragraph" w:styleId="prastasiniatinklio">
    <w:name w:val="Normal (Web)"/>
    <w:basedOn w:val="prastasis"/>
    <w:uiPriority w:val="99"/>
    <w:semiHidden/>
    <w:unhideWhenUsed/>
    <w:rsid w:val="00F72C68"/>
    <w:rPr>
      <w:rFonts w:ascii="Times New Roman" w:hAnsi="Times New Roman" w:cs="Times New Roman"/>
      <w:sz w:val="24"/>
      <w:szCs w:val="24"/>
    </w:rPr>
  </w:style>
  <w:style w:type="character" w:styleId="Vietosrezervavimoenklotekstas">
    <w:name w:val="Placeholder Text"/>
    <w:basedOn w:val="Numatytasispastraiposriftas"/>
    <w:rsid w:val="00E01E6D"/>
    <w:rPr>
      <w:color w:val="808080"/>
    </w:rPr>
  </w:style>
  <w:style w:type="paragraph" w:styleId="Antrats">
    <w:name w:val="header"/>
    <w:basedOn w:val="prastasis"/>
    <w:link w:val="AntratsDiagrama"/>
    <w:rsid w:val="006F518E"/>
    <w:pPr>
      <w:tabs>
        <w:tab w:val="center" w:pos="4153"/>
        <w:tab w:val="right" w:pos="8306"/>
      </w:tabs>
      <w:spacing w:after="0" w:line="240" w:lineRule="auto"/>
      <w:jc w:val="both"/>
    </w:pPr>
    <w:rPr>
      <w:rFonts w:ascii="Arial" w:eastAsia="Times New Roman" w:hAnsi="Arial" w:cs="Times New Roman"/>
      <w:kern w:val="0"/>
      <w:szCs w:val="20"/>
      <w:lang w:val="en-GB" w:eastAsia="en-GB"/>
      <w14:ligatures w14:val="none"/>
    </w:rPr>
  </w:style>
  <w:style w:type="character" w:customStyle="1" w:styleId="AntratsDiagrama">
    <w:name w:val="Antraštės Diagrama"/>
    <w:basedOn w:val="Numatytasispastraiposriftas"/>
    <w:link w:val="Antrats"/>
    <w:rsid w:val="006F518E"/>
    <w:rPr>
      <w:rFonts w:ascii="Arial" w:eastAsia="Times New Roman" w:hAnsi="Arial" w:cs="Times New Roman"/>
      <w:kern w:val="0"/>
      <w:szCs w:val="20"/>
      <w:lang w:val="en-GB" w:eastAsia="en-GB"/>
      <w14:ligatures w14:val="none"/>
    </w:rPr>
  </w:style>
  <w:style w:type="paragraph" w:styleId="Porat">
    <w:name w:val="footer"/>
    <w:basedOn w:val="prastasis"/>
    <w:link w:val="PoratDiagrama"/>
    <w:uiPriority w:val="99"/>
    <w:unhideWhenUsed/>
    <w:rsid w:val="008C3D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DB4"/>
  </w:style>
  <w:style w:type="paragraph" w:customStyle="1" w:styleId="Pavadinimas1">
    <w:name w:val="Pavadinimas1"/>
    <w:basedOn w:val="prastasis"/>
    <w:next w:val="prastasis"/>
    <w:rsid w:val="00A41B56"/>
    <w:pPr>
      <w:suppressAutoHyphens/>
      <w:autoSpaceDN w:val="0"/>
      <w:spacing w:after="0" w:line="240" w:lineRule="auto"/>
      <w:textAlignment w:val="baseline"/>
    </w:pPr>
    <w:rPr>
      <w:rFonts w:ascii="Calibri Light" w:eastAsia="Yu Gothic Light" w:hAnsi="Calibri Light" w:cs="Times New Roman"/>
      <w:spacing w:val="-10"/>
      <w:kern w:val="3"/>
      <w:sz w:val="56"/>
      <w:szCs w:val="5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010">
      <w:bodyDiv w:val="1"/>
      <w:marLeft w:val="0"/>
      <w:marRight w:val="0"/>
      <w:marTop w:val="0"/>
      <w:marBottom w:val="0"/>
      <w:divBdr>
        <w:top w:val="none" w:sz="0" w:space="0" w:color="auto"/>
        <w:left w:val="none" w:sz="0" w:space="0" w:color="auto"/>
        <w:bottom w:val="none" w:sz="0" w:space="0" w:color="auto"/>
        <w:right w:val="none" w:sz="0" w:space="0" w:color="auto"/>
      </w:divBdr>
    </w:div>
    <w:div w:id="32461343">
      <w:bodyDiv w:val="1"/>
      <w:marLeft w:val="0"/>
      <w:marRight w:val="0"/>
      <w:marTop w:val="0"/>
      <w:marBottom w:val="0"/>
      <w:divBdr>
        <w:top w:val="none" w:sz="0" w:space="0" w:color="auto"/>
        <w:left w:val="none" w:sz="0" w:space="0" w:color="auto"/>
        <w:bottom w:val="none" w:sz="0" w:space="0" w:color="auto"/>
        <w:right w:val="none" w:sz="0" w:space="0" w:color="auto"/>
      </w:divBdr>
    </w:div>
    <w:div w:id="75592800">
      <w:bodyDiv w:val="1"/>
      <w:marLeft w:val="0"/>
      <w:marRight w:val="0"/>
      <w:marTop w:val="0"/>
      <w:marBottom w:val="0"/>
      <w:divBdr>
        <w:top w:val="none" w:sz="0" w:space="0" w:color="auto"/>
        <w:left w:val="none" w:sz="0" w:space="0" w:color="auto"/>
        <w:bottom w:val="none" w:sz="0" w:space="0" w:color="auto"/>
        <w:right w:val="none" w:sz="0" w:space="0" w:color="auto"/>
      </w:divBdr>
    </w:div>
    <w:div w:id="88358884">
      <w:bodyDiv w:val="1"/>
      <w:marLeft w:val="0"/>
      <w:marRight w:val="0"/>
      <w:marTop w:val="0"/>
      <w:marBottom w:val="0"/>
      <w:divBdr>
        <w:top w:val="none" w:sz="0" w:space="0" w:color="auto"/>
        <w:left w:val="none" w:sz="0" w:space="0" w:color="auto"/>
        <w:bottom w:val="none" w:sz="0" w:space="0" w:color="auto"/>
        <w:right w:val="none" w:sz="0" w:space="0" w:color="auto"/>
      </w:divBdr>
    </w:div>
    <w:div w:id="141892608">
      <w:bodyDiv w:val="1"/>
      <w:marLeft w:val="0"/>
      <w:marRight w:val="0"/>
      <w:marTop w:val="0"/>
      <w:marBottom w:val="0"/>
      <w:divBdr>
        <w:top w:val="none" w:sz="0" w:space="0" w:color="auto"/>
        <w:left w:val="none" w:sz="0" w:space="0" w:color="auto"/>
        <w:bottom w:val="none" w:sz="0" w:space="0" w:color="auto"/>
        <w:right w:val="none" w:sz="0" w:space="0" w:color="auto"/>
      </w:divBdr>
    </w:div>
    <w:div w:id="153881854">
      <w:bodyDiv w:val="1"/>
      <w:marLeft w:val="0"/>
      <w:marRight w:val="0"/>
      <w:marTop w:val="0"/>
      <w:marBottom w:val="0"/>
      <w:divBdr>
        <w:top w:val="none" w:sz="0" w:space="0" w:color="auto"/>
        <w:left w:val="none" w:sz="0" w:space="0" w:color="auto"/>
        <w:bottom w:val="none" w:sz="0" w:space="0" w:color="auto"/>
        <w:right w:val="none" w:sz="0" w:space="0" w:color="auto"/>
      </w:divBdr>
    </w:div>
    <w:div w:id="166947415">
      <w:bodyDiv w:val="1"/>
      <w:marLeft w:val="0"/>
      <w:marRight w:val="0"/>
      <w:marTop w:val="0"/>
      <w:marBottom w:val="0"/>
      <w:divBdr>
        <w:top w:val="none" w:sz="0" w:space="0" w:color="auto"/>
        <w:left w:val="none" w:sz="0" w:space="0" w:color="auto"/>
        <w:bottom w:val="none" w:sz="0" w:space="0" w:color="auto"/>
        <w:right w:val="none" w:sz="0" w:space="0" w:color="auto"/>
      </w:divBdr>
    </w:div>
    <w:div w:id="172234104">
      <w:bodyDiv w:val="1"/>
      <w:marLeft w:val="0"/>
      <w:marRight w:val="0"/>
      <w:marTop w:val="0"/>
      <w:marBottom w:val="0"/>
      <w:divBdr>
        <w:top w:val="none" w:sz="0" w:space="0" w:color="auto"/>
        <w:left w:val="none" w:sz="0" w:space="0" w:color="auto"/>
        <w:bottom w:val="none" w:sz="0" w:space="0" w:color="auto"/>
        <w:right w:val="none" w:sz="0" w:space="0" w:color="auto"/>
      </w:divBdr>
    </w:div>
    <w:div w:id="184485929">
      <w:bodyDiv w:val="1"/>
      <w:marLeft w:val="0"/>
      <w:marRight w:val="0"/>
      <w:marTop w:val="0"/>
      <w:marBottom w:val="0"/>
      <w:divBdr>
        <w:top w:val="none" w:sz="0" w:space="0" w:color="auto"/>
        <w:left w:val="none" w:sz="0" w:space="0" w:color="auto"/>
        <w:bottom w:val="none" w:sz="0" w:space="0" w:color="auto"/>
        <w:right w:val="none" w:sz="0" w:space="0" w:color="auto"/>
      </w:divBdr>
    </w:div>
    <w:div w:id="211961493">
      <w:bodyDiv w:val="1"/>
      <w:marLeft w:val="0"/>
      <w:marRight w:val="0"/>
      <w:marTop w:val="0"/>
      <w:marBottom w:val="0"/>
      <w:divBdr>
        <w:top w:val="none" w:sz="0" w:space="0" w:color="auto"/>
        <w:left w:val="none" w:sz="0" w:space="0" w:color="auto"/>
        <w:bottom w:val="none" w:sz="0" w:space="0" w:color="auto"/>
        <w:right w:val="none" w:sz="0" w:space="0" w:color="auto"/>
      </w:divBdr>
    </w:div>
    <w:div w:id="215553211">
      <w:bodyDiv w:val="1"/>
      <w:marLeft w:val="0"/>
      <w:marRight w:val="0"/>
      <w:marTop w:val="0"/>
      <w:marBottom w:val="0"/>
      <w:divBdr>
        <w:top w:val="none" w:sz="0" w:space="0" w:color="auto"/>
        <w:left w:val="none" w:sz="0" w:space="0" w:color="auto"/>
        <w:bottom w:val="none" w:sz="0" w:space="0" w:color="auto"/>
        <w:right w:val="none" w:sz="0" w:space="0" w:color="auto"/>
      </w:divBdr>
    </w:div>
    <w:div w:id="216547953">
      <w:bodyDiv w:val="1"/>
      <w:marLeft w:val="0"/>
      <w:marRight w:val="0"/>
      <w:marTop w:val="0"/>
      <w:marBottom w:val="0"/>
      <w:divBdr>
        <w:top w:val="none" w:sz="0" w:space="0" w:color="auto"/>
        <w:left w:val="none" w:sz="0" w:space="0" w:color="auto"/>
        <w:bottom w:val="none" w:sz="0" w:space="0" w:color="auto"/>
        <w:right w:val="none" w:sz="0" w:space="0" w:color="auto"/>
      </w:divBdr>
    </w:div>
    <w:div w:id="218784136">
      <w:bodyDiv w:val="1"/>
      <w:marLeft w:val="0"/>
      <w:marRight w:val="0"/>
      <w:marTop w:val="0"/>
      <w:marBottom w:val="0"/>
      <w:divBdr>
        <w:top w:val="none" w:sz="0" w:space="0" w:color="auto"/>
        <w:left w:val="none" w:sz="0" w:space="0" w:color="auto"/>
        <w:bottom w:val="none" w:sz="0" w:space="0" w:color="auto"/>
        <w:right w:val="none" w:sz="0" w:space="0" w:color="auto"/>
      </w:divBdr>
    </w:div>
    <w:div w:id="241568119">
      <w:bodyDiv w:val="1"/>
      <w:marLeft w:val="0"/>
      <w:marRight w:val="0"/>
      <w:marTop w:val="0"/>
      <w:marBottom w:val="0"/>
      <w:divBdr>
        <w:top w:val="none" w:sz="0" w:space="0" w:color="auto"/>
        <w:left w:val="none" w:sz="0" w:space="0" w:color="auto"/>
        <w:bottom w:val="none" w:sz="0" w:space="0" w:color="auto"/>
        <w:right w:val="none" w:sz="0" w:space="0" w:color="auto"/>
      </w:divBdr>
    </w:div>
    <w:div w:id="247661236">
      <w:bodyDiv w:val="1"/>
      <w:marLeft w:val="0"/>
      <w:marRight w:val="0"/>
      <w:marTop w:val="0"/>
      <w:marBottom w:val="0"/>
      <w:divBdr>
        <w:top w:val="none" w:sz="0" w:space="0" w:color="auto"/>
        <w:left w:val="none" w:sz="0" w:space="0" w:color="auto"/>
        <w:bottom w:val="none" w:sz="0" w:space="0" w:color="auto"/>
        <w:right w:val="none" w:sz="0" w:space="0" w:color="auto"/>
      </w:divBdr>
    </w:div>
    <w:div w:id="264728192">
      <w:bodyDiv w:val="1"/>
      <w:marLeft w:val="0"/>
      <w:marRight w:val="0"/>
      <w:marTop w:val="0"/>
      <w:marBottom w:val="0"/>
      <w:divBdr>
        <w:top w:val="none" w:sz="0" w:space="0" w:color="auto"/>
        <w:left w:val="none" w:sz="0" w:space="0" w:color="auto"/>
        <w:bottom w:val="none" w:sz="0" w:space="0" w:color="auto"/>
        <w:right w:val="none" w:sz="0" w:space="0" w:color="auto"/>
      </w:divBdr>
    </w:div>
    <w:div w:id="265237305">
      <w:bodyDiv w:val="1"/>
      <w:marLeft w:val="0"/>
      <w:marRight w:val="0"/>
      <w:marTop w:val="0"/>
      <w:marBottom w:val="0"/>
      <w:divBdr>
        <w:top w:val="none" w:sz="0" w:space="0" w:color="auto"/>
        <w:left w:val="none" w:sz="0" w:space="0" w:color="auto"/>
        <w:bottom w:val="none" w:sz="0" w:space="0" w:color="auto"/>
        <w:right w:val="none" w:sz="0" w:space="0" w:color="auto"/>
      </w:divBdr>
    </w:div>
    <w:div w:id="334191570">
      <w:bodyDiv w:val="1"/>
      <w:marLeft w:val="0"/>
      <w:marRight w:val="0"/>
      <w:marTop w:val="0"/>
      <w:marBottom w:val="0"/>
      <w:divBdr>
        <w:top w:val="none" w:sz="0" w:space="0" w:color="auto"/>
        <w:left w:val="none" w:sz="0" w:space="0" w:color="auto"/>
        <w:bottom w:val="none" w:sz="0" w:space="0" w:color="auto"/>
        <w:right w:val="none" w:sz="0" w:space="0" w:color="auto"/>
      </w:divBdr>
    </w:div>
    <w:div w:id="340350736">
      <w:bodyDiv w:val="1"/>
      <w:marLeft w:val="0"/>
      <w:marRight w:val="0"/>
      <w:marTop w:val="0"/>
      <w:marBottom w:val="0"/>
      <w:divBdr>
        <w:top w:val="none" w:sz="0" w:space="0" w:color="auto"/>
        <w:left w:val="none" w:sz="0" w:space="0" w:color="auto"/>
        <w:bottom w:val="none" w:sz="0" w:space="0" w:color="auto"/>
        <w:right w:val="none" w:sz="0" w:space="0" w:color="auto"/>
      </w:divBdr>
    </w:div>
    <w:div w:id="373582443">
      <w:bodyDiv w:val="1"/>
      <w:marLeft w:val="0"/>
      <w:marRight w:val="0"/>
      <w:marTop w:val="0"/>
      <w:marBottom w:val="0"/>
      <w:divBdr>
        <w:top w:val="none" w:sz="0" w:space="0" w:color="auto"/>
        <w:left w:val="none" w:sz="0" w:space="0" w:color="auto"/>
        <w:bottom w:val="none" w:sz="0" w:space="0" w:color="auto"/>
        <w:right w:val="none" w:sz="0" w:space="0" w:color="auto"/>
      </w:divBdr>
    </w:div>
    <w:div w:id="380371145">
      <w:bodyDiv w:val="1"/>
      <w:marLeft w:val="0"/>
      <w:marRight w:val="0"/>
      <w:marTop w:val="0"/>
      <w:marBottom w:val="0"/>
      <w:divBdr>
        <w:top w:val="none" w:sz="0" w:space="0" w:color="auto"/>
        <w:left w:val="none" w:sz="0" w:space="0" w:color="auto"/>
        <w:bottom w:val="none" w:sz="0" w:space="0" w:color="auto"/>
        <w:right w:val="none" w:sz="0" w:space="0" w:color="auto"/>
      </w:divBdr>
    </w:div>
    <w:div w:id="404302939">
      <w:bodyDiv w:val="1"/>
      <w:marLeft w:val="0"/>
      <w:marRight w:val="0"/>
      <w:marTop w:val="0"/>
      <w:marBottom w:val="0"/>
      <w:divBdr>
        <w:top w:val="none" w:sz="0" w:space="0" w:color="auto"/>
        <w:left w:val="none" w:sz="0" w:space="0" w:color="auto"/>
        <w:bottom w:val="none" w:sz="0" w:space="0" w:color="auto"/>
        <w:right w:val="none" w:sz="0" w:space="0" w:color="auto"/>
      </w:divBdr>
    </w:div>
    <w:div w:id="471680837">
      <w:bodyDiv w:val="1"/>
      <w:marLeft w:val="0"/>
      <w:marRight w:val="0"/>
      <w:marTop w:val="0"/>
      <w:marBottom w:val="0"/>
      <w:divBdr>
        <w:top w:val="none" w:sz="0" w:space="0" w:color="auto"/>
        <w:left w:val="none" w:sz="0" w:space="0" w:color="auto"/>
        <w:bottom w:val="none" w:sz="0" w:space="0" w:color="auto"/>
        <w:right w:val="none" w:sz="0" w:space="0" w:color="auto"/>
      </w:divBdr>
    </w:div>
    <w:div w:id="481316446">
      <w:bodyDiv w:val="1"/>
      <w:marLeft w:val="0"/>
      <w:marRight w:val="0"/>
      <w:marTop w:val="0"/>
      <w:marBottom w:val="0"/>
      <w:divBdr>
        <w:top w:val="none" w:sz="0" w:space="0" w:color="auto"/>
        <w:left w:val="none" w:sz="0" w:space="0" w:color="auto"/>
        <w:bottom w:val="none" w:sz="0" w:space="0" w:color="auto"/>
        <w:right w:val="none" w:sz="0" w:space="0" w:color="auto"/>
      </w:divBdr>
    </w:div>
    <w:div w:id="481701523">
      <w:bodyDiv w:val="1"/>
      <w:marLeft w:val="0"/>
      <w:marRight w:val="0"/>
      <w:marTop w:val="0"/>
      <w:marBottom w:val="0"/>
      <w:divBdr>
        <w:top w:val="none" w:sz="0" w:space="0" w:color="auto"/>
        <w:left w:val="none" w:sz="0" w:space="0" w:color="auto"/>
        <w:bottom w:val="none" w:sz="0" w:space="0" w:color="auto"/>
        <w:right w:val="none" w:sz="0" w:space="0" w:color="auto"/>
      </w:divBdr>
    </w:div>
    <w:div w:id="509175451">
      <w:bodyDiv w:val="1"/>
      <w:marLeft w:val="0"/>
      <w:marRight w:val="0"/>
      <w:marTop w:val="0"/>
      <w:marBottom w:val="0"/>
      <w:divBdr>
        <w:top w:val="none" w:sz="0" w:space="0" w:color="auto"/>
        <w:left w:val="none" w:sz="0" w:space="0" w:color="auto"/>
        <w:bottom w:val="none" w:sz="0" w:space="0" w:color="auto"/>
        <w:right w:val="none" w:sz="0" w:space="0" w:color="auto"/>
      </w:divBdr>
    </w:div>
    <w:div w:id="599726872">
      <w:bodyDiv w:val="1"/>
      <w:marLeft w:val="0"/>
      <w:marRight w:val="0"/>
      <w:marTop w:val="0"/>
      <w:marBottom w:val="0"/>
      <w:divBdr>
        <w:top w:val="none" w:sz="0" w:space="0" w:color="auto"/>
        <w:left w:val="none" w:sz="0" w:space="0" w:color="auto"/>
        <w:bottom w:val="none" w:sz="0" w:space="0" w:color="auto"/>
        <w:right w:val="none" w:sz="0" w:space="0" w:color="auto"/>
      </w:divBdr>
    </w:div>
    <w:div w:id="614947614">
      <w:bodyDiv w:val="1"/>
      <w:marLeft w:val="0"/>
      <w:marRight w:val="0"/>
      <w:marTop w:val="0"/>
      <w:marBottom w:val="0"/>
      <w:divBdr>
        <w:top w:val="none" w:sz="0" w:space="0" w:color="auto"/>
        <w:left w:val="none" w:sz="0" w:space="0" w:color="auto"/>
        <w:bottom w:val="none" w:sz="0" w:space="0" w:color="auto"/>
        <w:right w:val="none" w:sz="0" w:space="0" w:color="auto"/>
      </w:divBdr>
    </w:div>
    <w:div w:id="642197315">
      <w:bodyDiv w:val="1"/>
      <w:marLeft w:val="0"/>
      <w:marRight w:val="0"/>
      <w:marTop w:val="0"/>
      <w:marBottom w:val="0"/>
      <w:divBdr>
        <w:top w:val="none" w:sz="0" w:space="0" w:color="auto"/>
        <w:left w:val="none" w:sz="0" w:space="0" w:color="auto"/>
        <w:bottom w:val="none" w:sz="0" w:space="0" w:color="auto"/>
        <w:right w:val="none" w:sz="0" w:space="0" w:color="auto"/>
      </w:divBdr>
    </w:div>
    <w:div w:id="680352727">
      <w:bodyDiv w:val="1"/>
      <w:marLeft w:val="0"/>
      <w:marRight w:val="0"/>
      <w:marTop w:val="0"/>
      <w:marBottom w:val="0"/>
      <w:divBdr>
        <w:top w:val="none" w:sz="0" w:space="0" w:color="auto"/>
        <w:left w:val="none" w:sz="0" w:space="0" w:color="auto"/>
        <w:bottom w:val="none" w:sz="0" w:space="0" w:color="auto"/>
        <w:right w:val="none" w:sz="0" w:space="0" w:color="auto"/>
      </w:divBdr>
    </w:div>
    <w:div w:id="698631054">
      <w:bodyDiv w:val="1"/>
      <w:marLeft w:val="0"/>
      <w:marRight w:val="0"/>
      <w:marTop w:val="0"/>
      <w:marBottom w:val="0"/>
      <w:divBdr>
        <w:top w:val="none" w:sz="0" w:space="0" w:color="auto"/>
        <w:left w:val="none" w:sz="0" w:space="0" w:color="auto"/>
        <w:bottom w:val="none" w:sz="0" w:space="0" w:color="auto"/>
        <w:right w:val="none" w:sz="0" w:space="0" w:color="auto"/>
      </w:divBdr>
    </w:div>
    <w:div w:id="702556966">
      <w:bodyDiv w:val="1"/>
      <w:marLeft w:val="0"/>
      <w:marRight w:val="0"/>
      <w:marTop w:val="0"/>
      <w:marBottom w:val="0"/>
      <w:divBdr>
        <w:top w:val="none" w:sz="0" w:space="0" w:color="auto"/>
        <w:left w:val="none" w:sz="0" w:space="0" w:color="auto"/>
        <w:bottom w:val="none" w:sz="0" w:space="0" w:color="auto"/>
        <w:right w:val="none" w:sz="0" w:space="0" w:color="auto"/>
      </w:divBdr>
    </w:div>
    <w:div w:id="727650366">
      <w:bodyDiv w:val="1"/>
      <w:marLeft w:val="0"/>
      <w:marRight w:val="0"/>
      <w:marTop w:val="0"/>
      <w:marBottom w:val="0"/>
      <w:divBdr>
        <w:top w:val="none" w:sz="0" w:space="0" w:color="auto"/>
        <w:left w:val="none" w:sz="0" w:space="0" w:color="auto"/>
        <w:bottom w:val="none" w:sz="0" w:space="0" w:color="auto"/>
        <w:right w:val="none" w:sz="0" w:space="0" w:color="auto"/>
      </w:divBdr>
    </w:div>
    <w:div w:id="761876365">
      <w:bodyDiv w:val="1"/>
      <w:marLeft w:val="0"/>
      <w:marRight w:val="0"/>
      <w:marTop w:val="0"/>
      <w:marBottom w:val="0"/>
      <w:divBdr>
        <w:top w:val="none" w:sz="0" w:space="0" w:color="auto"/>
        <w:left w:val="none" w:sz="0" w:space="0" w:color="auto"/>
        <w:bottom w:val="none" w:sz="0" w:space="0" w:color="auto"/>
        <w:right w:val="none" w:sz="0" w:space="0" w:color="auto"/>
      </w:divBdr>
    </w:div>
    <w:div w:id="773020287">
      <w:bodyDiv w:val="1"/>
      <w:marLeft w:val="0"/>
      <w:marRight w:val="0"/>
      <w:marTop w:val="0"/>
      <w:marBottom w:val="0"/>
      <w:divBdr>
        <w:top w:val="none" w:sz="0" w:space="0" w:color="auto"/>
        <w:left w:val="none" w:sz="0" w:space="0" w:color="auto"/>
        <w:bottom w:val="none" w:sz="0" w:space="0" w:color="auto"/>
        <w:right w:val="none" w:sz="0" w:space="0" w:color="auto"/>
      </w:divBdr>
    </w:div>
    <w:div w:id="789513691">
      <w:bodyDiv w:val="1"/>
      <w:marLeft w:val="0"/>
      <w:marRight w:val="0"/>
      <w:marTop w:val="0"/>
      <w:marBottom w:val="0"/>
      <w:divBdr>
        <w:top w:val="none" w:sz="0" w:space="0" w:color="auto"/>
        <w:left w:val="none" w:sz="0" w:space="0" w:color="auto"/>
        <w:bottom w:val="none" w:sz="0" w:space="0" w:color="auto"/>
        <w:right w:val="none" w:sz="0" w:space="0" w:color="auto"/>
      </w:divBdr>
    </w:div>
    <w:div w:id="804616339">
      <w:bodyDiv w:val="1"/>
      <w:marLeft w:val="0"/>
      <w:marRight w:val="0"/>
      <w:marTop w:val="0"/>
      <w:marBottom w:val="0"/>
      <w:divBdr>
        <w:top w:val="none" w:sz="0" w:space="0" w:color="auto"/>
        <w:left w:val="none" w:sz="0" w:space="0" w:color="auto"/>
        <w:bottom w:val="none" w:sz="0" w:space="0" w:color="auto"/>
        <w:right w:val="none" w:sz="0" w:space="0" w:color="auto"/>
      </w:divBdr>
    </w:div>
    <w:div w:id="864291730">
      <w:bodyDiv w:val="1"/>
      <w:marLeft w:val="0"/>
      <w:marRight w:val="0"/>
      <w:marTop w:val="0"/>
      <w:marBottom w:val="0"/>
      <w:divBdr>
        <w:top w:val="none" w:sz="0" w:space="0" w:color="auto"/>
        <w:left w:val="none" w:sz="0" w:space="0" w:color="auto"/>
        <w:bottom w:val="none" w:sz="0" w:space="0" w:color="auto"/>
        <w:right w:val="none" w:sz="0" w:space="0" w:color="auto"/>
      </w:divBdr>
    </w:div>
    <w:div w:id="872155700">
      <w:bodyDiv w:val="1"/>
      <w:marLeft w:val="0"/>
      <w:marRight w:val="0"/>
      <w:marTop w:val="0"/>
      <w:marBottom w:val="0"/>
      <w:divBdr>
        <w:top w:val="none" w:sz="0" w:space="0" w:color="auto"/>
        <w:left w:val="none" w:sz="0" w:space="0" w:color="auto"/>
        <w:bottom w:val="none" w:sz="0" w:space="0" w:color="auto"/>
        <w:right w:val="none" w:sz="0" w:space="0" w:color="auto"/>
      </w:divBdr>
    </w:div>
    <w:div w:id="901451876">
      <w:bodyDiv w:val="1"/>
      <w:marLeft w:val="0"/>
      <w:marRight w:val="0"/>
      <w:marTop w:val="0"/>
      <w:marBottom w:val="0"/>
      <w:divBdr>
        <w:top w:val="none" w:sz="0" w:space="0" w:color="auto"/>
        <w:left w:val="none" w:sz="0" w:space="0" w:color="auto"/>
        <w:bottom w:val="none" w:sz="0" w:space="0" w:color="auto"/>
        <w:right w:val="none" w:sz="0" w:space="0" w:color="auto"/>
      </w:divBdr>
    </w:div>
    <w:div w:id="902329223">
      <w:bodyDiv w:val="1"/>
      <w:marLeft w:val="0"/>
      <w:marRight w:val="0"/>
      <w:marTop w:val="0"/>
      <w:marBottom w:val="0"/>
      <w:divBdr>
        <w:top w:val="none" w:sz="0" w:space="0" w:color="auto"/>
        <w:left w:val="none" w:sz="0" w:space="0" w:color="auto"/>
        <w:bottom w:val="none" w:sz="0" w:space="0" w:color="auto"/>
        <w:right w:val="none" w:sz="0" w:space="0" w:color="auto"/>
      </w:divBdr>
    </w:div>
    <w:div w:id="940071104">
      <w:bodyDiv w:val="1"/>
      <w:marLeft w:val="0"/>
      <w:marRight w:val="0"/>
      <w:marTop w:val="0"/>
      <w:marBottom w:val="0"/>
      <w:divBdr>
        <w:top w:val="none" w:sz="0" w:space="0" w:color="auto"/>
        <w:left w:val="none" w:sz="0" w:space="0" w:color="auto"/>
        <w:bottom w:val="none" w:sz="0" w:space="0" w:color="auto"/>
        <w:right w:val="none" w:sz="0" w:space="0" w:color="auto"/>
      </w:divBdr>
    </w:div>
    <w:div w:id="989557290">
      <w:bodyDiv w:val="1"/>
      <w:marLeft w:val="0"/>
      <w:marRight w:val="0"/>
      <w:marTop w:val="0"/>
      <w:marBottom w:val="0"/>
      <w:divBdr>
        <w:top w:val="none" w:sz="0" w:space="0" w:color="auto"/>
        <w:left w:val="none" w:sz="0" w:space="0" w:color="auto"/>
        <w:bottom w:val="none" w:sz="0" w:space="0" w:color="auto"/>
        <w:right w:val="none" w:sz="0" w:space="0" w:color="auto"/>
      </w:divBdr>
    </w:div>
    <w:div w:id="1000276557">
      <w:bodyDiv w:val="1"/>
      <w:marLeft w:val="0"/>
      <w:marRight w:val="0"/>
      <w:marTop w:val="0"/>
      <w:marBottom w:val="0"/>
      <w:divBdr>
        <w:top w:val="none" w:sz="0" w:space="0" w:color="auto"/>
        <w:left w:val="none" w:sz="0" w:space="0" w:color="auto"/>
        <w:bottom w:val="none" w:sz="0" w:space="0" w:color="auto"/>
        <w:right w:val="none" w:sz="0" w:space="0" w:color="auto"/>
      </w:divBdr>
    </w:div>
    <w:div w:id="1160344728">
      <w:bodyDiv w:val="1"/>
      <w:marLeft w:val="0"/>
      <w:marRight w:val="0"/>
      <w:marTop w:val="0"/>
      <w:marBottom w:val="0"/>
      <w:divBdr>
        <w:top w:val="none" w:sz="0" w:space="0" w:color="auto"/>
        <w:left w:val="none" w:sz="0" w:space="0" w:color="auto"/>
        <w:bottom w:val="none" w:sz="0" w:space="0" w:color="auto"/>
        <w:right w:val="none" w:sz="0" w:space="0" w:color="auto"/>
      </w:divBdr>
    </w:div>
    <w:div w:id="1178233763">
      <w:bodyDiv w:val="1"/>
      <w:marLeft w:val="0"/>
      <w:marRight w:val="0"/>
      <w:marTop w:val="0"/>
      <w:marBottom w:val="0"/>
      <w:divBdr>
        <w:top w:val="none" w:sz="0" w:space="0" w:color="auto"/>
        <w:left w:val="none" w:sz="0" w:space="0" w:color="auto"/>
        <w:bottom w:val="none" w:sz="0" w:space="0" w:color="auto"/>
        <w:right w:val="none" w:sz="0" w:space="0" w:color="auto"/>
      </w:divBdr>
    </w:div>
    <w:div w:id="1180243767">
      <w:bodyDiv w:val="1"/>
      <w:marLeft w:val="0"/>
      <w:marRight w:val="0"/>
      <w:marTop w:val="0"/>
      <w:marBottom w:val="0"/>
      <w:divBdr>
        <w:top w:val="none" w:sz="0" w:space="0" w:color="auto"/>
        <w:left w:val="none" w:sz="0" w:space="0" w:color="auto"/>
        <w:bottom w:val="none" w:sz="0" w:space="0" w:color="auto"/>
        <w:right w:val="none" w:sz="0" w:space="0" w:color="auto"/>
      </w:divBdr>
    </w:div>
    <w:div w:id="1184829447">
      <w:bodyDiv w:val="1"/>
      <w:marLeft w:val="0"/>
      <w:marRight w:val="0"/>
      <w:marTop w:val="0"/>
      <w:marBottom w:val="0"/>
      <w:divBdr>
        <w:top w:val="none" w:sz="0" w:space="0" w:color="auto"/>
        <w:left w:val="none" w:sz="0" w:space="0" w:color="auto"/>
        <w:bottom w:val="none" w:sz="0" w:space="0" w:color="auto"/>
        <w:right w:val="none" w:sz="0" w:space="0" w:color="auto"/>
      </w:divBdr>
    </w:div>
    <w:div w:id="1217277669">
      <w:bodyDiv w:val="1"/>
      <w:marLeft w:val="0"/>
      <w:marRight w:val="0"/>
      <w:marTop w:val="0"/>
      <w:marBottom w:val="0"/>
      <w:divBdr>
        <w:top w:val="none" w:sz="0" w:space="0" w:color="auto"/>
        <w:left w:val="none" w:sz="0" w:space="0" w:color="auto"/>
        <w:bottom w:val="none" w:sz="0" w:space="0" w:color="auto"/>
        <w:right w:val="none" w:sz="0" w:space="0" w:color="auto"/>
      </w:divBdr>
    </w:div>
    <w:div w:id="1240795273">
      <w:bodyDiv w:val="1"/>
      <w:marLeft w:val="0"/>
      <w:marRight w:val="0"/>
      <w:marTop w:val="0"/>
      <w:marBottom w:val="0"/>
      <w:divBdr>
        <w:top w:val="none" w:sz="0" w:space="0" w:color="auto"/>
        <w:left w:val="none" w:sz="0" w:space="0" w:color="auto"/>
        <w:bottom w:val="none" w:sz="0" w:space="0" w:color="auto"/>
        <w:right w:val="none" w:sz="0" w:space="0" w:color="auto"/>
      </w:divBdr>
    </w:div>
    <w:div w:id="1255750183">
      <w:bodyDiv w:val="1"/>
      <w:marLeft w:val="0"/>
      <w:marRight w:val="0"/>
      <w:marTop w:val="0"/>
      <w:marBottom w:val="0"/>
      <w:divBdr>
        <w:top w:val="none" w:sz="0" w:space="0" w:color="auto"/>
        <w:left w:val="none" w:sz="0" w:space="0" w:color="auto"/>
        <w:bottom w:val="none" w:sz="0" w:space="0" w:color="auto"/>
        <w:right w:val="none" w:sz="0" w:space="0" w:color="auto"/>
      </w:divBdr>
    </w:div>
    <w:div w:id="1308976807">
      <w:bodyDiv w:val="1"/>
      <w:marLeft w:val="0"/>
      <w:marRight w:val="0"/>
      <w:marTop w:val="0"/>
      <w:marBottom w:val="0"/>
      <w:divBdr>
        <w:top w:val="none" w:sz="0" w:space="0" w:color="auto"/>
        <w:left w:val="none" w:sz="0" w:space="0" w:color="auto"/>
        <w:bottom w:val="none" w:sz="0" w:space="0" w:color="auto"/>
        <w:right w:val="none" w:sz="0" w:space="0" w:color="auto"/>
      </w:divBdr>
    </w:div>
    <w:div w:id="1332758810">
      <w:bodyDiv w:val="1"/>
      <w:marLeft w:val="0"/>
      <w:marRight w:val="0"/>
      <w:marTop w:val="0"/>
      <w:marBottom w:val="0"/>
      <w:divBdr>
        <w:top w:val="none" w:sz="0" w:space="0" w:color="auto"/>
        <w:left w:val="none" w:sz="0" w:space="0" w:color="auto"/>
        <w:bottom w:val="none" w:sz="0" w:space="0" w:color="auto"/>
        <w:right w:val="none" w:sz="0" w:space="0" w:color="auto"/>
      </w:divBdr>
    </w:div>
    <w:div w:id="1334141125">
      <w:bodyDiv w:val="1"/>
      <w:marLeft w:val="0"/>
      <w:marRight w:val="0"/>
      <w:marTop w:val="0"/>
      <w:marBottom w:val="0"/>
      <w:divBdr>
        <w:top w:val="none" w:sz="0" w:space="0" w:color="auto"/>
        <w:left w:val="none" w:sz="0" w:space="0" w:color="auto"/>
        <w:bottom w:val="none" w:sz="0" w:space="0" w:color="auto"/>
        <w:right w:val="none" w:sz="0" w:space="0" w:color="auto"/>
      </w:divBdr>
    </w:div>
    <w:div w:id="1392118875">
      <w:bodyDiv w:val="1"/>
      <w:marLeft w:val="0"/>
      <w:marRight w:val="0"/>
      <w:marTop w:val="0"/>
      <w:marBottom w:val="0"/>
      <w:divBdr>
        <w:top w:val="none" w:sz="0" w:space="0" w:color="auto"/>
        <w:left w:val="none" w:sz="0" w:space="0" w:color="auto"/>
        <w:bottom w:val="none" w:sz="0" w:space="0" w:color="auto"/>
        <w:right w:val="none" w:sz="0" w:space="0" w:color="auto"/>
      </w:divBdr>
    </w:div>
    <w:div w:id="1401126096">
      <w:bodyDiv w:val="1"/>
      <w:marLeft w:val="0"/>
      <w:marRight w:val="0"/>
      <w:marTop w:val="0"/>
      <w:marBottom w:val="0"/>
      <w:divBdr>
        <w:top w:val="none" w:sz="0" w:space="0" w:color="auto"/>
        <w:left w:val="none" w:sz="0" w:space="0" w:color="auto"/>
        <w:bottom w:val="none" w:sz="0" w:space="0" w:color="auto"/>
        <w:right w:val="none" w:sz="0" w:space="0" w:color="auto"/>
      </w:divBdr>
    </w:div>
    <w:div w:id="1430813643">
      <w:bodyDiv w:val="1"/>
      <w:marLeft w:val="0"/>
      <w:marRight w:val="0"/>
      <w:marTop w:val="0"/>
      <w:marBottom w:val="0"/>
      <w:divBdr>
        <w:top w:val="none" w:sz="0" w:space="0" w:color="auto"/>
        <w:left w:val="none" w:sz="0" w:space="0" w:color="auto"/>
        <w:bottom w:val="none" w:sz="0" w:space="0" w:color="auto"/>
        <w:right w:val="none" w:sz="0" w:space="0" w:color="auto"/>
      </w:divBdr>
    </w:div>
    <w:div w:id="1444420888">
      <w:bodyDiv w:val="1"/>
      <w:marLeft w:val="0"/>
      <w:marRight w:val="0"/>
      <w:marTop w:val="0"/>
      <w:marBottom w:val="0"/>
      <w:divBdr>
        <w:top w:val="none" w:sz="0" w:space="0" w:color="auto"/>
        <w:left w:val="none" w:sz="0" w:space="0" w:color="auto"/>
        <w:bottom w:val="none" w:sz="0" w:space="0" w:color="auto"/>
        <w:right w:val="none" w:sz="0" w:space="0" w:color="auto"/>
      </w:divBdr>
    </w:div>
    <w:div w:id="1449083042">
      <w:bodyDiv w:val="1"/>
      <w:marLeft w:val="0"/>
      <w:marRight w:val="0"/>
      <w:marTop w:val="0"/>
      <w:marBottom w:val="0"/>
      <w:divBdr>
        <w:top w:val="none" w:sz="0" w:space="0" w:color="auto"/>
        <w:left w:val="none" w:sz="0" w:space="0" w:color="auto"/>
        <w:bottom w:val="none" w:sz="0" w:space="0" w:color="auto"/>
        <w:right w:val="none" w:sz="0" w:space="0" w:color="auto"/>
      </w:divBdr>
    </w:div>
    <w:div w:id="1474761638">
      <w:bodyDiv w:val="1"/>
      <w:marLeft w:val="0"/>
      <w:marRight w:val="0"/>
      <w:marTop w:val="0"/>
      <w:marBottom w:val="0"/>
      <w:divBdr>
        <w:top w:val="none" w:sz="0" w:space="0" w:color="auto"/>
        <w:left w:val="none" w:sz="0" w:space="0" w:color="auto"/>
        <w:bottom w:val="none" w:sz="0" w:space="0" w:color="auto"/>
        <w:right w:val="none" w:sz="0" w:space="0" w:color="auto"/>
      </w:divBdr>
    </w:div>
    <w:div w:id="1476533568">
      <w:bodyDiv w:val="1"/>
      <w:marLeft w:val="0"/>
      <w:marRight w:val="0"/>
      <w:marTop w:val="0"/>
      <w:marBottom w:val="0"/>
      <w:divBdr>
        <w:top w:val="none" w:sz="0" w:space="0" w:color="auto"/>
        <w:left w:val="none" w:sz="0" w:space="0" w:color="auto"/>
        <w:bottom w:val="none" w:sz="0" w:space="0" w:color="auto"/>
        <w:right w:val="none" w:sz="0" w:space="0" w:color="auto"/>
      </w:divBdr>
    </w:div>
    <w:div w:id="1538926951">
      <w:bodyDiv w:val="1"/>
      <w:marLeft w:val="0"/>
      <w:marRight w:val="0"/>
      <w:marTop w:val="0"/>
      <w:marBottom w:val="0"/>
      <w:divBdr>
        <w:top w:val="none" w:sz="0" w:space="0" w:color="auto"/>
        <w:left w:val="none" w:sz="0" w:space="0" w:color="auto"/>
        <w:bottom w:val="none" w:sz="0" w:space="0" w:color="auto"/>
        <w:right w:val="none" w:sz="0" w:space="0" w:color="auto"/>
      </w:divBdr>
    </w:div>
    <w:div w:id="1545749955">
      <w:bodyDiv w:val="1"/>
      <w:marLeft w:val="0"/>
      <w:marRight w:val="0"/>
      <w:marTop w:val="0"/>
      <w:marBottom w:val="0"/>
      <w:divBdr>
        <w:top w:val="none" w:sz="0" w:space="0" w:color="auto"/>
        <w:left w:val="none" w:sz="0" w:space="0" w:color="auto"/>
        <w:bottom w:val="none" w:sz="0" w:space="0" w:color="auto"/>
        <w:right w:val="none" w:sz="0" w:space="0" w:color="auto"/>
      </w:divBdr>
    </w:div>
    <w:div w:id="1566527427">
      <w:bodyDiv w:val="1"/>
      <w:marLeft w:val="0"/>
      <w:marRight w:val="0"/>
      <w:marTop w:val="0"/>
      <w:marBottom w:val="0"/>
      <w:divBdr>
        <w:top w:val="none" w:sz="0" w:space="0" w:color="auto"/>
        <w:left w:val="none" w:sz="0" w:space="0" w:color="auto"/>
        <w:bottom w:val="none" w:sz="0" w:space="0" w:color="auto"/>
        <w:right w:val="none" w:sz="0" w:space="0" w:color="auto"/>
      </w:divBdr>
    </w:div>
    <w:div w:id="1572890453">
      <w:bodyDiv w:val="1"/>
      <w:marLeft w:val="0"/>
      <w:marRight w:val="0"/>
      <w:marTop w:val="0"/>
      <w:marBottom w:val="0"/>
      <w:divBdr>
        <w:top w:val="none" w:sz="0" w:space="0" w:color="auto"/>
        <w:left w:val="none" w:sz="0" w:space="0" w:color="auto"/>
        <w:bottom w:val="none" w:sz="0" w:space="0" w:color="auto"/>
        <w:right w:val="none" w:sz="0" w:space="0" w:color="auto"/>
      </w:divBdr>
    </w:div>
    <w:div w:id="1576165538">
      <w:bodyDiv w:val="1"/>
      <w:marLeft w:val="0"/>
      <w:marRight w:val="0"/>
      <w:marTop w:val="0"/>
      <w:marBottom w:val="0"/>
      <w:divBdr>
        <w:top w:val="none" w:sz="0" w:space="0" w:color="auto"/>
        <w:left w:val="none" w:sz="0" w:space="0" w:color="auto"/>
        <w:bottom w:val="none" w:sz="0" w:space="0" w:color="auto"/>
        <w:right w:val="none" w:sz="0" w:space="0" w:color="auto"/>
      </w:divBdr>
    </w:div>
    <w:div w:id="1593971755">
      <w:bodyDiv w:val="1"/>
      <w:marLeft w:val="0"/>
      <w:marRight w:val="0"/>
      <w:marTop w:val="0"/>
      <w:marBottom w:val="0"/>
      <w:divBdr>
        <w:top w:val="none" w:sz="0" w:space="0" w:color="auto"/>
        <w:left w:val="none" w:sz="0" w:space="0" w:color="auto"/>
        <w:bottom w:val="none" w:sz="0" w:space="0" w:color="auto"/>
        <w:right w:val="none" w:sz="0" w:space="0" w:color="auto"/>
      </w:divBdr>
    </w:div>
    <w:div w:id="1598977358">
      <w:bodyDiv w:val="1"/>
      <w:marLeft w:val="0"/>
      <w:marRight w:val="0"/>
      <w:marTop w:val="0"/>
      <w:marBottom w:val="0"/>
      <w:divBdr>
        <w:top w:val="none" w:sz="0" w:space="0" w:color="auto"/>
        <w:left w:val="none" w:sz="0" w:space="0" w:color="auto"/>
        <w:bottom w:val="none" w:sz="0" w:space="0" w:color="auto"/>
        <w:right w:val="none" w:sz="0" w:space="0" w:color="auto"/>
      </w:divBdr>
    </w:div>
    <w:div w:id="1612665411">
      <w:bodyDiv w:val="1"/>
      <w:marLeft w:val="0"/>
      <w:marRight w:val="0"/>
      <w:marTop w:val="0"/>
      <w:marBottom w:val="0"/>
      <w:divBdr>
        <w:top w:val="none" w:sz="0" w:space="0" w:color="auto"/>
        <w:left w:val="none" w:sz="0" w:space="0" w:color="auto"/>
        <w:bottom w:val="none" w:sz="0" w:space="0" w:color="auto"/>
        <w:right w:val="none" w:sz="0" w:space="0" w:color="auto"/>
      </w:divBdr>
    </w:div>
    <w:div w:id="1635721957">
      <w:bodyDiv w:val="1"/>
      <w:marLeft w:val="0"/>
      <w:marRight w:val="0"/>
      <w:marTop w:val="0"/>
      <w:marBottom w:val="0"/>
      <w:divBdr>
        <w:top w:val="none" w:sz="0" w:space="0" w:color="auto"/>
        <w:left w:val="none" w:sz="0" w:space="0" w:color="auto"/>
        <w:bottom w:val="none" w:sz="0" w:space="0" w:color="auto"/>
        <w:right w:val="none" w:sz="0" w:space="0" w:color="auto"/>
      </w:divBdr>
    </w:div>
    <w:div w:id="1663773338">
      <w:bodyDiv w:val="1"/>
      <w:marLeft w:val="0"/>
      <w:marRight w:val="0"/>
      <w:marTop w:val="0"/>
      <w:marBottom w:val="0"/>
      <w:divBdr>
        <w:top w:val="none" w:sz="0" w:space="0" w:color="auto"/>
        <w:left w:val="none" w:sz="0" w:space="0" w:color="auto"/>
        <w:bottom w:val="none" w:sz="0" w:space="0" w:color="auto"/>
        <w:right w:val="none" w:sz="0" w:space="0" w:color="auto"/>
      </w:divBdr>
    </w:div>
    <w:div w:id="1808476844">
      <w:bodyDiv w:val="1"/>
      <w:marLeft w:val="0"/>
      <w:marRight w:val="0"/>
      <w:marTop w:val="0"/>
      <w:marBottom w:val="0"/>
      <w:divBdr>
        <w:top w:val="none" w:sz="0" w:space="0" w:color="auto"/>
        <w:left w:val="none" w:sz="0" w:space="0" w:color="auto"/>
        <w:bottom w:val="none" w:sz="0" w:space="0" w:color="auto"/>
        <w:right w:val="none" w:sz="0" w:space="0" w:color="auto"/>
      </w:divBdr>
    </w:div>
    <w:div w:id="1808937276">
      <w:bodyDiv w:val="1"/>
      <w:marLeft w:val="0"/>
      <w:marRight w:val="0"/>
      <w:marTop w:val="0"/>
      <w:marBottom w:val="0"/>
      <w:divBdr>
        <w:top w:val="none" w:sz="0" w:space="0" w:color="auto"/>
        <w:left w:val="none" w:sz="0" w:space="0" w:color="auto"/>
        <w:bottom w:val="none" w:sz="0" w:space="0" w:color="auto"/>
        <w:right w:val="none" w:sz="0" w:space="0" w:color="auto"/>
      </w:divBdr>
    </w:div>
    <w:div w:id="1881898812">
      <w:bodyDiv w:val="1"/>
      <w:marLeft w:val="0"/>
      <w:marRight w:val="0"/>
      <w:marTop w:val="0"/>
      <w:marBottom w:val="0"/>
      <w:divBdr>
        <w:top w:val="none" w:sz="0" w:space="0" w:color="auto"/>
        <w:left w:val="none" w:sz="0" w:space="0" w:color="auto"/>
        <w:bottom w:val="none" w:sz="0" w:space="0" w:color="auto"/>
        <w:right w:val="none" w:sz="0" w:space="0" w:color="auto"/>
      </w:divBdr>
    </w:div>
    <w:div w:id="1889681641">
      <w:bodyDiv w:val="1"/>
      <w:marLeft w:val="0"/>
      <w:marRight w:val="0"/>
      <w:marTop w:val="0"/>
      <w:marBottom w:val="0"/>
      <w:divBdr>
        <w:top w:val="none" w:sz="0" w:space="0" w:color="auto"/>
        <w:left w:val="none" w:sz="0" w:space="0" w:color="auto"/>
        <w:bottom w:val="none" w:sz="0" w:space="0" w:color="auto"/>
        <w:right w:val="none" w:sz="0" w:space="0" w:color="auto"/>
      </w:divBdr>
    </w:div>
    <w:div w:id="1897349450">
      <w:bodyDiv w:val="1"/>
      <w:marLeft w:val="0"/>
      <w:marRight w:val="0"/>
      <w:marTop w:val="0"/>
      <w:marBottom w:val="0"/>
      <w:divBdr>
        <w:top w:val="none" w:sz="0" w:space="0" w:color="auto"/>
        <w:left w:val="none" w:sz="0" w:space="0" w:color="auto"/>
        <w:bottom w:val="none" w:sz="0" w:space="0" w:color="auto"/>
        <w:right w:val="none" w:sz="0" w:space="0" w:color="auto"/>
      </w:divBdr>
    </w:div>
    <w:div w:id="1910461002">
      <w:bodyDiv w:val="1"/>
      <w:marLeft w:val="0"/>
      <w:marRight w:val="0"/>
      <w:marTop w:val="0"/>
      <w:marBottom w:val="0"/>
      <w:divBdr>
        <w:top w:val="none" w:sz="0" w:space="0" w:color="auto"/>
        <w:left w:val="none" w:sz="0" w:space="0" w:color="auto"/>
        <w:bottom w:val="none" w:sz="0" w:space="0" w:color="auto"/>
        <w:right w:val="none" w:sz="0" w:space="0" w:color="auto"/>
      </w:divBdr>
    </w:div>
    <w:div w:id="1937708890">
      <w:bodyDiv w:val="1"/>
      <w:marLeft w:val="0"/>
      <w:marRight w:val="0"/>
      <w:marTop w:val="0"/>
      <w:marBottom w:val="0"/>
      <w:divBdr>
        <w:top w:val="none" w:sz="0" w:space="0" w:color="auto"/>
        <w:left w:val="none" w:sz="0" w:space="0" w:color="auto"/>
        <w:bottom w:val="none" w:sz="0" w:space="0" w:color="auto"/>
        <w:right w:val="none" w:sz="0" w:space="0" w:color="auto"/>
      </w:divBdr>
    </w:div>
    <w:div w:id="1963076173">
      <w:bodyDiv w:val="1"/>
      <w:marLeft w:val="0"/>
      <w:marRight w:val="0"/>
      <w:marTop w:val="0"/>
      <w:marBottom w:val="0"/>
      <w:divBdr>
        <w:top w:val="none" w:sz="0" w:space="0" w:color="auto"/>
        <w:left w:val="none" w:sz="0" w:space="0" w:color="auto"/>
        <w:bottom w:val="none" w:sz="0" w:space="0" w:color="auto"/>
        <w:right w:val="none" w:sz="0" w:space="0" w:color="auto"/>
      </w:divBdr>
    </w:div>
    <w:div w:id="1989552659">
      <w:bodyDiv w:val="1"/>
      <w:marLeft w:val="0"/>
      <w:marRight w:val="0"/>
      <w:marTop w:val="0"/>
      <w:marBottom w:val="0"/>
      <w:divBdr>
        <w:top w:val="none" w:sz="0" w:space="0" w:color="auto"/>
        <w:left w:val="none" w:sz="0" w:space="0" w:color="auto"/>
        <w:bottom w:val="none" w:sz="0" w:space="0" w:color="auto"/>
        <w:right w:val="none" w:sz="0" w:space="0" w:color="auto"/>
      </w:divBdr>
    </w:div>
    <w:div w:id="1989820211">
      <w:bodyDiv w:val="1"/>
      <w:marLeft w:val="0"/>
      <w:marRight w:val="0"/>
      <w:marTop w:val="0"/>
      <w:marBottom w:val="0"/>
      <w:divBdr>
        <w:top w:val="none" w:sz="0" w:space="0" w:color="auto"/>
        <w:left w:val="none" w:sz="0" w:space="0" w:color="auto"/>
        <w:bottom w:val="none" w:sz="0" w:space="0" w:color="auto"/>
        <w:right w:val="none" w:sz="0" w:space="0" w:color="auto"/>
      </w:divBdr>
    </w:div>
    <w:div w:id="2001079589">
      <w:bodyDiv w:val="1"/>
      <w:marLeft w:val="0"/>
      <w:marRight w:val="0"/>
      <w:marTop w:val="0"/>
      <w:marBottom w:val="0"/>
      <w:divBdr>
        <w:top w:val="none" w:sz="0" w:space="0" w:color="auto"/>
        <w:left w:val="none" w:sz="0" w:space="0" w:color="auto"/>
        <w:bottom w:val="none" w:sz="0" w:space="0" w:color="auto"/>
        <w:right w:val="none" w:sz="0" w:space="0" w:color="auto"/>
      </w:divBdr>
    </w:div>
    <w:div w:id="2039623844">
      <w:bodyDiv w:val="1"/>
      <w:marLeft w:val="0"/>
      <w:marRight w:val="0"/>
      <w:marTop w:val="0"/>
      <w:marBottom w:val="0"/>
      <w:divBdr>
        <w:top w:val="none" w:sz="0" w:space="0" w:color="auto"/>
        <w:left w:val="none" w:sz="0" w:space="0" w:color="auto"/>
        <w:bottom w:val="none" w:sz="0" w:space="0" w:color="auto"/>
        <w:right w:val="none" w:sz="0" w:space="0" w:color="auto"/>
      </w:divBdr>
    </w:div>
    <w:div w:id="2055503382">
      <w:bodyDiv w:val="1"/>
      <w:marLeft w:val="0"/>
      <w:marRight w:val="0"/>
      <w:marTop w:val="0"/>
      <w:marBottom w:val="0"/>
      <w:divBdr>
        <w:top w:val="none" w:sz="0" w:space="0" w:color="auto"/>
        <w:left w:val="none" w:sz="0" w:space="0" w:color="auto"/>
        <w:bottom w:val="none" w:sz="0" w:space="0" w:color="auto"/>
        <w:right w:val="none" w:sz="0" w:space="0" w:color="auto"/>
      </w:divBdr>
    </w:div>
    <w:div w:id="2112554156">
      <w:bodyDiv w:val="1"/>
      <w:marLeft w:val="0"/>
      <w:marRight w:val="0"/>
      <w:marTop w:val="0"/>
      <w:marBottom w:val="0"/>
      <w:divBdr>
        <w:top w:val="none" w:sz="0" w:space="0" w:color="auto"/>
        <w:left w:val="none" w:sz="0" w:space="0" w:color="auto"/>
        <w:bottom w:val="none" w:sz="0" w:space="0" w:color="auto"/>
        <w:right w:val="none" w:sz="0" w:space="0" w:color="auto"/>
      </w:divBdr>
    </w:div>
    <w:div w:id="21149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argusmedia.com/en/solutions/products/argus-base-oils"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317F88A-C122-489A-ACCE-55A67EF930FC}">
  <ds:schemaRefs>
    <ds:schemaRef ds:uri="http://schemas.openxmlformats.org/officeDocument/2006/bibliography"/>
  </ds:schemaRefs>
</ds:datastoreItem>
</file>

<file path=customXml/itemProps2.xml><?xml version="1.0" encoding="utf-8"?>
<ds:datastoreItem xmlns:ds="http://schemas.openxmlformats.org/officeDocument/2006/customXml" ds:itemID="{BD88D935-6AF1-4497-AD42-B054BA0F44F5}"/>
</file>

<file path=customXml/itemProps3.xml><?xml version="1.0" encoding="utf-8"?>
<ds:datastoreItem xmlns:ds="http://schemas.openxmlformats.org/officeDocument/2006/customXml" ds:itemID="{F6FB65F8-10F2-4146-8A73-ED3828191210}"/>
</file>

<file path=customXml/itemProps4.xml><?xml version="1.0" encoding="utf-8"?>
<ds:datastoreItem xmlns:ds="http://schemas.openxmlformats.org/officeDocument/2006/customXml" ds:itemID="{F067889B-8446-45BC-88BF-FC9709EED7ED}"/>
</file>

<file path=docProps/app.xml><?xml version="1.0" encoding="utf-8"?>
<Properties xmlns="http://schemas.openxmlformats.org/officeDocument/2006/extended-properties" xmlns:vt="http://schemas.openxmlformats.org/officeDocument/2006/docPropsVTypes">
  <Template>Normal</Template>
  <TotalTime>489</TotalTime>
  <Pages>9</Pages>
  <Words>15447</Words>
  <Characters>8805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265</cp:revision>
  <cp:lastPrinted>2025-05-01T18:58:00Z</cp:lastPrinted>
  <dcterms:created xsi:type="dcterms:W3CDTF">2025-04-30T10:49:00Z</dcterms:created>
  <dcterms:modified xsi:type="dcterms:W3CDTF">2025-05-14T12:49:00Z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