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E5B7" w14:textId="77777777" w:rsidR="00055094" w:rsidRPr="00FF2ABA" w:rsidRDefault="00055094" w:rsidP="00055094">
      <w:pPr>
        <w:rPr>
          <w:rFonts w:cs="Arial"/>
          <w:szCs w:val="20"/>
        </w:rPr>
      </w:pPr>
    </w:p>
    <w:p w14:paraId="153A7D43" w14:textId="4EFF28B0" w:rsidR="00055094" w:rsidRPr="006003B5" w:rsidRDefault="00BD1AFE" w:rsidP="00055094">
      <w:pPr>
        <w:rPr>
          <w:rFonts w:ascii="Calibri" w:hAnsi="Calibri" w:cs="Calibri"/>
          <w:sz w:val="24"/>
        </w:rPr>
      </w:pPr>
      <w:r>
        <w:rPr>
          <w:rFonts w:ascii="Calibri" w:hAnsi="Calibri" w:cs="Calibri"/>
          <w:sz w:val="24"/>
        </w:rPr>
        <w:t>07/07</w:t>
      </w:r>
      <w:r w:rsidR="00DF7DB1">
        <w:rPr>
          <w:rFonts w:ascii="Calibri" w:hAnsi="Calibri" w:cs="Calibri"/>
          <w:sz w:val="24"/>
        </w:rPr>
        <w:t>/</w:t>
      </w:r>
      <w:r w:rsidR="00055094" w:rsidRPr="006003B5">
        <w:rPr>
          <w:rFonts w:ascii="Calibri" w:hAnsi="Calibri" w:cs="Calibri"/>
          <w:sz w:val="24"/>
        </w:rPr>
        <w:t>2021</w:t>
      </w:r>
    </w:p>
    <w:p w14:paraId="7FE44070" w14:textId="77777777" w:rsidR="00055094" w:rsidRPr="006003B5" w:rsidRDefault="00055094" w:rsidP="00055094">
      <w:pPr>
        <w:rPr>
          <w:rFonts w:ascii="Calibri" w:hAnsi="Calibri" w:cs="Calibri"/>
          <w:sz w:val="24"/>
        </w:rPr>
      </w:pPr>
    </w:p>
    <w:p w14:paraId="7289055E" w14:textId="77777777" w:rsidR="00055094" w:rsidRPr="006003B5" w:rsidRDefault="00055094" w:rsidP="00055094">
      <w:pPr>
        <w:rPr>
          <w:rFonts w:ascii="Calibri" w:hAnsi="Calibri" w:cs="Calibri"/>
          <w:sz w:val="24"/>
        </w:rPr>
      </w:pPr>
      <w:r w:rsidRPr="006003B5">
        <w:rPr>
          <w:rFonts w:ascii="Calibri" w:hAnsi="Calibri" w:cs="Calibri"/>
          <w:sz w:val="24"/>
        </w:rPr>
        <w:t xml:space="preserve">Trade Remedies Investigations Directorate </w:t>
      </w:r>
    </w:p>
    <w:p w14:paraId="0D9FCA95" w14:textId="77777777" w:rsidR="00055094" w:rsidRPr="006003B5" w:rsidRDefault="00055094" w:rsidP="00055094">
      <w:pPr>
        <w:rPr>
          <w:rFonts w:ascii="Calibri" w:hAnsi="Calibri" w:cs="Calibri"/>
          <w:sz w:val="24"/>
        </w:rPr>
      </w:pPr>
      <w:r w:rsidRPr="006003B5">
        <w:rPr>
          <w:rFonts w:ascii="Calibri" w:hAnsi="Calibri" w:cs="Calibri"/>
          <w:sz w:val="24"/>
        </w:rPr>
        <w:t xml:space="preserve">Department for International Trade  </w:t>
      </w:r>
    </w:p>
    <w:p w14:paraId="462B6B1A" w14:textId="77777777" w:rsidR="00055094" w:rsidRPr="006003B5" w:rsidRDefault="00055094" w:rsidP="00055094">
      <w:pPr>
        <w:rPr>
          <w:rFonts w:ascii="Calibri" w:hAnsi="Calibri" w:cs="Calibri"/>
          <w:sz w:val="24"/>
        </w:rPr>
      </w:pPr>
      <w:r w:rsidRPr="006003B5">
        <w:rPr>
          <w:rFonts w:ascii="Calibri" w:hAnsi="Calibri" w:cs="Calibri"/>
          <w:sz w:val="24"/>
        </w:rPr>
        <w:t>North Gate House, 21-23 Valpy Street</w:t>
      </w:r>
    </w:p>
    <w:p w14:paraId="0AB8AE66" w14:textId="77777777" w:rsidR="00055094" w:rsidRPr="006003B5" w:rsidRDefault="00055094" w:rsidP="00055094">
      <w:pPr>
        <w:rPr>
          <w:rFonts w:ascii="Calibri" w:hAnsi="Calibri" w:cs="Calibri"/>
          <w:sz w:val="24"/>
        </w:rPr>
      </w:pPr>
      <w:r w:rsidRPr="006003B5">
        <w:rPr>
          <w:rFonts w:ascii="Calibri" w:hAnsi="Calibri" w:cs="Calibri"/>
          <w:sz w:val="24"/>
        </w:rPr>
        <w:t>Reading RG1 1AF</w:t>
      </w:r>
    </w:p>
    <w:p w14:paraId="20A534EA" w14:textId="77777777" w:rsidR="002B2F43" w:rsidRPr="006003B5" w:rsidRDefault="002B2F43">
      <w:pPr>
        <w:rPr>
          <w:rFonts w:ascii="Calibri" w:hAnsi="Calibri" w:cs="Calibri"/>
          <w:sz w:val="24"/>
        </w:rPr>
      </w:pPr>
    </w:p>
    <w:p w14:paraId="6EE95F1D" w14:textId="09F2BB4C" w:rsidR="00055094" w:rsidRPr="006003B5" w:rsidRDefault="00055094">
      <w:pPr>
        <w:rPr>
          <w:rFonts w:ascii="Calibri" w:hAnsi="Calibri" w:cs="Calibri"/>
          <w:sz w:val="24"/>
        </w:rPr>
      </w:pPr>
    </w:p>
    <w:p w14:paraId="6842AD96" w14:textId="3D49B5FC" w:rsidR="00DE522A" w:rsidRPr="006003B5" w:rsidRDefault="00080B1E" w:rsidP="00DE522A">
      <w:pPr>
        <w:rPr>
          <w:rFonts w:ascii="Calibri" w:eastAsia="Times New Roman" w:hAnsi="Calibri" w:cs="Calibri"/>
          <w:b/>
          <w:color w:val="000000"/>
          <w:sz w:val="24"/>
          <w:lang w:eastAsia="en-GB"/>
        </w:rPr>
      </w:pPr>
      <w:r w:rsidRPr="006003B5">
        <w:rPr>
          <w:rFonts w:ascii="Calibri" w:hAnsi="Calibri" w:cs="Calibri"/>
          <w:b/>
          <w:bCs/>
          <w:sz w:val="24"/>
        </w:rPr>
        <w:t xml:space="preserve">TF0006 – Safeguard Measure on Certain Steel </w:t>
      </w:r>
      <w:r w:rsidR="00CA4C1A" w:rsidRPr="006003B5">
        <w:rPr>
          <w:rFonts w:ascii="Calibri" w:hAnsi="Calibri" w:cs="Calibri"/>
          <w:b/>
          <w:bCs/>
          <w:sz w:val="24"/>
        </w:rPr>
        <w:t>Products:</w:t>
      </w:r>
      <w:r w:rsidR="00133F4C" w:rsidRPr="006003B5">
        <w:rPr>
          <w:rFonts w:ascii="Calibri" w:hAnsi="Calibri" w:cs="Calibri"/>
          <w:b/>
          <w:bCs/>
          <w:sz w:val="24"/>
        </w:rPr>
        <w:t xml:space="preserve"> R</w:t>
      </w:r>
      <w:r w:rsidR="00133F4C" w:rsidRPr="00133F4C">
        <w:rPr>
          <w:rFonts w:ascii="Calibri" w:hAnsi="Calibri" w:cs="Calibri"/>
          <w:b/>
          <w:bCs/>
          <w:sz w:val="24"/>
        </w:rPr>
        <w:t>equests for reconsiderations of</w:t>
      </w:r>
      <w:r w:rsidR="00133F4C" w:rsidRPr="006003B5">
        <w:rPr>
          <w:rFonts w:ascii="Calibri" w:hAnsi="Calibri" w:cs="Calibri"/>
          <w:b/>
          <w:bCs/>
          <w:sz w:val="24"/>
        </w:rPr>
        <w:t xml:space="preserve"> the</w:t>
      </w:r>
      <w:r w:rsidR="00133F4C" w:rsidRPr="00133F4C">
        <w:rPr>
          <w:rFonts w:ascii="Calibri" w:hAnsi="Calibri" w:cs="Calibri"/>
          <w:b/>
          <w:bCs/>
          <w:sz w:val="24"/>
        </w:rPr>
        <w:t xml:space="preserve"> decisions</w:t>
      </w:r>
      <w:r w:rsidR="00DE522A" w:rsidRPr="006003B5">
        <w:rPr>
          <w:rFonts w:ascii="Calibri" w:hAnsi="Calibri" w:cs="Calibri"/>
          <w:b/>
          <w:bCs/>
          <w:sz w:val="24"/>
        </w:rPr>
        <w:t xml:space="preserve"> - </w:t>
      </w:r>
      <w:r w:rsidR="00231BF6" w:rsidRPr="00231BF6">
        <w:rPr>
          <w:rFonts w:ascii="Calibri" w:hAnsi="Calibri" w:cs="Calibri"/>
          <w:b/>
          <w:bCs/>
          <w:sz w:val="24"/>
        </w:rPr>
        <w:t>27. Non-alloy and other alloy cold finished bars</w:t>
      </w:r>
    </w:p>
    <w:p w14:paraId="077C7138" w14:textId="500CA9C2" w:rsidR="00133F4C" w:rsidRPr="00133F4C" w:rsidRDefault="00133F4C" w:rsidP="00133F4C">
      <w:pPr>
        <w:rPr>
          <w:rFonts w:ascii="Calibri" w:hAnsi="Calibri" w:cs="Calibri"/>
          <w:b/>
          <w:bCs/>
          <w:sz w:val="24"/>
        </w:rPr>
      </w:pPr>
    </w:p>
    <w:p w14:paraId="0831AEA5" w14:textId="77777777" w:rsidR="00080B1E" w:rsidRPr="006003B5" w:rsidRDefault="00080B1E">
      <w:pPr>
        <w:rPr>
          <w:rFonts w:ascii="Calibri" w:hAnsi="Calibri" w:cs="Calibri"/>
          <w:sz w:val="24"/>
        </w:rPr>
      </w:pPr>
    </w:p>
    <w:p w14:paraId="40080B7B" w14:textId="64BB8030" w:rsidR="00055094" w:rsidRPr="006003B5" w:rsidRDefault="00055094">
      <w:pPr>
        <w:rPr>
          <w:rFonts w:ascii="Calibri" w:hAnsi="Calibri" w:cs="Calibri"/>
          <w:sz w:val="24"/>
        </w:rPr>
      </w:pPr>
      <w:r w:rsidRPr="006003B5">
        <w:rPr>
          <w:rFonts w:ascii="Calibri" w:hAnsi="Calibri" w:cs="Calibri"/>
          <w:sz w:val="24"/>
        </w:rPr>
        <w:t xml:space="preserve">Dear Sir/Madam, </w:t>
      </w:r>
    </w:p>
    <w:p w14:paraId="7CE60D62" w14:textId="209C70AC" w:rsidR="00055094" w:rsidRPr="006003B5" w:rsidRDefault="00055094">
      <w:pPr>
        <w:rPr>
          <w:rFonts w:ascii="Calibri" w:hAnsi="Calibri" w:cs="Calibri"/>
          <w:sz w:val="24"/>
        </w:rPr>
      </w:pPr>
    </w:p>
    <w:p w14:paraId="2C9B4AEE" w14:textId="7F25F4A2" w:rsidR="00055094" w:rsidRPr="006003B5" w:rsidRDefault="00055094">
      <w:pPr>
        <w:rPr>
          <w:rFonts w:ascii="Calibri" w:hAnsi="Calibri" w:cs="Calibri"/>
          <w:sz w:val="24"/>
        </w:rPr>
      </w:pPr>
      <w:r w:rsidRPr="006003B5">
        <w:rPr>
          <w:rFonts w:ascii="Calibri" w:hAnsi="Calibri" w:cs="Calibri"/>
          <w:sz w:val="24"/>
        </w:rPr>
        <w:t>With respect to T</w:t>
      </w:r>
      <w:r w:rsidR="00080B1E" w:rsidRPr="006003B5">
        <w:rPr>
          <w:rFonts w:ascii="Calibri" w:hAnsi="Calibri" w:cs="Calibri"/>
          <w:sz w:val="24"/>
        </w:rPr>
        <w:t xml:space="preserve">he </w:t>
      </w:r>
      <w:r w:rsidRPr="006003B5">
        <w:rPr>
          <w:rFonts w:ascii="Calibri" w:hAnsi="Calibri" w:cs="Calibri"/>
          <w:sz w:val="24"/>
        </w:rPr>
        <w:t xml:space="preserve">Trade Remedies Investigations Directorate’s </w:t>
      </w:r>
      <w:r w:rsidR="00080B1E" w:rsidRPr="006003B5">
        <w:rPr>
          <w:rFonts w:ascii="Calibri" w:hAnsi="Calibri" w:cs="Calibri"/>
          <w:sz w:val="24"/>
        </w:rPr>
        <w:t xml:space="preserve">transition review </w:t>
      </w:r>
      <w:r w:rsidR="00203BDC" w:rsidRPr="006003B5">
        <w:rPr>
          <w:rFonts w:ascii="Calibri" w:hAnsi="Calibri" w:cs="Calibri"/>
          <w:sz w:val="24"/>
        </w:rPr>
        <w:t>of</w:t>
      </w:r>
      <w:r w:rsidR="00080B1E" w:rsidRPr="006003B5">
        <w:rPr>
          <w:rFonts w:ascii="Calibri" w:hAnsi="Calibri" w:cs="Calibri"/>
          <w:sz w:val="24"/>
        </w:rPr>
        <w:t xml:space="preserve"> the safeguard measures on steel products I am writing to </w:t>
      </w:r>
      <w:r w:rsidR="00133F4C" w:rsidRPr="006003B5">
        <w:rPr>
          <w:rFonts w:ascii="Calibri" w:hAnsi="Calibri" w:cs="Calibri"/>
          <w:sz w:val="24"/>
        </w:rPr>
        <w:t>request that you reconsider the decision on:</w:t>
      </w:r>
    </w:p>
    <w:p w14:paraId="6E26F7A4" w14:textId="77777777" w:rsidR="00133F4C" w:rsidRPr="006003B5" w:rsidRDefault="00133F4C">
      <w:pPr>
        <w:rPr>
          <w:rFonts w:ascii="Calibri" w:hAnsi="Calibri" w:cs="Calibri"/>
          <w:sz w:val="24"/>
        </w:rPr>
      </w:pPr>
    </w:p>
    <w:tbl>
      <w:tblPr>
        <w:tblW w:w="9026" w:type="dxa"/>
        <w:tblLook w:val="04A0" w:firstRow="1" w:lastRow="0" w:firstColumn="1" w:lastColumn="0" w:noHBand="0" w:noVBand="1"/>
      </w:tblPr>
      <w:tblGrid>
        <w:gridCol w:w="7358"/>
        <w:gridCol w:w="754"/>
        <w:gridCol w:w="833"/>
        <w:gridCol w:w="81"/>
      </w:tblGrid>
      <w:tr w:rsidR="00133F4C" w:rsidRPr="006003B5" w14:paraId="7406A0C7" w14:textId="3103E49A" w:rsidTr="00133F4C">
        <w:trPr>
          <w:trHeight w:val="300"/>
        </w:trPr>
        <w:tc>
          <w:tcPr>
            <w:tcW w:w="8112" w:type="dxa"/>
            <w:gridSpan w:val="2"/>
            <w:tcBorders>
              <w:top w:val="nil"/>
              <w:left w:val="nil"/>
              <w:bottom w:val="nil"/>
              <w:right w:val="nil"/>
            </w:tcBorders>
            <w:shd w:val="clear" w:color="auto" w:fill="auto"/>
            <w:noWrap/>
            <w:vAlign w:val="bottom"/>
          </w:tcPr>
          <w:p w14:paraId="78ABDB3D" w14:textId="4B7F485F" w:rsidR="00133F4C" w:rsidRPr="00B07858" w:rsidRDefault="00E4694F" w:rsidP="00D17841">
            <w:pPr>
              <w:rPr>
                <w:rFonts w:ascii="Calibri" w:eastAsia="Times New Roman" w:hAnsi="Calibri" w:cs="Calibri"/>
                <w:b/>
                <w:bCs/>
                <w:color w:val="000000"/>
                <w:sz w:val="24"/>
                <w:lang w:eastAsia="en-GB"/>
              </w:rPr>
            </w:pPr>
            <w:r>
              <w:rPr>
                <w:rFonts w:ascii="Calibri" w:eastAsia="Times New Roman" w:hAnsi="Calibri" w:cs="Calibri"/>
                <w:b/>
                <w:bCs/>
                <w:color w:val="000000"/>
                <w:sz w:val="24"/>
                <w:lang w:eastAsia="en-GB"/>
              </w:rPr>
              <w:t>27</w:t>
            </w:r>
            <w:r w:rsidR="00BF2B9D" w:rsidRPr="00B07858">
              <w:rPr>
                <w:rFonts w:ascii="Calibri" w:eastAsia="Times New Roman" w:hAnsi="Calibri" w:cs="Calibri"/>
                <w:b/>
                <w:bCs/>
                <w:color w:val="000000"/>
                <w:sz w:val="24"/>
                <w:lang w:eastAsia="en-GB"/>
              </w:rPr>
              <w:t xml:space="preserve">. </w:t>
            </w:r>
            <w:proofErr w:type="gramStart"/>
            <w:r w:rsidRPr="00E4694F">
              <w:rPr>
                <w:rFonts w:ascii="Calibri" w:eastAsia="Times New Roman" w:hAnsi="Calibri" w:cs="Calibri"/>
                <w:b/>
                <w:bCs/>
                <w:color w:val="000000"/>
                <w:sz w:val="24"/>
                <w:lang w:eastAsia="en-GB"/>
              </w:rPr>
              <w:t>Non-alloy</w:t>
            </w:r>
            <w:proofErr w:type="gramEnd"/>
            <w:r w:rsidRPr="00E4694F">
              <w:rPr>
                <w:rFonts w:ascii="Calibri" w:eastAsia="Times New Roman" w:hAnsi="Calibri" w:cs="Calibri"/>
                <w:b/>
                <w:bCs/>
                <w:color w:val="000000"/>
                <w:sz w:val="24"/>
                <w:lang w:eastAsia="en-GB"/>
              </w:rPr>
              <w:t xml:space="preserve"> and other alloy cold finished bars</w:t>
            </w:r>
          </w:p>
        </w:tc>
        <w:tc>
          <w:tcPr>
            <w:tcW w:w="914" w:type="dxa"/>
            <w:gridSpan w:val="2"/>
            <w:tcBorders>
              <w:top w:val="nil"/>
              <w:left w:val="nil"/>
              <w:bottom w:val="nil"/>
              <w:right w:val="nil"/>
            </w:tcBorders>
          </w:tcPr>
          <w:p w14:paraId="7D65AD07" w14:textId="77777777" w:rsidR="00133F4C" w:rsidRPr="006003B5" w:rsidRDefault="00133F4C" w:rsidP="00133F4C">
            <w:pPr>
              <w:jc w:val="right"/>
              <w:rPr>
                <w:rFonts w:ascii="Calibri" w:eastAsia="Times New Roman" w:hAnsi="Calibri" w:cs="Calibri"/>
                <w:color w:val="000000"/>
                <w:sz w:val="24"/>
                <w:lang w:eastAsia="en-GB"/>
              </w:rPr>
            </w:pPr>
          </w:p>
        </w:tc>
      </w:tr>
      <w:tr w:rsidR="00133F4C" w:rsidRPr="006003B5" w14:paraId="30B254F5" w14:textId="40ABD184" w:rsidTr="00133F4C">
        <w:trPr>
          <w:trHeight w:val="300"/>
        </w:trPr>
        <w:tc>
          <w:tcPr>
            <w:tcW w:w="8112" w:type="dxa"/>
            <w:gridSpan w:val="2"/>
            <w:tcBorders>
              <w:top w:val="nil"/>
              <w:left w:val="nil"/>
              <w:bottom w:val="nil"/>
              <w:right w:val="nil"/>
            </w:tcBorders>
            <w:shd w:val="clear" w:color="auto" w:fill="auto"/>
            <w:noWrap/>
            <w:vAlign w:val="bottom"/>
          </w:tcPr>
          <w:p w14:paraId="3D52E89B" w14:textId="4F72675B" w:rsidR="00133F4C" w:rsidRPr="006003B5" w:rsidRDefault="00133F4C" w:rsidP="00D17841">
            <w:pPr>
              <w:rPr>
                <w:rFonts w:ascii="Calibri" w:eastAsia="Times New Roman" w:hAnsi="Calibri" w:cs="Calibri"/>
                <w:color w:val="000000"/>
                <w:sz w:val="24"/>
                <w:lang w:eastAsia="en-GB"/>
              </w:rPr>
            </w:pPr>
          </w:p>
        </w:tc>
        <w:tc>
          <w:tcPr>
            <w:tcW w:w="914" w:type="dxa"/>
            <w:gridSpan w:val="2"/>
            <w:tcBorders>
              <w:top w:val="nil"/>
              <w:left w:val="nil"/>
              <w:bottom w:val="nil"/>
              <w:right w:val="nil"/>
            </w:tcBorders>
          </w:tcPr>
          <w:p w14:paraId="1A91850E" w14:textId="77777777" w:rsidR="00133F4C" w:rsidRPr="006003B5" w:rsidRDefault="00133F4C" w:rsidP="00D17841">
            <w:pPr>
              <w:rPr>
                <w:rFonts w:ascii="Calibri" w:eastAsia="Times New Roman" w:hAnsi="Calibri" w:cs="Calibri"/>
                <w:color w:val="000000"/>
                <w:sz w:val="24"/>
                <w:lang w:eastAsia="en-GB"/>
              </w:rPr>
            </w:pPr>
          </w:p>
        </w:tc>
      </w:tr>
      <w:tr w:rsidR="00133F4C" w:rsidRPr="006003B5" w14:paraId="63D93F34" w14:textId="1B23E335" w:rsidTr="00133F4C">
        <w:trPr>
          <w:trHeight w:val="300"/>
        </w:trPr>
        <w:tc>
          <w:tcPr>
            <w:tcW w:w="8112" w:type="dxa"/>
            <w:gridSpan w:val="2"/>
            <w:tcBorders>
              <w:top w:val="nil"/>
              <w:left w:val="nil"/>
              <w:bottom w:val="nil"/>
              <w:right w:val="nil"/>
            </w:tcBorders>
            <w:shd w:val="clear" w:color="auto" w:fill="auto"/>
            <w:noWrap/>
            <w:vAlign w:val="bottom"/>
          </w:tcPr>
          <w:p w14:paraId="7B5E96D3" w14:textId="6EF97CA6" w:rsidR="00133F4C" w:rsidRDefault="00133F4C" w:rsidP="00D17841">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 xml:space="preserve">I believe that my company is entitled to request this review since Liberty Steel UK is an interested party who made an original submission </w:t>
            </w:r>
            <w:r w:rsidR="000173EC" w:rsidRPr="006003B5">
              <w:rPr>
                <w:rFonts w:ascii="Calibri" w:eastAsia="Times New Roman" w:hAnsi="Calibri" w:cs="Calibri"/>
                <w:color w:val="000000"/>
                <w:sz w:val="24"/>
                <w:lang w:eastAsia="en-GB"/>
              </w:rPr>
              <w:t xml:space="preserve">and application </w:t>
            </w:r>
            <w:r w:rsidRPr="006003B5">
              <w:rPr>
                <w:rFonts w:ascii="Calibri" w:eastAsia="Times New Roman" w:hAnsi="Calibri" w:cs="Calibri"/>
                <w:color w:val="000000"/>
                <w:sz w:val="24"/>
                <w:lang w:eastAsia="en-GB"/>
              </w:rPr>
              <w:t xml:space="preserve">in this case, </w:t>
            </w:r>
            <w:r w:rsidR="000173EC" w:rsidRPr="006003B5">
              <w:rPr>
                <w:rFonts w:ascii="Calibri" w:eastAsia="Times New Roman" w:hAnsi="Calibri" w:cs="Calibri"/>
                <w:color w:val="000000"/>
                <w:sz w:val="24"/>
                <w:lang w:eastAsia="en-GB"/>
              </w:rPr>
              <w:t xml:space="preserve">and who is a UK producer of all these steel products. </w:t>
            </w:r>
            <w:r w:rsidR="0026560B" w:rsidRPr="006003B5">
              <w:rPr>
                <w:rFonts w:ascii="Calibri" w:eastAsia="Times New Roman" w:hAnsi="Calibri" w:cs="Calibri"/>
                <w:color w:val="000000"/>
                <w:sz w:val="24"/>
                <w:lang w:eastAsia="en-GB"/>
              </w:rPr>
              <w:t>Furthermore,</w:t>
            </w:r>
            <w:r w:rsidR="000173EC" w:rsidRPr="006003B5">
              <w:rPr>
                <w:rFonts w:ascii="Calibri" w:eastAsia="Times New Roman" w:hAnsi="Calibri" w:cs="Calibri"/>
                <w:color w:val="000000"/>
                <w:sz w:val="24"/>
                <w:lang w:eastAsia="en-GB"/>
              </w:rPr>
              <w:t xml:space="preserve"> the original decision will cause injury to our company, including job losses and a reduction in revenue and profitability. </w:t>
            </w:r>
          </w:p>
          <w:p w14:paraId="742FCCA9" w14:textId="68CB6002" w:rsidR="002E2ED9" w:rsidRDefault="002E2ED9" w:rsidP="00D17841">
            <w:pPr>
              <w:rPr>
                <w:rFonts w:ascii="Calibri" w:eastAsia="Times New Roman" w:hAnsi="Calibri" w:cs="Calibri"/>
                <w:color w:val="000000"/>
                <w:sz w:val="24"/>
                <w:lang w:eastAsia="en-GB"/>
              </w:rPr>
            </w:pPr>
          </w:p>
          <w:p w14:paraId="259F1068" w14:textId="1F560667" w:rsidR="002E2ED9" w:rsidRDefault="002E2ED9" w:rsidP="00D17841">
            <w:pPr>
              <w:rPr>
                <w:rFonts w:ascii="Calibri" w:eastAsia="Times New Roman" w:hAnsi="Calibri" w:cs="Calibri"/>
                <w:color w:val="000000"/>
                <w:sz w:val="24"/>
                <w:lang w:eastAsia="en-GB"/>
              </w:rPr>
            </w:pPr>
            <w:r>
              <w:rPr>
                <w:rFonts w:ascii="Calibri" w:eastAsia="Times New Roman" w:hAnsi="Calibri" w:cs="Calibri"/>
                <w:color w:val="000000"/>
                <w:sz w:val="24"/>
                <w:lang w:eastAsia="en-GB"/>
              </w:rPr>
              <w:t>The following is Liberty’s production of Cold Finished Bars, which shows a dramatic reduction and share loss to imports.</w:t>
            </w:r>
          </w:p>
          <w:p w14:paraId="42405E28" w14:textId="3A68FBF9" w:rsidR="00B62847" w:rsidRDefault="00B62847" w:rsidP="00D17841">
            <w:pPr>
              <w:rPr>
                <w:rFonts w:ascii="Calibri" w:eastAsia="Times New Roman" w:hAnsi="Calibri" w:cs="Calibri"/>
                <w:color w:val="000000"/>
                <w:sz w:val="24"/>
                <w:lang w:eastAsia="en-GB"/>
              </w:rPr>
            </w:pPr>
          </w:p>
          <w:tbl>
            <w:tblPr>
              <w:tblW w:w="7680" w:type="dxa"/>
              <w:tblLook w:val="04A0" w:firstRow="1" w:lastRow="0" w:firstColumn="1" w:lastColumn="0" w:noHBand="0" w:noVBand="1"/>
            </w:tblPr>
            <w:tblGrid>
              <w:gridCol w:w="960"/>
              <w:gridCol w:w="960"/>
              <w:gridCol w:w="960"/>
              <w:gridCol w:w="960"/>
              <w:gridCol w:w="960"/>
              <w:gridCol w:w="960"/>
              <w:gridCol w:w="960"/>
              <w:gridCol w:w="960"/>
            </w:tblGrid>
            <w:tr w:rsidR="00B62847" w:rsidRPr="00B62847" w14:paraId="1B9B414B" w14:textId="77777777" w:rsidTr="00B62847">
              <w:trPr>
                <w:trHeight w:val="300"/>
              </w:trPr>
              <w:tc>
                <w:tcPr>
                  <w:tcW w:w="4800" w:type="dxa"/>
                  <w:gridSpan w:val="5"/>
                  <w:tcBorders>
                    <w:top w:val="nil"/>
                    <w:left w:val="nil"/>
                    <w:bottom w:val="nil"/>
                    <w:right w:val="nil"/>
                  </w:tcBorders>
                  <w:shd w:val="clear" w:color="auto" w:fill="auto"/>
                  <w:noWrap/>
                  <w:vAlign w:val="bottom"/>
                  <w:hideMark/>
                </w:tcPr>
                <w:p w14:paraId="0F1202B2" w14:textId="77777777" w:rsidR="00B62847" w:rsidRPr="00B62847" w:rsidRDefault="00B62847" w:rsidP="00B62847">
                  <w:pPr>
                    <w:rPr>
                      <w:rFonts w:ascii="Calibri" w:eastAsia="Times New Roman" w:hAnsi="Calibri" w:cs="Calibri"/>
                      <w:color w:val="000000"/>
                      <w:sz w:val="22"/>
                      <w:szCs w:val="22"/>
                      <w:lang w:eastAsia="en-GB"/>
                    </w:rPr>
                  </w:pPr>
                  <w:r w:rsidRPr="00B62847">
                    <w:rPr>
                      <w:rFonts w:ascii="Calibri" w:eastAsia="Times New Roman" w:hAnsi="Calibri" w:cs="Calibri"/>
                      <w:color w:val="000000"/>
                      <w:sz w:val="22"/>
                      <w:szCs w:val="22"/>
                      <w:lang w:eastAsia="en-GB"/>
                    </w:rPr>
                    <w:t>Non-alloy &amp; other alloy cold-finished bars</w:t>
                  </w:r>
                </w:p>
              </w:tc>
              <w:tc>
                <w:tcPr>
                  <w:tcW w:w="960" w:type="dxa"/>
                  <w:tcBorders>
                    <w:top w:val="nil"/>
                    <w:left w:val="nil"/>
                    <w:bottom w:val="nil"/>
                    <w:right w:val="nil"/>
                  </w:tcBorders>
                  <w:shd w:val="clear" w:color="auto" w:fill="auto"/>
                  <w:noWrap/>
                  <w:vAlign w:val="bottom"/>
                  <w:hideMark/>
                </w:tcPr>
                <w:p w14:paraId="40FE32DE" w14:textId="77777777" w:rsidR="00B62847" w:rsidRPr="00B62847" w:rsidRDefault="00B62847" w:rsidP="00B62847">
                  <w:pPr>
                    <w:rPr>
                      <w:rFonts w:ascii="Calibri" w:eastAsia="Times New Roman" w:hAnsi="Calibri" w:cs="Calibri"/>
                      <w:color w:val="000000"/>
                      <w:sz w:val="22"/>
                      <w:szCs w:val="22"/>
                      <w:lang w:eastAsia="en-GB"/>
                    </w:rPr>
                  </w:pPr>
                </w:p>
              </w:tc>
              <w:tc>
                <w:tcPr>
                  <w:tcW w:w="960" w:type="dxa"/>
                  <w:tcBorders>
                    <w:top w:val="nil"/>
                    <w:left w:val="nil"/>
                    <w:bottom w:val="nil"/>
                    <w:right w:val="nil"/>
                  </w:tcBorders>
                  <w:shd w:val="clear" w:color="auto" w:fill="auto"/>
                  <w:noWrap/>
                  <w:vAlign w:val="bottom"/>
                  <w:hideMark/>
                </w:tcPr>
                <w:p w14:paraId="72F23E12" w14:textId="77777777" w:rsidR="00B62847" w:rsidRPr="00B62847" w:rsidRDefault="00B62847" w:rsidP="00B62847">
                  <w:pPr>
                    <w:rPr>
                      <w:rFonts w:ascii="Times New Roman" w:eastAsia="Times New Roman" w:hAnsi="Times New Roman" w:cs="Times New Roman"/>
                      <w:szCs w:val="20"/>
                      <w:lang w:eastAsia="en-GB"/>
                    </w:rPr>
                  </w:pPr>
                </w:p>
              </w:tc>
              <w:tc>
                <w:tcPr>
                  <w:tcW w:w="960" w:type="dxa"/>
                  <w:tcBorders>
                    <w:top w:val="nil"/>
                    <w:left w:val="nil"/>
                    <w:bottom w:val="nil"/>
                    <w:right w:val="nil"/>
                  </w:tcBorders>
                  <w:shd w:val="clear" w:color="auto" w:fill="auto"/>
                  <w:noWrap/>
                  <w:vAlign w:val="bottom"/>
                  <w:hideMark/>
                </w:tcPr>
                <w:p w14:paraId="5244270F" w14:textId="77777777" w:rsidR="00B62847" w:rsidRPr="00B62847" w:rsidRDefault="00B62847" w:rsidP="00B62847">
                  <w:pPr>
                    <w:rPr>
                      <w:rFonts w:ascii="Times New Roman" w:eastAsia="Times New Roman" w:hAnsi="Times New Roman" w:cs="Times New Roman"/>
                      <w:szCs w:val="20"/>
                      <w:lang w:eastAsia="en-GB"/>
                    </w:rPr>
                  </w:pPr>
                </w:p>
              </w:tc>
            </w:tr>
            <w:tr w:rsidR="00B62847" w:rsidRPr="00B62847" w14:paraId="5FD0A9CA" w14:textId="77777777" w:rsidTr="00B62847">
              <w:trPr>
                <w:trHeight w:val="300"/>
              </w:trPr>
              <w:tc>
                <w:tcPr>
                  <w:tcW w:w="960" w:type="dxa"/>
                  <w:tcBorders>
                    <w:top w:val="single" w:sz="8" w:space="0" w:color="auto"/>
                    <w:left w:val="nil"/>
                    <w:bottom w:val="single" w:sz="8" w:space="0" w:color="auto"/>
                    <w:right w:val="single" w:sz="8" w:space="0" w:color="auto"/>
                  </w:tcBorders>
                  <w:shd w:val="clear" w:color="auto" w:fill="auto"/>
                  <w:vAlign w:val="center"/>
                  <w:hideMark/>
                </w:tcPr>
                <w:p w14:paraId="2E24A1BB" w14:textId="77777777" w:rsidR="00B62847" w:rsidRPr="00B62847" w:rsidRDefault="00B62847" w:rsidP="00B62847">
                  <w:pPr>
                    <w:jc w:val="right"/>
                    <w:rPr>
                      <w:rFonts w:eastAsia="Times New Roman" w:cs="Arial"/>
                      <w:b/>
                      <w:bCs/>
                      <w:color w:val="000000"/>
                      <w:szCs w:val="20"/>
                      <w:lang w:eastAsia="en-GB"/>
                    </w:rPr>
                  </w:pPr>
                  <w:r w:rsidRPr="00B62847">
                    <w:rPr>
                      <w:rFonts w:eastAsia="Times New Roman" w:cs="Arial"/>
                      <w:b/>
                      <w:bCs/>
                      <w:color w:val="000000"/>
                      <w:szCs w:val="20"/>
                      <w:lang w:eastAsia="en-GB"/>
                    </w:rPr>
                    <w:t>2013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E5D4159" w14:textId="77777777" w:rsidR="00B62847" w:rsidRPr="00B62847" w:rsidRDefault="00B62847" w:rsidP="00B62847">
                  <w:pPr>
                    <w:jc w:val="right"/>
                    <w:rPr>
                      <w:rFonts w:eastAsia="Times New Roman" w:cs="Arial"/>
                      <w:b/>
                      <w:bCs/>
                      <w:color w:val="000000"/>
                      <w:szCs w:val="20"/>
                      <w:lang w:eastAsia="en-GB"/>
                    </w:rPr>
                  </w:pPr>
                  <w:r w:rsidRPr="00B62847">
                    <w:rPr>
                      <w:rFonts w:eastAsia="Times New Roman" w:cs="Arial"/>
                      <w:b/>
                      <w:bCs/>
                      <w:color w:val="000000"/>
                      <w:szCs w:val="20"/>
                      <w:lang w:eastAsia="en-GB"/>
                    </w:rPr>
                    <w:t>2014</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6AA0D8EF" w14:textId="77777777" w:rsidR="00B62847" w:rsidRPr="00B62847" w:rsidRDefault="00B62847" w:rsidP="00B62847">
                  <w:pPr>
                    <w:jc w:val="right"/>
                    <w:rPr>
                      <w:rFonts w:eastAsia="Times New Roman" w:cs="Arial"/>
                      <w:b/>
                      <w:bCs/>
                      <w:color w:val="000000"/>
                      <w:szCs w:val="20"/>
                      <w:lang w:eastAsia="en-GB"/>
                    </w:rPr>
                  </w:pPr>
                  <w:r w:rsidRPr="00B62847">
                    <w:rPr>
                      <w:rFonts w:eastAsia="Times New Roman" w:cs="Arial"/>
                      <w:b/>
                      <w:bCs/>
                      <w:color w:val="000000"/>
                      <w:szCs w:val="20"/>
                      <w:lang w:eastAsia="en-GB"/>
                    </w:rPr>
                    <w:t>2015</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7AF2E5A" w14:textId="77777777" w:rsidR="00B62847" w:rsidRPr="00B62847" w:rsidRDefault="00B62847" w:rsidP="00B62847">
                  <w:pPr>
                    <w:jc w:val="right"/>
                    <w:rPr>
                      <w:rFonts w:eastAsia="Times New Roman" w:cs="Arial"/>
                      <w:b/>
                      <w:bCs/>
                      <w:color w:val="000000"/>
                      <w:szCs w:val="20"/>
                      <w:lang w:eastAsia="en-GB"/>
                    </w:rPr>
                  </w:pPr>
                  <w:r w:rsidRPr="00B62847">
                    <w:rPr>
                      <w:rFonts w:eastAsia="Times New Roman" w:cs="Arial"/>
                      <w:b/>
                      <w:bCs/>
                      <w:color w:val="000000"/>
                      <w:szCs w:val="20"/>
                      <w:lang w:eastAsia="en-GB"/>
                    </w:rPr>
                    <w:t>2016</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6921141" w14:textId="77777777" w:rsidR="00B62847" w:rsidRPr="00B62847" w:rsidRDefault="00B62847" w:rsidP="00B62847">
                  <w:pPr>
                    <w:jc w:val="right"/>
                    <w:rPr>
                      <w:rFonts w:eastAsia="Times New Roman" w:cs="Arial"/>
                      <w:b/>
                      <w:bCs/>
                      <w:color w:val="000000"/>
                      <w:szCs w:val="20"/>
                      <w:lang w:eastAsia="en-GB"/>
                    </w:rPr>
                  </w:pPr>
                  <w:r w:rsidRPr="00B62847">
                    <w:rPr>
                      <w:rFonts w:eastAsia="Times New Roman" w:cs="Arial"/>
                      <w:b/>
                      <w:bCs/>
                      <w:color w:val="000000"/>
                      <w:szCs w:val="20"/>
                      <w:lang w:eastAsia="en-GB"/>
                    </w:rPr>
                    <w:t>2017</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CACCD4B" w14:textId="77777777" w:rsidR="00B62847" w:rsidRPr="00B62847" w:rsidRDefault="00B62847" w:rsidP="00B62847">
                  <w:pPr>
                    <w:jc w:val="right"/>
                    <w:rPr>
                      <w:rFonts w:eastAsia="Times New Roman" w:cs="Arial"/>
                      <w:b/>
                      <w:bCs/>
                      <w:color w:val="000000"/>
                      <w:szCs w:val="20"/>
                      <w:lang w:eastAsia="en-GB"/>
                    </w:rPr>
                  </w:pPr>
                  <w:r w:rsidRPr="00B62847">
                    <w:rPr>
                      <w:rFonts w:eastAsia="Times New Roman" w:cs="Arial"/>
                      <w:b/>
                      <w:bCs/>
                      <w:color w:val="000000"/>
                      <w:szCs w:val="20"/>
                      <w:lang w:eastAsia="en-GB"/>
                    </w:rPr>
                    <w:t>2018</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C4C988D" w14:textId="77777777" w:rsidR="00B62847" w:rsidRPr="00B62847" w:rsidRDefault="00B62847" w:rsidP="00B62847">
                  <w:pPr>
                    <w:jc w:val="right"/>
                    <w:rPr>
                      <w:rFonts w:eastAsia="Times New Roman" w:cs="Arial"/>
                      <w:b/>
                      <w:bCs/>
                      <w:color w:val="000000"/>
                      <w:szCs w:val="20"/>
                      <w:lang w:eastAsia="en-GB"/>
                    </w:rPr>
                  </w:pPr>
                  <w:r w:rsidRPr="00B62847">
                    <w:rPr>
                      <w:rFonts w:eastAsia="Times New Roman" w:cs="Arial"/>
                      <w:b/>
                      <w:bCs/>
                      <w:color w:val="000000"/>
                      <w:szCs w:val="20"/>
                      <w:lang w:eastAsia="en-GB"/>
                    </w:rPr>
                    <w:t>2019</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1853F0D" w14:textId="77777777" w:rsidR="00B62847" w:rsidRPr="00B62847" w:rsidRDefault="00B62847" w:rsidP="00B62847">
                  <w:pPr>
                    <w:jc w:val="right"/>
                    <w:rPr>
                      <w:rFonts w:eastAsia="Times New Roman" w:cs="Arial"/>
                      <w:b/>
                      <w:bCs/>
                      <w:color w:val="000000"/>
                      <w:szCs w:val="20"/>
                      <w:lang w:eastAsia="en-GB"/>
                    </w:rPr>
                  </w:pPr>
                  <w:r w:rsidRPr="00B62847">
                    <w:rPr>
                      <w:rFonts w:eastAsia="Times New Roman" w:cs="Arial"/>
                      <w:b/>
                      <w:bCs/>
                      <w:color w:val="000000"/>
                      <w:szCs w:val="20"/>
                      <w:lang w:eastAsia="en-GB"/>
                    </w:rPr>
                    <w:t>2020</w:t>
                  </w:r>
                </w:p>
              </w:tc>
            </w:tr>
            <w:tr w:rsidR="00B62847" w:rsidRPr="00B62847" w14:paraId="5D550D61" w14:textId="77777777" w:rsidTr="00B62847">
              <w:trPr>
                <w:trHeight w:val="290"/>
              </w:trPr>
              <w:tc>
                <w:tcPr>
                  <w:tcW w:w="960" w:type="dxa"/>
                  <w:tcBorders>
                    <w:top w:val="nil"/>
                    <w:left w:val="nil"/>
                    <w:bottom w:val="nil"/>
                    <w:right w:val="nil"/>
                  </w:tcBorders>
                  <w:shd w:val="clear" w:color="auto" w:fill="auto"/>
                  <w:noWrap/>
                  <w:vAlign w:val="bottom"/>
                  <w:hideMark/>
                </w:tcPr>
                <w:p w14:paraId="630EA2F1" w14:textId="77777777" w:rsidR="00B62847" w:rsidRPr="00B62847" w:rsidRDefault="00B62847" w:rsidP="00B62847">
                  <w:pPr>
                    <w:jc w:val="right"/>
                    <w:rPr>
                      <w:rFonts w:ascii="Calibri" w:eastAsia="Times New Roman" w:hAnsi="Calibri" w:cs="Calibri"/>
                      <w:color w:val="000000"/>
                      <w:sz w:val="22"/>
                      <w:szCs w:val="22"/>
                      <w:lang w:eastAsia="en-GB"/>
                    </w:rPr>
                  </w:pPr>
                  <w:r w:rsidRPr="00B62847">
                    <w:rPr>
                      <w:rFonts w:ascii="Calibri" w:eastAsia="Times New Roman" w:hAnsi="Calibri" w:cs="Calibri"/>
                      <w:color w:val="000000"/>
                      <w:sz w:val="22"/>
                      <w:szCs w:val="22"/>
                      <w:lang w:eastAsia="en-GB"/>
                    </w:rPr>
                    <w:t>100%</w:t>
                  </w:r>
                </w:p>
              </w:tc>
              <w:tc>
                <w:tcPr>
                  <w:tcW w:w="960" w:type="dxa"/>
                  <w:tcBorders>
                    <w:top w:val="nil"/>
                    <w:left w:val="nil"/>
                    <w:bottom w:val="nil"/>
                    <w:right w:val="nil"/>
                  </w:tcBorders>
                  <w:shd w:val="clear" w:color="auto" w:fill="auto"/>
                  <w:noWrap/>
                  <w:vAlign w:val="bottom"/>
                  <w:hideMark/>
                </w:tcPr>
                <w:p w14:paraId="438DDB5B" w14:textId="77777777" w:rsidR="00B62847" w:rsidRPr="00B62847" w:rsidRDefault="00B62847" w:rsidP="00B62847">
                  <w:pPr>
                    <w:jc w:val="right"/>
                    <w:rPr>
                      <w:rFonts w:ascii="Calibri" w:eastAsia="Times New Roman" w:hAnsi="Calibri" w:cs="Calibri"/>
                      <w:color w:val="000000"/>
                      <w:sz w:val="22"/>
                      <w:szCs w:val="22"/>
                      <w:lang w:eastAsia="en-GB"/>
                    </w:rPr>
                  </w:pPr>
                  <w:r w:rsidRPr="00B62847">
                    <w:rPr>
                      <w:rFonts w:ascii="Calibri" w:eastAsia="Times New Roman" w:hAnsi="Calibri" w:cs="Calibri"/>
                      <w:color w:val="000000"/>
                      <w:sz w:val="22"/>
                      <w:szCs w:val="22"/>
                      <w:lang w:eastAsia="en-GB"/>
                    </w:rPr>
                    <w:t>100%</w:t>
                  </w:r>
                </w:p>
              </w:tc>
              <w:tc>
                <w:tcPr>
                  <w:tcW w:w="960" w:type="dxa"/>
                  <w:tcBorders>
                    <w:top w:val="nil"/>
                    <w:left w:val="nil"/>
                    <w:bottom w:val="nil"/>
                    <w:right w:val="nil"/>
                  </w:tcBorders>
                  <w:shd w:val="clear" w:color="auto" w:fill="auto"/>
                  <w:noWrap/>
                  <w:vAlign w:val="bottom"/>
                  <w:hideMark/>
                </w:tcPr>
                <w:p w14:paraId="342509CD" w14:textId="77777777" w:rsidR="00B62847" w:rsidRPr="00B62847" w:rsidRDefault="00B62847" w:rsidP="00B62847">
                  <w:pPr>
                    <w:jc w:val="right"/>
                    <w:rPr>
                      <w:rFonts w:ascii="Calibri" w:eastAsia="Times New Roman" w:hAnsi="Calibri" w:cs="Calibri"/>
                      <w:color w:val="000000"/>
                      <w:sz w:val="22"/>
                      <w:szCs w:val="22"/>
                      <w:lang w:eastAsia="en-GB"/>
                    </w:rPr>
                  </w:pPr>
                  <w:r w:rsidRPr="00B62847">
                    <w:rPr>
                      <w:rFonts w:ascii="Calibri" w:eastAsia="Times New Roman" w:hAnsi="Calibri" w:cs="Calibri"/>
                      <w:color w:val="000000"/>
                      <w:sz w:val="22"/>
                      <w:szCs w:val="22"/>
                      <w:lang w:eastAsia="en-GB"/>
                    </w:rPr>
                    <w:t>100%</w:t>
                  </w:r>
                </w:p>
              </w:tc>
              <w:tc>
                <w:tcPr>
                  <w:tcW w:w="960" w:type="dxa"/>
                  <w:tcBorders>
                    <w:top w:val="nil"/>
                    <w:left w:val="nil"/>
                    <w:bottom w:val="nil"/>
                    <w:right w:val="nil"/>
                  </w:tcBorders>
                  <w:shd w:val="clear" w:color="auto" w:fill="auto"/>
                  <w:noWrap/>
                  <w:vAlign w:val="bottom"/>
                  <w:hideMark/>
                </w:tcPr>
                <w:p w14:paraId="0BF5CBDA" w14:textId="77777777" w:rsidR="00B62847" w:rsidRPr="00B62847" w:rsidRDefault="00B62847" w:rsidP="00B62847">
                  <w:pPr>
                    <w:jc w:val="right"/>
                    <w:rPr>
                      <w:rFonts w:ascii="Calibri" w:eastAsia="Times New Roman" w:hAnsi="Calibri" w:cs="Calibri"/>
                      <w:color w:val="000000"/>
                      <w:sz w:val="22"/>
                      <w:szCs w:val="22"/>
                      <w:lang w:eastAsia="en-GB"/>
                    </w:rPr>
                  </w:pPr>
                  <w:r w:rsidRPr="00B62847">
                    <w:rPr>
                      <w:rFonts w:ascii="Calibri" w:eastAsia="Times New Roman" w:hAnsi="Calibri" w:cs="Calibri"/>
                      <w:color w:val="000000"/>
                      <w:sz w:val="22"/>
                      <w:szCs w:val="22"/>
                      <w:lang w:eastAsia="en-GB"/>
                    </w:rPr>
                    <w:t>59%</w:t>
                  </w:r>
                </w:p>
              </w:tc>
              <w:tc>
                <w:tcPr>
                  <w:tcW w:w="960" w:type="dxa"/>
                  <w:tcBorders>
                    <w:top w:val="nil"/>
                    <w:left w:val="nil"/>
                    <w:bottom w:val="nil"/>
                    <w:right w:val="nil"/>
                  </w:tcBorders>
                  <w:shd w:val="clear" w:color="auto" w:fill="auto"/>
                  <w:noWrap/>
                  <w:vAlign w:val="bottom"/>
                  <w:hideMark/>
                </w:tcPr>
                <w:p w14:paraId="6F9A1D85" w14:textId="77777777" w:rsidR="00B62847" w:rsidRPr="00B62847" w:rsidRDefault="00B62847" w:rsidP="00B62847">
                  <w:pPr>
                    <w:jc w:val="right"/>
                    <w:rPr>
                      <w:rFonts w:ascii="Calibri" w:eastAsia="Times New Roman" w:hAnsi="Calibri" w:cs="Calibri"/>
                      <w:color w:val="000000"/>
                      <w:sz w:val="22"/>
                      <w:szCs w:val="22"/>
                      <w:lang w:eastAsia="en-GB"/>
                    </w:rPr>
                  </w:pPr>
                  <w:r w:rsidRPr="00B62847">
                    <w:rPr>
                      <w:rFonts w:ascii="Calibri" w:eastAsia="Times New Roman" w:hAnsi="Calibri" w:cs="Calibri"/>
                      <w:color w:val="000000"/>
                      <w:sz w:val="22"/>
                      <w:szCs w:val="22"/>
                      <w:lang w:eastAsia="en-GB"/>
                    </w:rPr>
                    <w:t>59%</w:t>
                  </w:r>
                </w:p>
              </w:tc>
              <w:tc>
                <w:tcPr>
                  <w:tcW w:w="960" w:type="dxa"/>
                  <w:tcBorders>
                    <w:top w:val="nil"/>
                    <w:left w:val="nil"/>
                    <w:bottom w:val="nil"/>
                    <w:right w:val="nil"/>
                  </w:tcBorders>
                  <w:shd w:val="clear" w:color="auto" w:fill="auto"/>
                  <w:noWrap/>
                  <w:vAlign w:val="bottom"/>
                  <w:hideMark/>
                </w:tcPr>
                <w:p w14:paraId="066B616B" w14:textId="77777777" w:rsidR="00B62847" w:rsidRPr="00B62847" w:rsidRDefault="00B62847" w:rsidP="00B62847">
                  <w:pPr>
                    <w:jc w:val="right"/>
                    <w:rPr>
                      <w:rFonts w:ascii="Calibri" w:eastAsia="Times New Roman" w:hAnsi="Calibri" w:cs="Calibri"/>
                      <w:color w:val="000000"/>
                      <w:sz w:val="22"/>
                      <w:szCs w:val="22"/>
                      <w:lang w:eastAsia="en-GB"/>
                    </w:rPr>
                  </w:pPr>
                  <w:r w:rsidRPr="00B62847">
                    <w:rPr>
                      <w:rFonts w:ascii="Calibri" w:eastAsia="Times New Roman" w:hAnsi="Calibri" w:cs="Calibri"/>
                      <w:color w:val="000000"/>
                      <w:sz w:val="22"/>
                      <w:szCs w:val="22"/>
                      <w:lang w:eastAsia="en-GB"/>
                    </w:rPr>
                    <w:t>88%</w:t>
                  </w:r>
                </w:p>
              </w:tc>
              <w:tc>
                <w:tcPr>
                  <w:tcW w:w="960" w:type="dxa"/>
                  <w:tcBorders>
                    <w:top w:val="nil"/>
                    <w:left w:val="nil"/>
                    <w:bottom w:val="nil"/>
                    <w:right w:val="nil"/>
                  </w:tcBorders>
                  <w:shd w:val="clear" w:color="auto" w:fill="auto"/>
                  <w:noWrap/>
                  <w:vAlign w:val="bottom"/>
                  <w:hideMark/>
                </w:tcPr>
                <w:p w14:paraId="60850123" w14:textId="77777777" w:rsidR="00B62847" w:rsidRPr="00B62847" w:rsidRDefault="00B62847" w:rsidP="00B62847">
                  <w:pPr>
                    <w:jc w:val="right"/>
                    <w:rPr>
                      <w:rFonts w:ascii="Calibri" w:eastAsia="Times New Roman" w:hAnsi="Calibri" w:cs="Calibri"/>
                      <w:color w:val="000000"/>
                      <w:sz w:val="22"/>
                      <w:szCs w:val="22"/>
                      <w:lang w:eastAsia="en-GB"/>
                    </w:rPr>
                  </w:pPr>
                  <w:r w:rsidRPr="00B62847">
                    <w:rPr>
                      <w:rFonts w:ascii="Calibri" w:eastAsia="Times New Roman" w:hAnsi="Calibri" w:cs="Calibri"/>
                      <w:color w:val="000000"/>
                      <w:sz w:val="22"/>
                      <w:szCs w:val="22"/>
                      <w:lang w:eastAsia="en-GB"/>
                    </w:rPr>
                    <w:t>73%</w:t>
                  </w:r>
                </w:p>
              </w:tc>
              <w:tc>
                <w:tcPr>
                  <w:tcW w:w="960" w:type="dxa"/>
                  <w:tcBorders>
                    <w:top w:val="nil"/>
                    <w:left w:val="nil"/>
                    <w:bottom w:val="nil"/>
                    <w:right w:val="nil"/>
                  </w:tcBorders>
                  <w:shd w:val="clear" w:color="auto" w:fill="auto"/>
                  <w:noWrap/>
                  <w:vAlign w:val="bottom"/>
                  <w:hideMark/>
                </w:tcPr>
                <w:p w14:paraId="69898F8D" w14:textId="77777777" w:rsidR="00B62847" w:rsidRPr="00B62847" w:rsidRDefault="00B62847" w:rsidP="00B62847">
                  <w:pPr>
                    <w:jc w:val="right"/>
                    <w:rPr>
                      <w:rFonts w:ascii="Calibri" w:eastAsia="Times New Roman" w:hAnsi="Calibri" w:cs="Calibri"/>
                      <w:color w:val="000000"/>
                      <w:sz w:val="22"/>
                      <w:szCs w:val="22"/>
                      <w:lang w:eastAsia="en-GB"/>
                    </w:rPr>
                  </w:pPr>
                  <w:r w:rsidRPr="00B62847">
                    <w:rPr>
                      <w:rFonts w:ascii="Calibri" w:eastAsia="Times New Roman" w:hAnsi="Calibri" w:cs="Calibri"/>
                      <w:color w:val="000000"/>
                      <w:sz w:val="22"/>
                      <w:szCs w:val="22"/>
                      <w:lang w:eastAsia="en-GB"/>
                    </w:rPr>
                    <w:t>45%</w:t>
                  </w:r>
                </w:p>
              </w:tc>
            </w:tr>
          </w:tbl>
          <w:p w14:paraId="68975852" w14:textId="11242BF7" w:rsidR="00B62847" w:rsidRDefault="00B62847" w:rsidP="00D17841">
            <w:pPr>
              <w:rPr>
                <w:rFonts w:ascii="Calibri" w:eastAsia="Times New Roman" w:hAnsi="Calibri" w:cs="Calibri"/>
                <w:color w:val="000000"/>
                <w:sz w:val="24"/>
                <w:lang w:eastAsia="en-GB"/>
              </w:rPr>
            </w:pPr>
          </w:p>
          <w:p w14:paraId="33B764F8" w14:textId="77777777" w:rsidR="00B62847" w:rsidRPr="006003B5" w:rsidRDefault="00B62847" w:rsidP="00D17841">
            <w:pPr>
              <w:rPr>
                <w:rFonts w:ascii="Calibri" w:eastAsia="Times New Roman" w:hAnsi="Calibri" w:cs="Calibri"/>
                <w:color w:val="000000"/>
                <w:sz w:val="24"/>
                <w:lang w:eastAsia="en-GB"/>
              </w:rPr>
            </w:pPr>
          </w:p>
          <w:p w14:paraId="4DCF1931" w14:textId="77777777" w:rsidR="000173EC" w:rsidRPr="006003B5" w:rsidRDefault="000173EC" w:rsidP="00D17841">
            <w:pPr>
              <w:rPr>
                <w:rFonts w:ascii="Calibri" w:eastAsia="Times New Roman" w:hAnsi="Calibri" w:cs="Calibri"/>
                <w:b/>
                <w:color w:val="000000"/>
                <w:sz w:val="24"/>
                <w:lang w:eastAsia="en-GB"/>
              </w:rPr>
            </w:pPr>
            <w:r w:rsidRPr="006003B5">
              <w:rPr>
                <w:rFonts w:ascii="Calibri" w:eastAsia="Times New Roman" w:hAnsi="Calibri" w:cs="Calibri"/>
                <w:b/>
                <w:color w:val="000000"/>
                <w:sz w:val="24"/>
                <w:lang w:eastAsia="en-GB"/>
              </w:rPr>
              <w:t>Grounds for the request:</w:t>
            </w:r>
          </w:p>
          <w:p w14:paraId="14C553C5" w14:textId="77777777" w:rsidR="000173EC" w:rsidRPr="006003B5" w:rsidRDefault="000173EC" w:rsidP="00D17841">
            <w:pPr>
              <w:rPr>
                <w:rFonts w:ascii="Calibri" w:eastAsia="Times New Roman" w:hAnsi="Calibri" w:cs="Calibri"/>
                <w:color w:val="000000"/>
                <w:sz w:val="24"/>
                <w:lang w:eastAsia="en-GB"/>
              </w:rPr>
            </w:pPr>
          </w:p>
          <w:p w14:paraId="2D6882DB" w14:textId="77777777" w:rsidR="000173EC" w:rsidRPr="006003B5" w:rsidRDefault="000173EC" w:rsidP="00D17841">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I believe that Liberty have grounds to request an appeal that relate both to the general whole review process and to product specific considerations.</w:t>
            </w:r>
          </w:p>
          <w:p w14:paraId="0A774145" w14:textId="77777777" w:rsidR="000173EC" w:rsidRPr="006003B5" w:rsidRDefault="000173EC" w:rsidP="00D17841">
            <w:pPr>
              <w:rPr>
                <w:rFonts w:ascii="Calibri" w:eastAsia="Times New Roman" w:hAnsi="Calibri" w:cs="Calibri"/>
                <w:color w:val="000000"/>
                <w:sz w:val="24"/>
                <w:lang w:eastAsia="en-GB"/>
              </w:rPr>
            </w:pPr>
          </w:p>
          <w:p w14:paraId="251E84CD" w14:textId="77777777" w:rsidR="00E4694F" w:rsidRDefault="00E4694F" w:rsidP="0012751F">
            <w:pPr>
              <w:rPr>
                <w:rFonts w:ascii="Calibri" w:eastAsia="Times New Roman" w:hAnsi="Calibri" w:cs="Calibri"/>
                <w:b/>
                <w:color w:val="000000"/>
                <w:sz w:val="24"/>
                <w:lang w:eastAsia="en-GB"/>
              </w:rPr>
            </w:pPr>
            <w:r w:rsidRPr="00E4694F">
              <w:rPr>
                <w:rFonts w:ascii="Calibri" w:eastAsia="Times New Roman" w:hAnsi="Calibri" w:cs="Calibri"/>
                <w:b/>
                <w:color w:val="000000"/>
                <w:sz w:val="24"/>
                <w:lang w:eastAsia="en-GB"/>
              </w:rPr>
              <w:t xml:space="preserve">27. </w:t>
            </w:r>
            <w:proofErr w:type="gramStart"/>
            <w:r w:rsidRPr="00E4694F">
              <w:rPr>
                <w:rFonts w:ascii="Calibri" w:eastAsia="Times New Roman" w:hAnsi="Calibri" w:cs="Calibri"/>
                <w:b/>
                <w:color w:val="000000"/>
                <w:sz w:val="24"/>
                <w:lang w:eastAsia="en-GB"/>
              </w:rPr>
              <w:t>Non-alloy</w:t>
            </w:r>
            <w:proofErr w:type="gramEnd"/>
            <w:r w:rsidRPr="00E4694F">
              <w:rPr>
                <w:rFonts w:ascii="Calibri" w:eastAsia="Times New Roman" w:hAnsi="Calibri" w:cs="Calibri"/>
                <w:b/>
                <w:color w:val="000000"/>
                <w:sz w:val="24"/>
                <w:lang w:eastAsia="en-GB"/>
              </w:rPr>
              <w:t xml:space="preserve"> and other alloy cold finished bars </w:t>
            </w:r>
          </w:p>
          <w:p w14:paraId="4471FBE4" w14:textId="2CADDDB0" w:rsidR="001979E3" w:rsidRPr="0012751F" w:rsidRDefault="003010BF" w:rsidP="0012751F">
            <w:pPr>
              <w:rPr>
                <w:rFonts w:ascii="Calibri" w:eastAsia="Times New Roman" w:hAnsi="Calibri" w:cs="Calibri"/>
                <w:color w:val="000000"/>
                <w:sz w:val="24"/>
                <w:lang w:eastAsia="en-GB"/>
              </w:rPr>
            </w:pPr>
            <w:r w:rsidRPr="006003B5">
              <w:rPr>
                <w:rFonts w:ascii="Calibri" w:eastAsia="Times New Roman" w:hAnsi="Calibri" w:cs="Calibri"/>
                <w:color w:val="000000"/>
                <w:sz w:val="24"/>
                <w:lang w:eastAsia="en-GB"/>
              </w:rPr>
              <w:t>We</w:t>
            </w:r>
            <w:r w:rsidR="002D096D" w:rsidRPr="006003B5">
              <w:rPr>
                <w:rFonts w:ascii="Calibri" w:eastAsia="Times New Roman" w:hAnsi="Calibri" w:cs="Calibri"/>
                <w:color w:val="000000"/>
                <w:sz w:val="24"/>
                <w:lang w:eastAsia="en-GB"/>
              </w:rPr>
              <w:t xml:space="preserve"> ask that you retain the safeguard measures for this product for a further 3 years.</w:t>
            </w:r>
          </w:p>
        </w:tc>
        <w:tc>
          <w:tcPr>
            <w:tcW w:w="914" w:type="dxa"/>
            <w:gridSpan w:val="2"/>
            <w:tcBorders>
              <w:top w:val="nil"/>
              <w:left w:val="nil"/>
              <w:bottom w:val="nil"/>
              <w:right w:val="nil"/>
            </w:tcBorders>
          </w:tcPr>
          <w:p w14:paraId="4AD03175" w14:textId="77777777" w:rsidR="00133F4C" w:rsidRPr="006003B5" w:rsidRDefault="00133F4C" w:rsidP="00D17841">
            <w:pPr>
              <w:rPr>
                <w:rFonts w:ascii="Calibri" w:eastAsia="Times New Roman" w:hAnsi="Calibri" w:cs="Calibri"/>
                <w:color w:val="000000"/>
                <w:sz w:val="24"/>
                <w:lang w:eastAsia="en-GB"/>
              </w:rPr>
            </w:pPr>
          </w:p>
        </w:tc>
      </w:tr>
      <w:tr w:rsidR="00133F4C" w:rsidRPr="006003B5" w14:paraId="3E27C313" w14:textId="5306153C" w:rsidTr="00133F4C">
        <w:trPr>
          <w:gridAfter w:val="1"/>
          <w:wAfter w:w="81" w:type="dxa"/>
          <w:trHeight w:val="300"/>
        </w:trPr>
        <w:tc>
          <w:tcPr>
            <w:tcW w:w="7358" w:type="dxa"/>
            <w:tcBorders>
              <w:top w:val="nil"/>
              <w:left w:val="nil"/>
              <w:bottom w:val="nil"/>
              <w:right w:val="nil"/>
            </w:tcBorders>
            <w:shd w:val="clear" w:color="auto" w:fill="auto"/>
            <w:noWrap/>
            <w:vAlign w:val="bottom"/>
          </w:tcPr>
          <w:p w14:paraId="1B12C201" w14:textId="77777777" w:rsidR="00291CCF" w:rsidRDefault="00291CCF" w:rsidP="0056299C">
            <w:pPr>
              <w:rPr>
                <w:rFonts w:ascii="Calibri" w:eastAsia="Times New Roman" w:hAnsi="Calibri" w:cs="Calibri"/>
                <w:color w:val="000000"/>
                <w:sz w:val="24"/>
                <w:lang w:eastAsia="en-GB"/>
              </w:rPr>
            </w:pPr>
          </w:p>
          <w:p w14:paraId="30BD085F" w14:textId="77777777" w:rsidR="00B62847" w:rsidRDefault="00B62847" w:rsidP="0056299C">
            <w:pPr>
              <w:rPr>
                <w:rFonts w:ascii="Calibri" w:eastAsia="Times New Roman" w:hAnsi="Calibri" w:cs="Calibri"/>
                <w:color w:val="000000"/>
                <w:sz w:val="24"/>
                <w:lang w:eastAsia="en-GB"/>
              </w:rPr>
            </w:pPr>
          </w:p>
          <w:p w14:paraId="53F020D1" w14:textId="39A958B6" w:rsidR="00B62847" w:rsidRPr="006003B5" w:rsidRDefault="00B62847" w:rsidP="0056299C">
            <w:pPr>
              <w:rPr>
                <w:rFonts w:ascii="Calibri" w:eastAsia="Times New Roman" w:hAnsi="Calibri" w:cs="Calibri"/>
                <w:color w:val="000000"/>
                <w:sz w:val="24"/>
                <w:lang w:eastAsia="en-GB"/>
              </w:rPr>
            </w:pPr>
          </w:p>
        </w:tc>
        <w:tc>
          <w:tcPr>
            <w:tcW w:w="1587" w:type="dxa"/>
            <w:gridSpan w:val="2"/>
            <w:tcBorders>
              <w:top w:val="nil"/>
              <w:left w:val="nil"/>
              <w:bottom w:val="nil"/>
              <w:right w:val="nil"/>
            </w:tcBorders>
          </w:tcPr>
          <w:p w14:paraId="2B697F28" w14:textId="77777777" w:rsidR="00133F4C" w:rsidRPr="006003B5" w:rsidRDefault="00133F4C" w:rsidP="00D17841">
            <w:pPr>
              <w:rPr>
                <w:rFonts w:ascii="Calibri" w:eastAsia="Times New Roman" w:hAnsi="Calibri" w:cs="Calibri"/>
                <w:color w:val="000000"/>
                <w:sz w:val="24"/>
                <w:lang w:eastAsia="en-GB"/>
              </w:rPr>
            </w:pPr>
          </w:p>
        </w:tc>
      </w:tr>
    </w:tbl>
    <w:p w14:paraId="44BBF17C" w14:textId="4722EAB1" w:rsidR="00C23E66" w:rsidRPr="006003B5" w:rsidRDefault="00C23E66">
      <w:pPr>
        <w:rPr>
          <w:rFonts w:ascii="Calibri" w:hAnsi="Calibri" w:cs="Calibri"/>
          <w:b/>
          <w:bCs/>
          <w:sz w:val="24"/>
        </w:rPr>
      </w:pPr>
      <w:r w:rsidRPr="006003B5">
        <w:rPr>
          <w:rFonts w:ascii="Calibri" w:hAnsi="Calibri" w:cs="Calibri"/>
          <w:b/>
          <w:bCs/>
          <w:sz w:val="24"/>
        </w:rPr>
        <w:lastRenderedPageBreak/>
        <w:t>Incomplete data:</w:t>
      </w:r>
    </w:p>
    <w:p w14:paraId="277C45D0" w14:textId="0B5C46A9" w:rsidR="00E4694F" w:rsidRDefault="00C23E66">
      <w:pPr>
        <w:rPr>
          <w:rFonts w:ascii="Calibri" w:hAnsi="Calibri" w:cs="Calibri"/>
          <w:bCs/>
          <w:sz w:val="24"/>
        </w:rPr>
      </w:pPr>
      <w:r w:rsidRPr="006003B5">
        <w:rPr>
          <w:rFonts w:ascii="Calibri" w:hAnsi="Calibri" w:cs="Calibri"/>
          <w:bCs/>
          <w:sz w:val="24"/>
        </w:rPr>
        <w:t>The data used in the analysis</w:t>
      </w:r>
      <w:r w:rsidR="00632338" w:rsidRPr="006003B5">
        <w:rPr>
          <w:rFonts w:ascii="Calibri" w:hAnsi="Calibri" w:cs="Calibri"/>
          <w:bCs/>
          <w:sz w:val="24"/>
        </w:rPr>
        <w:t xml:space="preserve"> by </w:t>
      </w:r>
      <w:r w:rsidR="00CA4C1A" w:rsidRPr="006003B5">
        <w:rPr>
          <w:rFonts w:ascii="Calibri" w:hAnsi="Calibri" w:cs="Calibri"/>
          <w:bCs/>
          <w:sz w:val="24"/>
        </w:rPr>
        <w:t>TRID is</w:t>
      </w:r>
      <w:r w:rsidRPr="006003B5">
        <w:rPr>
          <w:rFonts w:ascii="Calibri" w:hAnsi="Calibri" w:cs="Calibri"/>
          <w:bCs/>
          <w:sz w:val="24"/>
        </w:rPr>
        <w:t xml:space="preserve"> incomplete and does not reflect the full level of imports of the products under consideration due to a threshold being applied before inclusion into the HMRC data. </w:t>
      </w:r>
      <w:r w:rsidR="005F5E80">
        <w:rPr>
          <w:rFonts w:ascii="Calibri" w:hAnsi="Calibri" w:cs="Calibri"/>
          <w:bCs/>
          <w:sz w:val="24"/>
        </w:rPr>
        <w:t>Furthermore,</w:t>
      </w:r>
      <w:r w:rsidR="00E4694F">
        <w:rPr>
          <w:rFonts w:ascii="Calibri" w:hAnsi="Calibri" w:cs="Calibri"/>
          <w:bCs/>
          <w:sz w:val="24"/>
        </w:rPr>
        <w:t xml:space="preserve"> the analysis of the share of imports of Cold Finished Bars does not consider the relative share of imports, only the absolute share. If the relative share is </w:t>
      </w:r>
      <w:r w:rsidR="005F5E80">
        <w:rPr>
          <w:rFonts w:ascii="Calibri" w:hAnsi="Calibri" w:cs="Calibri"/>
          <w:bCs/>
          <w:sz w:val="24"/>
        </w:rPr>
        <w:t>considered,</w:t>
      </w:r>
      <w:r w:rsidR="00E4694F">
        <w:rPr>
          <w:rFonts w:ascii="Calibri" w:hAnsi="Calibri" w:cs="Calibri"/>
          <w:bCs/>
          <w:sz w:val="24"/>
        </w:rPr>
        <w:t xml:space="preserve"> then </w:t>
      </w:r>
      <w:r w:rsidR="005F5E80">
        <w:rPr>
          <w:rFonts w:ascii="Calibri" w:hAnsi="Calibri" w:cs="Calibri"/>
          <w:bCs/>
          <w:sz w:val="24"/>
        </w:rPr>
        <w:t xml:space="preserve">a trend of increasing imports can be seen. We do not have access to the full market size data for the POI, however I attach the UK Steel </w:t>
      </w:r>
      <w:r w:rsidR="00B61B21">
        <w:rPr>
          <w:rFonts w:ascii="Calibri" w:hAnsi="Calibri" w:cs="Calibri"/>
          <w:bCs/>
          <w:sz w:val="24"/>
        </w:rPr>
        <w:t>Association</w:t>
      </w:r>
      <w:r w:rsidR="005F5E80">
        <w:rPr>
          <w:rFonts w:ascii="Calibri" w:hAnsi="Calibri" w:cs="Calibri"/>
          <w:bCs/>
          <w:sz w:val="24"/>
        </w:rPr>
        <w:t xml:space="preserve"> Bright Bar Product Group market data, published by the International Steel Statistics Bureau. This shows in the period 2015 to 2019 that there was an 11.4% increase in imports relative to the Cold Finished Bar market size. </w:t>
      </w:r>
    </w:p>
    <w:p w14:paraId="3BAEF25C" w14:textId="77777777" w:rsidR="00E4694F" w:rsidRDefault="00E4694F">
      <w:pPr>
        <w:rPr>
          <w:rFonts w:ascii="Calibri" w:hAnsi="Calibri" w:cs="Calibri"/>
          <w:bCs/>
          <w:sz w:val="24"/>
        </w:rPr>
      </w:pPr>
    </w:p>
    <w:p w14:paraId="10E23041" w14:textId="798A23E0" w:rsidR="00F4637F" w:rsidRDefault="00C23E66">
      <w:pPr>
        <w:rPr>
          <w:rFonts w:ascii="Calibri" w:hAnsi="Calibri" w:cs="Calibri"/>
          <w:bCs/>
          <w:sz w:val="24"/>
        </w:rPr>
      </w:pPr>
      <w:r w:rsidRPr="006003B5">
        <w:rPr>
          <w:rFonts w:ascii="Calibri" w:hAnsi="Calibri" w:cs="Calibri"/>
          <w:bCs/>
          <w:sz w:val="24"/>
        </w:rPr>
        <w:t xml:space="preserve">If the analysis is extended to include all imports, using the </w:t>
      </w:r>
      <w:r w:rsidR="00A23327">
        <w:rPr>
          <w:rFonts w:ascii="Calibri" w:hAnsi="Calibri" w:cs="Calibri"/>
          <w:bCs/>
          <w:sz w:val="24"/>
        </w:rPr>
        <w:t xml:space="preserve">full HMRC data set presented by the </w:t>
      </w:r>
      <w:r w:rsidRPr="006003B5">
        <w:rPr>
          <w:rFonts w:ascii="Calibri" w:hAnsi="Calibri" w:cs="Calibri"/>
          <w:bCs/>
          <w:sz w:val="24"/>
        </w:rPr>
        <w:t xml:space="preserve">ISSB as the most comprehensive source then there is a much stronger trend of increased imports for </w:t>
      </w:r>
      <w:bookmarkStart w:id="0" w:name="_Hlk76639640"/>
      <w:r w:rsidR="005F5E80">
        <w:rPr>
          <w:rFonts w:ascii="Calibri" w:hAnsi="Calibri" w:cs="Calibri"/>
          <w:bCs/>
          <w:sz w:val="24"/>
        </w:rPr>
        <w:t xml:space="preserve">Cold Finished Bar </w:t>
      </w:r>
      <w:bookmarkEnd w:id="0"/>
      <w:r w:rsidRPr="006003B5">
        <w:rPr>
          <w:rFonts w:ascii="Calibri" w:hAnsi="Calibri" w:cs="Calibri"/>
          <w:bCs/>
          <w:sz w:val="24"/>
        </w:rPr>
        <w:t>products</w:t>
      </w:r>
      <w:r w:rsidR="00632338" w:rsidRPr="006003B5">
        <w:rPr>
          <w:rFonts w:ascii="Calibri" w:hAnsi="Calibri" w:cs="Calibri"/>
          <w:bCs/>
          <w:sz w:val="24"/>
        </w:rPr>
        <w:t xml:space="preserve"> of </w:t>
      </w:r>
      <w:r w:rsidR="00522EF9">
        <w:rPr>
          <w:rFonts w:ascii="Calibri" w:hAnsi="Calibri" w:cs="Calibri"/>
          <w:bCs/>
          <w:sz w:val="24"/>
        </w:rPr>
        <w:t>11.</w:t>
      </w:r>
      <w:r w:rsidR="005F5E80">
        <w:rPr>
          <w:rFonts w:ascii="Calibri" w:hAnsi="Calibri" w:cs="Calibri"/>
          <w:bCs/>
          <w:sz w:val="24"/>
        </w:rPr>
        <w:t>4</w:t>
      </w:r>
      <w:r w:rsidR="00632338" w:rsidRPr="006003B5">
        <w:rPr>
          <w:rFonts w:ascii="Calibri" w:hAnsi="Calibri" w:cs="Calibri"/>
          <w:bCs/>
          <w:sz w:val="24"/>
        </w:rPr>
        <w:t>%</w:t>
      </w:r>
      <w:r w:rsidR="005F5E80">
        <w:rPr>
          <w:rFonts w:ascii="Calibri" w:hAnsi="Calibri" w:cs="Calibri"/>
          <w:bCs/>
          <w:sz w:val="24"/>
        </w:rPr>
        <w:t>.</w:t>
      </w:r>
      <w:r w:rsidR="00632338" w:rsidRPr="006003B5">
        <w:rPr>
          <w:rFonts w:ascii="Calibri" w:hAnsi="Calibri" w:cs="Calibri"/>
          <w:bCs/>
          <w:sz w:val="24"/>
        </w:rPr>
        <w:t xml:space="preserve"> </w:t>
      </w:r>
    </w:p>
    <w:p w14:paraId="4BEFE7DC" w14:textId="4D9ECE38" w:rsidR="00E428E3" w:rsidRDefault="00E428E3">
      <w:pPr>
        <w:rPr>
          <w:rFonts w:ascii="Calibri" w:hAnsi="Calibri" w:cs="Calibri"/>
          <w:bCs/>
          <w:sz w:val="24"/>
        </w:rPr>
      </w:pPr>
    </w:p>
    <w:p w14:paraId="605A1861" w14:textId="7FD8D67F" w:rsidR="00E428E3" w:rsidRDefault="00E428E3">
      <w:pPr>
        <w:rPr>
          <w:rFonts w:ascii="Calibri" w:hAnsi="Calibri" w:cs="Calibri"/>
          <w:bCs/>
          <w:sz w:val="24"/>
        </w:rPr>
      </w:pPr>
      <w:r w:rsidRPr="00E428E3">
        <w:rPr>
          <w:rFonts w:ascii="Calibri" w:hAnsi="Calibri" w:cs="Calibri"/>
          <w:bCs/>
          <w:sz w:val="24"/>
        </w:rPr>
        <w:t xml:space="preserve">The use of this full data set is particularly relevant for this product category since deliveries from the EU would be more likely by lorry in smaller quantities, rather than by large vessel. </w:t>
      </w:r>
      <w:proofErr w:type="gramStart"/>
      <w:r w:rsidRPr="00E428E3">
        <w:rPr>
          <w:rFonts w:ascii="Calibri" w:hAnsi="Calibri" w:cs="Calibri"/>
          <w:bCs/>
          <w:sz w:val="24"/>
        </w:rPr>
        <w:t>As a consequence</w:t>
      </w:r>
      <w:proofErr w:type="gramEnd"/>
      <w:r w:rsidRPr="00E428E3">
        <w:rPr>
          <w:rFonts w:ascii="Calibri" w:hAnsi="Calibri" w:cs="Calibri"/>
          <w:bCs/>
          <w:sz w:val="24"/>
        </w:rPr>
        <w:t>, more of the imports for this product would have been discounted it the smaller HMRC data set is used with a qualifying threshold applied, rather than the full HMRC data set.</w:t>
      </w:r>
    </w:p>
    <w:p w14:paraId="20425A72" w14:textId="77777777" w:rsidR="0056299C" w:rsidRDefault="0056299C">
      <w:pPr>
        <w:rPr>
          <w:rFonts w:ascii="Calibri" w:hAnsi="Calibri" w:cs="Calibri"/>
          <w:bCs/>
          <w:sz w:val="24"/>
        </w:rPr>
      </w:pPr>
    </w:p>
    <w:p w14:paraId="086DF4DC" w14:textId="77777777" w:rsidR="0056299C" w:rsidRPr="0056299C" w:rsidRDefault="0056299C" w:rsidP="0056299C">
      <w:pPr>
        <w:rPr>
          <w:rFonts w:ascii="Calibri" w:hAnsi="Calibri" w:cs="Calibri"/>
          <w:b/>
          <w:sz w:val="24"/>
        </w:rPr>
      </w:pPr>
      <w:r w:rsidRPr="0056299C">
        <w:rPr>
          <w:rFonts w:ascii="Calibri" w:hAnsi="Calibri" w:cs="Calibri"/>
          <w:b/>
          <w:sz w:val="24"/>
        </w:rPr>
        <w:t>Risk of Injury.</w:t>
      </w:r>
    </w:p>
    <w:p w14:paraId="7D573E03" w14:textId="6E0F71F2" w:rsidR="0056299C" w:rsidRDefault="0056299C" w:rsidP="0056299C">
      <w:pPr>
        <w:rPr>
          <w:rFonts w:ascii="Calibri" w:hAnsi="Calibri" w:cs="Calibri"/>
          <w:bCs/>
          <w:sz w:val="24"/>
        </w:rPr>
      </w:pPr>
      <w:r w:rsidRPr="0056299C">
        <w:rPr>
          <w:rFonts w:ascii="Calibri" w:hAnsi="Calibri" w:cs="Calibri"/>
          <w:bCs/>
          <w:sz w:val="24"/>
        </w:rPr>
        <w:t xml:space="preserve">The Liberty </w:t>
      </w:r>
      <w:r w:rsidR="00D421FA">
        <w:rPr>
          <w:rFonts w:ascii="Calibri" w:hAnsi="Calibri" w:cs="Calibri"/>
          <w:bCs/>
          <w:sz w:val="24"/>
        </w:rPr>
        <w:t xml:space="preserve">Speciality </w:t>
      </w:r>
      <w:r w:rsidR="00522EF9">
        <w:rPr>
          <w:rFonts w:ascii="Calibri" w:hAnsi="Calibri" w:cs="Calibri"/>
          <w:bCs/>
          <w:sz w:val="24"/>
        </w:rPr>
        <w:t xml:space="preserve">Steels </w:t>
      </w:r>
      <w:r w:rsidR="00522EF9" w:rsidRPr="0056299C">
        <w:rPr>
          <w:rFonts w:ascii="Calibri" w:hAnsi="Calibri" w:cs="Calibri"/>
          <w:bCs/>
          <w:sz w:val="24"/>
        </w:rPr>
        <w:t>business</w:t>
      </w:r>
      <w:r w:rsidRPr="0056299C">
        <w:rPr>
          <w:rFonts w:ascii="Calibri" w:hAnsi="Calibri" w:cs="Calibri"/>
          <w:bCs/>
          <w:sz w:val="24"/>
        </w:rPr>
        <w:t xml:space="preserve"> and the steelmaking facility </w:t>
      </w:r>
      <w:r w:rsidR="00B61B21">
        <w:rPr>
          <w:rFonts w:ascii="Calibri" w:hAnsi="Calibri" w:cs="Calibri"/>
          <w:bCs/>
          <w:sz w:val="24"/>
        </w:rPr>
        <w:t xml:space="preserve">it </w:t>
      </w:r>
      <w:r w:rsidR="00AA76DA">
        <w:rPr>
          <w:rFonts w:ascii="Calibri" w:hAnsi="Calibri" w:cs="Calibri"/>
          <w:bCs/>
          <w:sz w:val="24"/>
        </w:rPr>
        <w:t>is part of in</w:t>
      </w:r>
      <w:r w:rsidRPr="0056299C">
        <w:rPr>
          <w:rFonts w:ascii="Calibri" w:hAnsi="Calibri" w:cs="Calibri"/>
          <w:bCs/>
          <w:sz w:val="24"/>
        </w:rPr>
        <w:t xml:space="preserve"> Rotherham</w:t>
      </w:r>
      <w:r w:rsidR="00CA4C1A">
        <w:rPr>
          <w:rFonts w:ascii="Calibri" w:hAnsi="Calibri" w:cs="Calibri"/>
          <w:bCs/>
          <w:sz w:val="24"/>
        </w:rPr>
        <w:t>,</w:t>
      </w:r>
      <w:r w:rsidRPr="0056299C">
        <w:rPr>
          <w:rFonts w:ascii="Calibri" w:hAnsi="Calibri" w:cs="Calibri"/>
          <w:bCs/>
          <w:sz w:val="24"/>
        </w:rPr>
        <w:t xml:space="preserve"> are in a perilous position both historically and post Covid. The </w:t>
      </w:r>
      <w:r w:rsidR="00AA76DA">
        <w:rPr>
          <w:rFonts w:ascii="Calibri" w:hAnsi="Calibri" w:cs="Calibri"/>
          <w:bCs/>
          <w:sz w:val="24"/>
        </w:rPr>
        <w:t xml:space="preserve">Speciality Steels </w:t>
      </w:r>
      <w:r w:rsidR="000C0674">
        <w:rPr>
          <w:rFonts w:ascii="Calibri" w:hAnsi="Calibri" w:cs="Calibri"/>
          <w:bCs/>
          <w:sz w:val="24"/>
        </w:rPr>
        <w:t xml:space="preserve">business which makes </w:t>
      </w:r>
      <w:r w:rsidR="00B61B21">
        <w:rPr>
          <w:rFonts w:ascii="Calibri" w:hAnsi="Calibri" w:cs="Calibri"/>
          <w:bCs/>
          <w:sz w:val="24"/>
        </w:rPr>
        <w:t>Cold Finished Bar</w:t>
      </w:r>
      <w:r w:rsidR="000C0674">
        <w:rPr>
          <w:rFonts w:ascii="Calibri" w:hAnsi="Calibri" w:cs="Calibri"/>
          <w:bCs/>
          <w:sz w:val="24"/>
        </w:rPr>
        <w:t>,</w:t>
      </w:r>
      <w:r w:rsidRPr="0056299C">
        <w:rPr>
          <w:rFonts w:ascii="Calibri" w:hAnsi="Calibri" w:cs="Calibri"/>
          <w:bCs/>
          <w:sz w:val="24"/>
        </w:rPr>
        <w:t xml:space="preserve"> was sold by its previous owner Tata Steel as part of it plan to exit loss making UK assets as an alternative to closure. The entire </w:t>
      </w:r>
      <w:r w:rsidR="00B61B21">
        <w:rPr>
          <w:rFonts w:ascii="Calibri" w:hAnsi="Calibri" w:cs="Calibri"/>
          <w:bCs/>
          <w:sz w:val="24"/>
        </w:rPr>
        <w:t xml:space="preserve">Cold Finished Bar </w:t>
      </w:r>
      <w:r w:rsidRPr="0056299C">
        <w:rPr>
          <w:rFonts w:ascii="Calibri" w:hAnsi="Calibri" w:cs="Calibri"/>
          <w:bCs/>
          <w:sz w:val="24"/>
        </w:rPr>
        <w:t xml:space="preserve">supply chain is </w:t>
      </w:r>
      <w:r w:rsidR="00522EF9" w:rsidRPr="0056299C">
        <w:rPr>
          <w:rFonts w:ascii="Calibri" w:hAnsi="Calibri" w:cs="Calibri"/>
          <w:bCs/>
          <w:sz w:val="24"/>
        </w:rPr>
        <w:t>precarious,</w:t>
      </w:r>
      <w:r w:rsidRPr="0056299C">
        <w:rPr>
          <w:rFonts w:ascii="Calibri" w:hAnsi="Calibri" w:cs="Calibri"/>
          <w:bCs/>
          <w:sz w:val="24"/>
        </w:rPr>
        <w:t xml:space="preserve"> and the poor financial results are in a large part due to increased imports driving down prices and reducing sales volumes from UK production. </w:t>
      </w:r>
    </w:p>
    <w:p w14:paraId="01BF5DB5" w14:textId="77777777" w:rsidR="0056299C" w:rsidRPr="0056299C" w:rsidRDefault="0056299C" w:rsidP="0056299C">
      <w:pPr>
        <w:rPr>
          <w:rFonts w:ascii="Calibri" w:hAnsi="Calibri" w:cs="Calibri"/>
          <w:bCs/>
          <w:sz w:val="24"/>
        </w:rPr>
      </w:pPr>
    </w:p>
    <w:p w14:paraId="16F2EBBC" w14:textId="4B6EAF1A" w:rsidR="0056299C" w:rsidRPr="0056299C" w:rsidRDefault="0056299C" w:rsidP="0056299C">
      <w:pPr>
        <w:rPr>
          <w:rFonts w:ascii="Calibri" w:hAnsi="Calibri" w:cs="Calibri"/>
          <w:bCs/>
          <w:sz w:val="24"/>
        </w:rPr>
      </w:pPr>
      <w:r w:rsidRPr="0056299C">
        <w:rPr>
          <w:rFonts w:ascii="Calibri" w:hAnsi="Calibri" w:cs="Calibri"/>
          <w:bCs/>
          <w:sz w:val="24"/>
        </w:rPr>
        <w:t xml:space="preserve">Covid has further impacted on the business both on the demand side and on the cost side. This is recognised by the UK government in the packages of support available to UK business to support their survival. It is also evident in the investment of UK government in their funding to stimulate the economy. Costs have gone up and demand is down. </w:t>
      </w:r>
    </w:p>
    <w:p w14:paraId="004A3B7B" w14:textId="77777777" w:rsidR="0056299C" w:rsidRPr="0056299C" w:rsidRDefault="0056299C" w:rsidP="0056299C">
      <w:pPr>
        <w:rPr>
          <w:rFonts w:ascii="Calibri" w:hAnsi="Calibri" w:cs="Calibri"/>
          <w:bCs/>
          <w:sz w:val="24"/>
        </w:rPr>
      </w:pPr>
    </w:p>
    <w:p w14:paraId="584C11E7" w14:textId="406E8974" w:rsidR="0056299C" w:rsidRDefault="0056299C" w:rsidP="0056299C">
      <w:pPr>
        <w:rPr>
          <w:rFonts w:ascii="Calibri" w:hAnsi="Calibri" w:cs="Calibri"/>
          <w:bCs/>
          <w:sz w:val="24"/>
        </w:rPr>
      </w:pPr>
      <w:r w:rsidRPr="0056299C">
        <w:rPr>
          <w:rFonts w:ascii="Calibri" w:hAnsi="Calibri" w:cs="Calibri"/>
          <w:bCs/>
          <w:sz w:val="24"/>
        </w:rPr>
        <w:t xml:space="preserve">The production of </w:t>
      </w:r>
      <w:r w:rsidR="00B61B21">
        <w:rPr>
          <w:rFonts w:ascii="Calibri" w:hAnsi="Calibri" w:cs="Calibri"/>
          <w:bCs/>
          <w:sz w:val="24"/>
        </w:rPr>
        <w:t xml:space="preserve">Cold Finished Bar </w:t>
      </w:r>
      <w:r w:rsidRPr="0056299C">
        <w:rPr>
          <w:rFonts w:ascii="Calibri" w:hAnsi="Calibri" w:cs="Calibri"/>
          <w:bCs/>
          <w:sz w:val="24"/>
        </w:rPr>
        <w:t xml:space="preserve">products and the associated steelmaking is in an already perilous position due to import </w:t>
      </w:r>
      <w:r w:rsidR="00522EF9" w:rsidRPr="0056299C">
        <w:rPr>
          <w:rFonts w:ascii="Calibri" w:hAnsi="Calibri" w:cs="Calibri"/>
          <w:bCs/>
          <w:sz w:val="24"/>
        </w:rPr>
        <w:t>pressures,</w:t>
      </w:r>
      <w:r w:rsidRPr="0056299C">
        <w:rPr>
          <w:rFonts w:ascii="Calibri" w:hAnsi="Calibri" w:cs="Calibri"/>
          <w:bCs/>
          <w:sz w:val="24"/>
        </w:rPr>
        <w:t xml:space="preserve"> and this is made much worse due to the covid pandemic. Any removal of safeguards will cause further injury, putting at risk jobs, </w:t>
      </w:r>
      <w:r w:rsidR="00522EF9" w:rsidRPr="0056299C">
        <w:rPr>
          <w:rFonts w:ascii="Calibri" w:hAnsi="Calibri" w:cs="Calibri"/>
          <w:bCs/>
          <w:sz w:val="24"/>
        </w:rPr>
        <w:t>investment,</w:t>
      </w:r>
      <w:r w:rsidRPr="0056299C">
        <w:rPr>
          <w:rFonts w:ascii="Calibri" w:hAnsi="Calibri" w:cs="Calibri"/>
          <w:bCs/>
          <w:sz w:val="24"/>
        </w:rPr>
        <w:t xml:space="preserve"> and the future viability of the business.</w:t>
      </w:r>
    </w:p>
    <w:p w14:paraId="0A37F167" w14:textId="77777777" w:rsidR="00F4637F" w:rsidRPr="006003B5" w:rsidRDefault="00F4637F">
      <w:pPr>
        <w:rPr>
          <w:rFonts w:ascii="Calibri" w:hAnsi="Calibri" w:cs="Calibri"/>
          <w:bCs/>
          <w:sz w:val="24"/>
        </w:rPr>
      </w:pPr>
    </w:p>
    <w:p w14:paraId="61EF45E1" w14:textId="1F34BDE8" w:rsidR="00F4637F" w:rsidRPr="006003B5" w:rsidRDefault="00F4637F">
      <w:pPr>
        <w:rPr>
          <w:rFonts w:ascii="Calibri" w:hAnsi="Calibri" w:cs="Calibri"/>
          <w:b/>
          <w:bCs/>
          <w:sz w:val="24"/>
        </w:rPr>
      </w:pPr>
      <w:r w:rsidRPr="006003B5">
        <w:rPr>
          <w:rFonts w:ascii="Calibri" w:hAnsi="Calibri" w:cs="Calibri"/>
          <w:b/>
          <w:bCs/>
          <w:sz w:val="24"/>
        </w:rPr>
        <w:t>Incomplete data:</w:t>
      </w:r>
    </w:p>
    <w:p w14:paraId="40C145EC" w14:textId="0ACC977B" w:rsidR="005427A8" w:rsidRPr="006003B5" w:rsidRDefault="005427A8">
      <w:pPr>
        <w:rPr>
          <w:rFonts w:ascii="Calibri" w:hAnsi="Calibri" w:cs="Calibri"/>
          <w:bCs/>
          <w:sz w:val="24"/>
        </w:rPr>
      </w:pPr>
      <w:r w:rsidRPr="006003B5">
        <w:rPr>
          <w:rFonts w:ascii="Calibri" w:hAnsi="Calibri" w:cs="Calibri"/>
          <w:bCs/>
          <w:sz w:val="24"/>
        </w:rPr>
        <w:t xml:space="preserve">Liberty Steel UK </w:t>
      </w:r>
      <w:r w:rsidR="00A15FF4" w:rsidRPr="006003B5">
        <w:rPr>
          <w:rFonts w:ascii="Calibri" w:hAnsi="Calibri" w:cs="Calibri"/>
          <w:bCs/>
          <w:sz w:val="24"/>
        </w:rPr>
        <w:t xml:space="preserve">has </w:t>
      </w:r>
      <w:r w:rsidRPr="006003B5">
        <w:rPr>
          <w:rFonts w:ascii="Calibri" w:hAnsi="Calibri" w:cs="Calibri"/>
          <w:bCs/>
          <w:sz w:val="24"/>
        </w:rPr>
        <w:t>been severely impacted by the Covid pandemic</w:t>
      </w:r>
      <w:r w:rsidR="00A15FF4" w:rsidRPr="006003B5">
        <w:rPr>
          <w:rFonts w:ascii="Calibri" w:hAnsi="Calibri" w:cs="Calibri"/>
          <w:bCs/>
          <w:sz w:val="24"/>
        </w:rPr>
        <w:t xml:space="preserve">. Key personnel have been furloughed to reduce costs to sustain the businesses. The Brexit preparations and implementation have also had a significant impact on business resources and capability. Liberty Steel UK implemented a new enterprise wide IT system across its major Yorkshire businesses. The preparations, implementation and further development of this system continue to absorb resources and limit the businesses capability to analyse data. The above </w:t>
      </w:r>
      <w:r w:rsidR="00A15FF4" w:rsidRPr="006003B5">
        <w:rPr>
          <w:rFonts w:ascii="Calibri" w:hAnsi="Calibri" w:cs="Calibri"/>
          <w:bCs/>
          <w:sz w:val="24"/>
        </w:rPr>
        <w:lastRenderedPageBreak/>
        <w:t>factors of covid, Brexit and IT constraints have severely constrained Liberty Steel UK’s ability to engage with the TRID safeguarding investigation</w:t>
      </w:r>
      <w:r w:rsidR="00577A04" w:rsidRPr="006003B5">
        <w:rPr>
          <w:rFonts w:ascii="Calibri" w:hAnsi="Calibri" w:cs="Calibri"/>
          <w:bCs/>
          <w:sz w:val="24"/>
        </w:rPr>
        <w:t>. These factors were communicated to TRID during the investigation, and any shortfall in the data Liberty was able to provide should not limit the validity of our contribution</w:t>
      </w:r>
      <w:r w:rsidR="00D15C1E" w:rsidRPr="006003B5">
        <w:rPr>
          <w:rFonts w:ascii="Calibri" w:hAnsi="Calibri" w:cs="Calibri"/>
          <w:bCs/>
          <w:sz w:val="24"/>
        </w:rPr>
        <w:t xml:space="preserve"> or the removal of safeguarding measures that will impact on the wider UK economy.</w:t>
      </w:r>
    </w:p>
    <w:p w14:paraId="65DC0540" w14:textId="44C25199" w:rsidR="008C16A9" w:rsidRPr="006003B5" w:rsidRDefault="008C16A9">
      <w:pPr>
        <w:rPr>
          <w:rFonts w:ascii="Calibri" w:hAnsi="Calibri" w:cs="Calibri"/>
          <w:bCs/>
          <w:sz w:val="24"/>
        </w:rPr>
      </w:pPr>
    </w:p>
    <w:p w14:paraId="37A12856" w14:textId="13512073" w:rsidR="00C23E66" w:rsidRPr="006003B5" w:rsidRDefault="00D15C1E">
      <w:pPr>
        <w:rPr>
          <w:rFonts w:ascii="Calibri" w:hAnsi="Calibri" w:cs="Calibri"/>
          <w:b/>
          <w:bCs/>
          <w:sz w:val="24"/>
        </w:rPr>
      </w:pPr>
      <w:r w:rsidRPr="006003B5">
        <w:rPr>
          <w:rFonts w:ascii="Calibri" w:hAnsi="Calibri" w:cs="Calibri"/>
          <w:b/>
          <w:bCs/>
          <w:sz w:val="24"/>
        </w:rPr>
        <w:t xml:space="preserve">Product Inter-dependency </w:t>
      </w:r>
    </w:p>
    <w:p w14:paraId="71CD4917" w14:textId="5B482553" w:rsidR="00CA45C2" w:rsidRDefault="00D15C1E">
      <w:pPr>
        <w:rPr>
          <w:rFonts w:ascii="Calibri" w:hAnsi="Calibri" w:cs="Calibri"/>
          <w:bCs/>
          <w:sz w:val="24"/>
        </w:rPr>
      </w:pPr>
      <w:r w:rsidRPr="006003B5">
        <w:rPr>
          <w:rFonts w:ascii="Calibri" w:hAnsi="Calibri" w:cs="Calibri"/>
          <w:bCs/>
          <w:sz w:val="24"/>
        </w:rPr>
        <w:t>The</w:t>
      </w:r>
      <w:r w:rsidR="00CA45C2" w:rsidRPr="006003B5">
        <w:rPr>
          <w:rFonts w:ascii="Calibri" w:hAnsi="Calibri" w:cs="Calibri"/>
          <w:bCs/>
          <w:sz w:val="24"/>
        </w:rPr>
        <w:t xml:space="preserve"> independent </w:t>
      </w:r>
      <w:r w:rsidRPr="006003B5">
        <w:rPr>
          <w:rFonts w:ascii="Calibri" w:hAnsi="Calibri" w:cs="Calibri"/>
          <w:bCs/>
          <w:sz w:val="24"/>
        </w:rPr>
        <w:t xml:space="preserve">consideration of each product </w:t>
      </w:r>
      <w:r w:rsidR="00CA45C2" w:rsidRPr="006003B5">
        <w:rPr>
          <w:rFonts w:ascii="Calibri" w:hAnsi="Calibri" w:cs="Calibri"/>
          <w:bCs/>
          <w:sz w:val="24"/>
        </w:rPr>
        <w:t>neglects the fact that damage to a single product stream in the UK market directly impacts on the profitability of other products due to the production starting from common process routes. E.g. product categories 12, 13, 15, 16 &amp; 27 are all sourced from a common steel making processes. This pattern of production interdependency continues across all steel products, meaning that if one product becomes the victim of disruption due to imports, then other products made in the same steelmaking source process become uncompetitive as volumes drop and costs increase.</w:t>
      </w:r>
    </w:p>
    <w:p w14:paraId="79CCC9F9" w14:textId="406D5A15" w:rsidR="00A23327" w:rsidRDefault="00A23327">
      <w:pPr>
        <w:rPr>
          <w:rFonts w:ascii="Calibri" w:hAnsi="Calibri" w:cs="Calibri"/>
          <w:bCs/>
          <w:sz w:val="24"/>
        </w:rPr>
      </w:pPr>
    </w:p>
    <w:p w14:paraId="3E259E96" w14:textId="139794AF" w:rsidR="00A23327" w:rsidRPr="006003B5" w:rsidRDefault="00A23327">
      <w:pPr>
        <w:rPr>
          <w:rFonts w:ascii="Calibri" w:hAnsi="Calibri" w:cs="Calibri"/>
          <w:bCs/>
          <w:sz w:val="24"/>
        </w:rPr>
      </w:pPr>
      <w:r>
        <w:rPr>
          <w:rFonts w:ascii="Calibri" w:hAnsi="Calibri" w:cs="Calibri"/>
          <w:bCs/>
          <w:sz w:val="24"/>
        </w:rPr>
        <w:t xml:space="preserve">If product category </w:t>
      </w:r>
      <w:r w:rsidR="00B61B21">
        <w:rPr>
          <w:rFonts w:ascii="Calibri" w:hAnsi="Calibri" w:cs="Calibri"/>
          <w:bCs/>
          <w:sz w:val="24"/>
        </w:rPr>
        <w:t>27</w:t>
      </w:r>
      <w:r>
        <w:rPr>
          <w:rFonts w:ascii="Calibri" w:hAnsi="Calibri" w:cs="Calibri"/>
          <w:bCs/>
          <w:sz w:val="24"/>
        </w:rPr>
        <w:t xml:space="preserve"> were to have its safeguard protection removed, then imports of this product would reduce production on both the </w:t>
      </w:r>
      <w:r w:rsidR="00E428E3">
        <w:rPr>
          <w:rFonts w:ascii="Calibri" w:hAnsi="Calibri" w:cs="Calibri"/>
          <w:bCs/>
          <w:sz w:val="24"/>
        </w:rPr>
        <w:t xml:space="preserve">Liberty </w:t>
      </w:r>
      <w:proofErr w:type="spellStart"/>
      <w:r w:rsidR="00E428E3">
        <w:rPr>
          <w:rFonts w:ascii="Calibri" w:hAnsi="Calibri" w:cs="Calibri"/>
          <w:bCs/>
          <w:sz w:val="24"/>
        </w:rPr>
        <w:t>Thrybergh</w:t>
      </w:r>
      <w:proofErr w:type="spellEnd"/>
      <w:r w:rsidR="00E428E3">
        <w:rPr>
          <w:rFonts w:ascii="Calibri" w:hAnsi="Calibri" w:cs="Calibri"/>
          <w:bCs/>
          <w:sz w:val="24"/>
        </w:rPr>
        <w:t xml:space="preserve"> Rod Mill at Rotherham, and o</w:t>
      </w:r>
      <w:r>
        <w:rPr>
          <w:rFonts w:ascii="Calibri" w:hAnsi="Calibri" w:cs="Calibri"/>
          <w:bCs/>
          <w:sz w:val="24"/>
        </w:rPr>
        <w:t>n the steelmaking asset at Liberty Rotherham. This reduction of volume would damage the viability of other steel products, such as 13. Rebar</w:t>
      </w:r>
      <w:r w:rsidR="000A1DE2">
        <w:rPr>
          <w:rFonts w:ascii="Calibri" w:hAnsi="Calibri" w:cs="Calibri"/>
          <w:bCs/>
          <w:sz w:val="24"/>
        </w:rPr>
        <w:t>,</w:t>
      </w:r>
      <w:r>
        <w:rPr>
          <w:rFonts w:ascii="Calibri" w:hAnsi="Calibri" w:cs="Calibri"/>
          <w:bCs/>
          <w:sz w:val="24"/>
        </w:rPr>
        <w:t xml:space="preserve"> 1</w:t>
      </w:r>
      <w:r w:rsidR="00E428E3">
        <w:rPr>
          <w:rFonts w:ascii="Calibri" w:hAnsi="Calibri" w:cs="Calibri"/>
          <w:bCs/>
          <w:sz w:val="24"/>
        </w:rPr>
        <w:t>2</w:t>
      </w:r>
      <w:r>
        <w:rPr>
          <w:rFonts w:ascii="Calibri" w:hAnsi="Calibri" w:cs="Calibri"/>
          <w:bCs/>
          <w:sz w:val="24"/>
        </w:rPr>
        <w:t xml:space="preserve">. </w:t>
      </w:r>
      <w:proofErr w:type="gramStart"/>
      <w:r w:rsidR="00E428E3" w:rsidRPr="00E428E3">
        <w:rPr>
          <w:rFonts w:ascii="Calibri" w:hAnsi="Calibri" w:cs="Calibri"/>
          <w:bCs/>
          <w:sz w:val="24"/>
        </w:rPr>
        <w:t>Non Alloy</w:t>
      </w:r>
      <w:proofErr w:type="gramEnd"/>
      <w:r w:rsidR="00E428E3" w:rsidRPr="00E428E3">
        <w:rPr>
          <w:rFonts w:ascii="Calibri" w:hAnsi="Calibri" w:cs="Calibri"/>
          <w:bCs/>
          <w:sz w:val="24"/>
        </w:rPr>
        <w:t xml:space="preserve"> and Other Alloy Merchant Bars and Light Sections</w:t>
      </w:r>
      <w:r>
        <w:rPr>
          <w:rFonts w:ascii="Calibri" w:hAnsi="Calibri" w:cs="Calibri"/>
          <w:bCs/>
          <w:sz w:val="24"/>
        </w:rPr>
        <w:t xml:space="preserve">, </w:t>
      </w:r>
      <w:r w:rsidR="00CA4C1A">
        <w:rPr>
          <w:rFonts w:ascii="Calibri" w:hAnsi="Calibri" w:cs="Calibri"/>
          <w:bCs/>
          <w:sz w:val="24"/>
        </w:rPr>
        <w:t xml:space="preserve">14 </w:t>
      </w:r>
      <w:r w:rsidR="00CA4C1A" w:rsidRPr="00CA4C1A">
        <w:rPr>
          <w:rFonts w:ascii="Calibri" w:hAnsi="Calibri" w:cs="Calibri"/>
          <w:bCs/>
          <w:sz w:val="24"/>
        </w:rPr>
        <w:t xml:space="preserve">Stainless Bars and Light Sections </w:t>
      </w:r>
      <w:r w:rsidR="000A1DE2">
        <w:rPr>
          <w:rFonts w:ascii="Calibri" w:hAnsi="Calibri" w:cs="Calibri"/>
          <w:bCs/>
          <w:sz w:val="24"/>
        </w:rPr>
        <w:t xml:space="preserve">and </w:t>
      </w:r>
      <w:r w:rsidR="00B61B21">
        <w:rPr>
          <w:rFonts w:ascii="Calibri" w:hAnsi="Calibri" w:cs="Calibri"/>
          <w:bCs/>
          <w:sz w:val="24"/>
        </w:rPr>
        <w:t>16</w:t>
      </w:r>
      <w:r w:rsidR="000A1DE2">
        <w:rPr>
          <w:rFonts w:ascii="Calibri" w:hAnsi="Calibri" w:cs="Calibri"/>
          <w:bCs/>
          <w:sz w:val="24"/>
        </w:rPr>
        <w:t xml:space="preserve">. </w:t>
      </w:r>
      <w:r w:rsidR="00B61B21" w:rsidRPr="00B61B21">
        <w:rPr>
          <w:rFonts w:ascii="Calibri" w:hAnsi="Calibri" w:cs="Calibri"/>
          <w:bCs/>
          <w:sz w:val="24"/>
        </w:rPr>
        <w:t xml:space="preserve">Non Alloy and Other Alloy Wire Rod </w:t>
      </w:r>
      <w:r>
        <w:rPr>
          <w:rFonts w:ascii="Calibri" w:hAnsi="Calibri" w:cs="Calibri"/>
          <w:bCs/>
          <w:sz w:val="24"/>
        </w:rPr>
        <w:t>which are made on the sa</w:t>
      </w:r>
      <w:r w:rsidR="00B61B21">
        <w:rPr>
          <w:rFonts w:ascii="Calibri" w:hAnsi="Calibri" w:cs="Calibri"/>
          <w:bCs/>
          <w:sz w:val="24"/>
        </w:rPr>
        <w:t>m</w:t>
      </w:r>
      <w:r>
        <w:rPr>
          <w:rFonts w:ascii="Calibri" w:hAnsi="Calibri" w:cs="Calibri"/>
          <w:bCs/>
          <w:sz w:val="24"/>
        </w:rPr>
        <w:t>e facility.</w:t>
      </w:r>
    </w:p>
    <w:p w14:paraId="412959FA" w14:textId="77777777" w:rsidR="00CA45C2" w:rsidRPr="006003B5" w:rsidRDefault="00CA45C2">
      <w:pPr>
        <w:rPr>
          <w:rFonts w:ascii="Calibri" w:hAnsi="Calibri" w:cs="Calibri"/>
          <w:bCs/>
          <w:sz w:val="24"/>
        </w:rPr>
      </w:pPr>
    </w:p>
    <w:p w14:paraId="1FC55139" w14:textId="03686432" w:rsidR="00A80C35" w:rsidRPr="006003B5" w:rsidRDefault="00A80C35">
      <w:pPr>
        <w:rPr>
          <w:rFonts w:ascii="Calibri" w:hAnsi="Calibri" w:cs="Calibri"/>
          <w:b/>
          <w:bCs/>
          <w:sz w:val="24"/>
        </w:rPr>
      </w:pPr>
      <w:r w:rsidRPr="006003B5">
        <w:rPr>
          <w:rFonts w:ascii="Calibri" w:hAnsi="Calibri" w:cs="Calibri"/>
          <w:b/>
          <w:bCs/>
          <w:sz w:val="24"/>
        </w:rPr>
        <w:t>Period of Investigation POI</w:t>
      </w:r>
    </w:p>
    <w:p w14:paraId="6468A1CB" w14:textId="2071D00B" w:rsidR="00E47262" w:rsidRPr="006003B5" w:rsidRDefault="00A80C35">
      <w:pPr>
        <w:rPr>
          <w:rFonts w:ascii="Calibri" w:hAnsi="Calibri" w:cs="Calibri"/>
          <w:bCs/>
          <w:sz w:val="24"/>
        </w:rPr>
      </w:pPr>
      <w:r w:rsidRPr="006003B5">
        <w:rPr>
          <w:rFonts w:ascii="Calibri" w:hAnsi="Calibri" w:cs="Calibri"/>
          <w:bCs/>
          <w:sz w:val="24"/>
        </w:rPr>
        <w:t xml:space="preserve">The EU and subsequent UK safeguards were initiated to address the distortion of product flows due to the US 232 tariffs. </w:t>
      </w:r>
      <w:r w:rsidR="00A641E7" w:rsidRPr="006003B5">
        <w:rPr>
          <w:rFonts w:ascii="Calibri" w:hAnsi="Calibri" w:cs="Calibri"/>
          <w:bCs/>
          <w:sz w:val="24"/>
        </w:rPr>
        <w:t>The POI considers the time before the implementation of section 232, so cannot be relied of to assess product flows after 2017. Likewise</w:t>
      </w:r>
      <w:r w:rsidR="006A6C0A" w:rsidRPr="006003B5">
        <w:rPr>
          <w:rFonts w:ascii="Calibri" w:hAnsi="Calibri" w:cs="Calibri"/>
          <w:bCs/>
          <w:sz w:val="24"/>
        </w:rPr>
        <w:t>,</w:t>
      </w:r>
      <w:r w:rsidR="00A641E7" w:rsidRPr="006003B5">
        <w:rPr>
          <w:rFonts w:ascii="Calibri" w:hAnsi="Calibri" w:cs="Calibri"/>
          <w:bCs/>
          <w:sz w:val="24"/>
        </w:rPr>
        <w:t xml:space="preserve"> product flows after 2017 reflect the impact of safeguard measures</w:t>
      </w:r>
      <w:r w:rsidR="006A6C0A" w:rsidRPr="006003B5">
        <w:rPr>
          <w:rFonts w:ascii="Calibri" w:hAnsi="Calibri" w:cs="Calibri"/>
          <w:bCs/>
          <w:sz w:val="24"/>
        </w:rPr>
        <w:t xml:space="preserve">. </w:t>
      </w:r>
      <w:r w:rsidR="00D83E25" w:rsidRPr="006003B5">
        <w:rPr>
          <w:rFonts w:ascii="Calibri" w:hAnsi="Calibri" w:cs="Calibri"/>
          <w:bCs/>
          <w:sz w:val="24"/>
        </w:rPr>
        <w:t xml:space="preserve">What is clear, reviewing third country flows into the EU and UK, is that there are still significant surges and distortions of product flow </w:t>
      </w:r>
      <w:proofErr w:type="gramStart"/>
      <w:r w:rsidR="00D83E25" w:rsidRPr="006003B5">
        <w:rPr>
          <w:rFonts w:ascii="Calibri" w:hAnsi="Calibri" w:cs="Calibri"/>
          <w:bCs/>
          <w:sz w:val="24"/>
        </w:rPr>
        <w:t>e.g.</w:t>
      </w:r>
      <w:proofErr w:type="gramEnd"/>
      <w:r w:rsidR="00D83E25" w:rsidRPr="006003B5">
        <w:rPr>
          <w:rFonts w:ascii="Calibri" w:hAnsi="Calibri" w:cs="Calibri"/>
          <w:bCs/>
          <w:sz w:val="24"/>
        </w:rPr>
        <w:t xml:space="preserve"> April 2021 import surges of HRC and M</w:t>
      </w:r>
      <w:r w:rsidR="00A23327">
        <w:rPr>
          <w:rFonts w:ascii="Calibri" w:hAnsi="Calibri" w:cs="Calibri"/>
          <w:bCs/>
          <w:sz w:val="24"/>
        </w:rPr>
        <w:t>erchant Bar</w:t>
      </w:r>
      <w:r w:rsidR="00D83E25" w:rsidRPr="006003B5">
        <w:rPr>
          <w:rFonts w:ascii="Calibri" w:hAnsi="Calibri" w:cs="Calibri"/>
          <w:bCs/>
          <w:sz w:val="24"/>
        </w:rPr>
        <w:t xml:space="preserve"> from India and Turkey respectively. It is also clear that historical product flows are not good indicators of future flows, since in the specific examples above, product flows in the preceding 2 years had been at quota levels and then these jumped by a factor a 10 and 5 </w:t>
      </w:r>
      <w:r w:rsidR="00D02F83" w:rsidRPr="006003B5">
        <w:rPr>
          <w:rFonts w:ascii="Calibri" w:hAnsi="Calibri" w:cs="Calibri"/>
          <w:bCs/>
          <w:sz w:val="24"/>
        </w:rPr>
        <w:t>respectively</w:t>
      </w:r>
      <w:r w:rsidR="00D83E25" w:rsidRPr="006003B5">
        <w:rPr>
          <w:rFonts w:ascii="Calibri" w:hAnsi="Calibri" w:cs="Calibri"/>
          <w:bCs/>
          <w:sz w:val="24"/>
        </w:rPr>
        <w:t>.</w:t>
      </w:r>
    </w:p>
    <w:p w14:paraId="7BFC4779" w14:textId="22E2E24F" w:rsidR="005742D0" w:rsidRPr="006003B5" w:rsidRDefault="005742D0">
      <w:pPr>
        <w:rPr>
          <w:rFonts w:ascii="Calibri" w:hAnsi="Calibri" w:cs="Calibri"/>
          <w:bCs/>
          <w:sz w:val="24"/>
        </w:rPr>
      </w:pPr>
    </w:p>
    <w:p w14:paraId="1B5F4181" w14:textId="4817641B" w:rsidR="005742D0" w:rsidRDefault="005742D0">
      <w:pPr>
        <w:rPr>
          <w:rFonts w:ascii="Calibri" w:hAnsi="Calibri" w:cs="Calibri"/>
          <w:bCs/>
          <w:sz w:val="24"/>
        </w:rPr>
      </w:pPr>
      <w:r w:rsidRPr="006003B5">
        <w:rPr>
          <w:rFonts w:ascii="Calibri" w:hAnsi="Calibri" w:cs="Calibri"/>
          <w:bCs/>
          <w:sz w:val="24"/>
        </w:rPr>
        <w:t xml:space="preserve">Below are the latest EU and UK safeguard import levels as published by HMRC. These clearly show that for imports into the EU several countries are </w:t>
      </w:r>
      <w:r w:rsidR="00B61B21">
        <w:rPr>
          <w:rFonts w:ascii="Calibri" w:hAnsi="Calibri" w:cs="Calibri"/>
          <w:bCs/>
          <w:sz w:val="24"/>
        </w:rPr>
        <w:t xml:space="preserve">at or approaching </w:t>
      </w:r>
      <w:r w:rsidRPr="006003B5">
        <w:rPr>
          <w:rFonts w:ascii="Calibri" w:hAnsi="Calibri" w:cs="Calibri"/>
          <w:bCs/>
          <w:sz w:val="24"/>
        </w:rPr>
        <w:t xml:space="preserve">their maximum quota level. They also show the same for the UK. </w:t>
      </w:r>
      <w:proofErr w:type="gramStart"/>
      <w:r w:rsidRPr="006003B5">
        <w:rPr>
          <w:rFonts w:ascii="Calibri" w:hAnsi="Calibri" w:cs="Calibri"/>
          <w:bCs/>
          <w:sz w:val="24"/>
        </w:rPr>
        <w:t>It is clear that without</w:t>
      </w:r>
      <w:proofErr w:type="gramEnd"/>
      <w:r w:rsidRPr="006003B5">
        <w:rPr>
          <w:rFonts w:ascii="Calibri" w:hAnsi="Calibri" w:cs="Calibri"/>
          <w:bCs/>
          <w:sz w:val="24"/>
        </w:rPr>
        <w:t xml:space="preserve"> safeguarding then the countries already hitting their UK safeguarding quota will be in a position to </w:t>
      </w:r>
      <w:r w:rsidR="00FF2ABA" w:rsidRPr="006003B5">
        <w:rPr>
          <w:rFonts w:ascii="Calibri" w:hAnsi="Calibri" w:cs="Calibri"/>
          <w:bCs/>
          <w:sz w:val="24"/>
        </w:rPr>
        <w:t>just keep dumping steel into the UK, particularly, as is the case, where these same countries are restricted from further imports into the EU by the safeguarding levels that they have retained.</w:t>
      </w:r>
      <w:r w:rsidR="00B61B21">
        <w:rPr>
          <w:rFonts w:ascii="Calibri" w:hAnsi="Calibri" w:cs="Calibri"/>
          <w:bCs/>
          <w:sz w:val="24"/>
        </w:rPr>
        <w:t xml:space="preserve"> Often these same countries </w:t>
      </w:r>
      <w:proofErr w:type="gramStart"/>
      <w:r w:rsidR="00B61B21">
        <w:rPr>
          <w:rFonts w:ascii="Calibri" w:hAnsi="Calibri" w:cs="Calibri"/>
          <w:bCs/>
          <w:sz w:val="24"/>
        </w:rPr>
        <w:t>e.g.</w:t>
      </w:r>
      <w:proofErr w:type="gramEnd"/>
      <w:r w:rsidR="00B61B21">
        <w:rPr>
          <w:rFonts w:ascii="Calibri" w:hAnsi="Calibri" w:cs="Calibri"/>
          <w:bCs/>
          <w:sz w:val="24"/>
        </w:rPr>
        <w:t xml:space="preserve"> Turkey, (which is included in the other category in the EU data), are at 100% of their UK quota. Removal of the UK quota would mean that sales would be diverted from the EU which are constrained by EU safeguards, to the UK which would be unprotected.</w:t>
      </w:r>
    </w:p>
    <w:p w14:paraId="58F6D8C7" w14:textId="10E72243" w:rsidR="00B61B21" w:rsidRDefault="00B61B21">
      <w:pPr>
        <w:rPr>
          <w:rFonts w:ascii="Calibri" w:hAnsi="Calibri" w:cs="Calibri"/>
          <w:bCs/>
          <w:sz w:val="24"/>
        </w:rPr>
      </w:pPr>
    </w:p>
    <w:p w14:paraId="0E1A2143" w14:textId="35D451E6" w:rsidR="00B61B21" w:rsidRDefault="00B61B21">
      <w:pPr>
        <w:rPr>
          <w:rFonts w:ascii="Calibri" w:hAnsi="Calibri" w:cs="Calibri"/>
          <w:bCs/>
          <w:sz w:val="24"/>
        </w:rPr>
      </w:pPr>
      <w:r w:rsidRPr="00B61B21">
        <w:rPr>
          <w:noProof/>
        </w:rPr>
        <w:lastRenderedPageBreak/>
        <w:drawing>
          <wp:inline distT="0" distB="0" distL="0" distR="0" wp14:anchorId="26BD2CA7" wp14:editId="2D51CA8D">
            <wp:extent cx="5008880" cy="3943985"/>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8880" cy="3943985"/>
                    </a:xfrm>
                    <a:prstGeom prst="rect">
                      <a:avLst/>
                    </a:prstGeom>
                    <a:noFill/>
                    <a:ln>
                      <a:noFill/>
                    </a:ln>
                  </pic:spPr>
                </pic:pic>
              </a:graphicData>
            </a:graphic>
          </wp:inline>
        </w:drawing>
      </w:r>
    </w:p>
    <w:p w14:paraId="3ABDB0DA" w14:textId="1A366EF8" w:rsidR="003A2987" w:rsidRDefault="003A2987">
      <w:pPr>
        <w:rPr>
          <w:rFonts w:ascii="Calibri" w:hAnsi="Calibri" w:cs="Calibri"/>
          <w:bCs/>
          <w:sz w:val="24"/>
        </w:rPr>
      </w:pPr>
    </w:p>
    <w:p w14:paraId="548B3C4A" w14:textId="7C94BB85" w:rsidR="009A3F1B" w:rsidRPr="006003B5" w:rsidRDefault="009A3F1B">
      <w:pPr>
        <w:rPr>
          <w:rFonts w:ascii="Calibri" w:hAnsi="Calibri" w:cs="Calibri"/>
          <w:bCs/>
          <w:sz w:val="24"/>
        </w:rPr>
      </w:pPr>
    </w:p>
    <w:p w14:paraId="77A11300" w14:textId="4C8AE557" w:rsidR="00BC21B2" w:rsidRPr="006003B5" w:rsidRDefault="00BC21B2">
      <w:pPr>
        <w:rPr>
          <w:rFonts w:ascii="Calibri" w:hAnsi="Calibri" w:cs="Calibri"/>
          <w:sz w:val="24"/>
        </w:rPr>
      </w:pPr>
      <w:r w:rsidRPr="006003B5">
        <w:rPr>
          <w:rFonts w:ascii="Calibri" w:hAnsi="Calibri" w:cs="Calibri"/>
          <w:sz w:val="24"/>
        </w:rPr>
        <w:t xml:space="preserve">I confirm that the data provided above is a true and accurate record of the products </w:t>
      </w:r>
      <w:r w:rsidR="00203BDC" w:rsidRPr="006003B5">
        <w:rPr>
          <w:rFonts w:ascii="Calibri" w:hAnsi="Calibri" w:cs="Calibri"/>
          <w:sz w:val="24"/>
        </w:rPr>
        <w:t xml:space="preserve">and volumes produced by my company in the UK. </w:t>
      </w:r>
    </w:p>
    <w:p w14:paraId="3F765373" w14:textId="77777777" w:rsidR="00D02F83" w:rsidRPr="006003B5" w:rsidRDefault="00D02F83">
      <w:pPr>
        <w:rPr>
          <w:rFonts w:ascii="Calibri" w:hAnsi="Calibri" w:cs="Calibri"/>
          <w:sz w:val="24"/>
        </w:rPr>
      </w:pPr>
    </w:p>
    <w:p w14:paraId="0E1D8488" w14:textId="0250DDDD" w:rsidR="00203BDC" w:rsidRPr="006003B5" w:rsidRDefault="00203BDC">
      <w:pPr>
        <w:rPr>
          <w:rFonts w:ascii="Calibri" w:hAnsi="Calibri" w:cs="Calibri"/>
          <w:sz w:val="24"/>
        </w:rPr>
      </w:pPr>
      <w:r w:rsidRPr="006003B5">
        <w:rPr>
          <w:rFonts w:ascii="Calibri" w:hAnsi="Calibri" w:cs="Calibri"/>
          <w:sz w:val="24"/>
        </w:rPr>
        <w:t xml:space="preserve">Yours Faithfully, </w:t>
      </w:r>
    </w:p>
    <w:p w14:paraId="19C0C03F" w14:textId="77777777" w:rsidR="00D02F83" w:rsidRPr="006003B5" w:rsidRDefault="00D02F83" w:rsidP="00D02F83">
      <w:pPr>
        <w:rPr>
          <w:rFonts w:ascii="Calibri" w:hAnsi="Calibri" w:cs="Calibri"/>
          <w:sz w:val="24"/>
        </w:rPr>
      </w:pPr>
    </w:p>
    <w:p w14:paraId="129BF633" w14:textId="5EF6FE93" w:rsidR="00D02F83" w:rsidRPr="006003B5" w:rsidRDefault="00D02F83" w:rsidP="00D02F83">
      <w:pPr>
        <w:rPr>
          <w:rFonts w:ascii="Calibri" w:hAnsi="Calibri" w:cs="Calibri"/>
          <w:sz w:val="24"/>
        </w:rPr>
      </w:pPr>
    </w:p>
    <w:p w14:paraId="0F1AF3BC" w14:textId="18052F05" w:rsidR="00203BDC" w:rsidRPr="006003B5" w:rsidRDefault="00203BDC">
      <w:pPr>
        <w:rPr>
          <w:rFonts w:ascii="Calibri" w:hAnsi="Calibri" w:cs="Calibri"/>
          <w:sz w:val="24"/>
        </w:rPr>
      </w:pPr>
    </w:p>
    <w:p w14:paraId="14ADC4DC" w14:textId="77777777" w:rsidR="00203BDC" w:rsidRPr="006003B5" w:rsidRDefault="00203BDC">
      <w:pPr>
        <w:rPr>
          <w:rFonts w:ascii="Calibri" w:hAnsi="Calibri" w:cs="Calibri"/>
          <w:sz w:val="24"/>
        </w:rPr>
      </w:pPr>
    </w:p>
    <w:sectPr w:rsidR="00203BDC" w:rsidRPr="006003B5">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91274" w14:textId="77777777" w:rsidR="00055094" w:rsidRDefault="00055094" w:rsidP="00055094">
      <w:r>
        <w:separator/>
      </w:r>
    </w:p>
  </w:endnote>
  <w:endnote w:type="continuationSeparator" w:id="0">
    <w:p w14:paraId="2D577C1F" w14:textId="77777777" w:rsidR="00055094" w:rsidRDefault="00055094" w:rsidP="0005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BADE" w14:textId="77777777" w:rsidR="00055094" w:rsidRDefault="00055094" w:rsidP="00055094">
      <w:r>
        <w:separator/>
      </w:r>
    </w:p>
  </w:footnote>
  <w:footnote w:type="continuationSeparator" w:id="0">
    <w:p w14:paraId="58749206" w14:textId="77777777" w:rsidR="00055094" w:rsidRDefault="00055094" w:rsidP="0005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CAF028AEF1694A6D895CC6C6BDBF93F5"/>
      </w:placeholder>
      <w:temporary/>
      <w:showingPlcHdr/>
      <w15:appearance w15:val="hidden"/>
    </w:sdtPr>
    <w:sdtEndPr/>
    <w:sdtContent>
      <w:p w14:paraId="3EA54A89" w14:textId="77777777" w:rsidR="005039A3" w:rsidRDefault="005039A3">
        <w:pPr>
          <w:pStyle w:val="Header"/>
        </w:pPr>
        <w:r>
          <w:t>[Type here]</w:t>
        </w:r>
      </w:p>
    </w:sdtContent>
  </w:sdt>
  <w:p w14:paraId="04C54AD8" w14:textId="77777777" w:rsidR="005039A3" w:rsidRDefault="0050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D75D" w14:textId="65FDE6EC" w:rsidR="00055094" w:rsidRPr="001278DC" w:rsidRDefault="001278DC" w:rsidP="001278DC">
    <w:pPr>
      <w:pStyle w:val="Header"/>
      <w:jc w:val="right"/>
    </w:pPr>
    <w:r>
      <w:rPr>
        <w:noProof/>
      </w:rPr>
      <w:drawing>
        <wp:inline distT="0" distB="0" distL="0" distR="0" wp14:anchorId="08D3F728" wp14:editId="230DDDAC">
          <wp:extent cx="2182495" cy="72517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186"/>
    <w:multiLevelType w:val="multilevel"/>
    <w:tmpl w:val="9174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36"/>
    <w:rsid w:val="000173EC"/>
    <w:rsid w:val="00055094"/>
    <w:rsid w:val="00080B1E"/>
    <w:rsid w:val="000A1AED"/>
    <w:rsid w:val="000A1DE2"/>
    <w:rsid w:val="000C0674"/>
    <w:rsid w:val="0012751F"/>
    <w:rsid w:val="0012761E"/>
    <w:rsid w:val="001278DC"/>
    <w:rsid w:val="00133F4C"/>
    <w:rsid w:val="0017432B"/>
    <w:rsid w:val="001770DB"/>
    <w:rsid w:val="001979E3"/>
    <w:rsid w:val="001D0705"/>
    <w:rsid w:val="001F0072"/>
    <w:rsid w:val="00203BDC"/>
    <w:rsid w:val="00231BF6"/>
    <w:rsid w:val="002569CC"/>
    <w:rsid w:val="00261847"/>
    <w:rsid w:val="0026560B"/>
    <w:rsid w:val="00270CB0"/>
    <w:rsid w:val="00277B82"/>
    <w:rsid w:val="00291CCF"/>
    <w:rsid w:val="00295485"/>
    <w:rsid w:val="002A197E"/>
    <w:rsid w:val="002A2C56"/>
    <w:rsid w:val="002B2F43"/>
    <w:rsid w:val="002D096D"/>
    <w:rsid w:val="002E2ED9"/>
    <w:rsid w:val="003010BF"/>
    <w:rsid w:val="003233E2"/>
    <w:rsid w:val="003A2987"/>
    <w:rsid w:val="003E5FD2"/>
    <w:rsid w:val="00462A9B"/>
    <w:rsid w:val="0047098A"/>
    <w:rsid w:val="004F00BF"/>
    <w:rsid w:val="005039A3"/>
    <w:rsid w:val="005057AB"/>
    <w:rsid w:val="00522EF9"/>
    <w:rsid w:val="0052306F"/>
    <w:rsid w:val="00541471"/>
    <w:rsid w:val="005427A8"/>
    <w:rsid w:val="0056299C"/>
    <w:rsid w:val="005742D0"/>
    <w:rsid w:val="00577A04"/>
    <w:rsid w:val="005D0FB3"/>
    <w:rsid w:val="005D597A"/>
    <w:rsid w:val="005F5E80"/>
    <w:rsid w:val="006003B5"/>
    <w:rsid w:val="00632338"/>
    <w:rsid w:val="00697370"/>
    <w:rsid w:val="006A29BA"/>
    <w:rsid w:val="006A6C0A"/>
    <w:rsid w:val="00760722"/>
    <w:rsid w:val="00765F8E"/>
    <w:rsid w:val="007A40D8"/>
    <w:rsid w:val="0083119A"/>
    <w:rsid w:val="00845AFA"/>
    <w:rsid w:val="0085271B"/>
    <w:rsid w:val="00860C06"/>
    <w:rsid w:val="0086237C"/>
    <w:rsid w:val="008C16A9"/>
    <w:rsid w:val="008E550D"/>
    <w:rsid w:val="008F5BEE"/>
    <w:rsid w:val="00901A3F"/>
    <w:rsid w:val="009057EC"/>
    <w:rsid w:val="00945E1B"/>
    <w:rsid w:val="009658F3"/>
    <w:rsid w:val="00997A36"/>
    <w:rsid w:val="009A3F1B"/>
    <w:rsid w:val="009D7E36"/>
    <w:rsid w:val="00A15FF4"/>
    <w:rsid w:val="00A23327"/>
    <w:rsid w:val="00A641E7"/>
    <w:rsid w:val="00A80C35"/>
    <w:rsid w:val="00AA76DA"/>
    <w:rsid w:val="00B07858"/>
    <w:rsid w:val="00B25C8C"/>
    <w:rsid w:val="00B576F5"/>
    <w:rsid w:val="00B61B21"/>
    <w:rsid w:val="00B62847"/>
    <w:rsid w:val="00BC21B2"/>
    <w:rsid w:val="00BD1AFE"/>
    <w:rsid w:val="00BF2B9D"/>
    <w:rsid w:val="00C23E66"/>
    <w:rsid w:val="00C2749A"/>
    <w:rsid w:val="00CA45C2"/>
    <w:rsid w:val="00CA4C1A"/>
    <w:rsid w:val="00D02F83"/>
    <w:rsid w:val="00D13729"/>
    <w:rsid w:val="00D15C1E"/>
    <w:rsid w:val="00D17841"/>
    <w:rsid w:val="00D421FA"/>
    <w:rsid w:val="00D54D57"/>
    <w:rsid w:val="00D65C81"/>
    <w:rsid w:val="00D70D93"/>
    <w:rsid w:val="00D75288"/>
    <w:rsid w:val="00D83E25"/>
    <w:rsid w:val="00D96E27"/>
    <w:rsid w:val="00DC1B41"/>
    <w:rsid w:val="00DC338C"/>
    <w:rsid w:val="00DE522A"/>
    <w:rsid w:val="00DF7DB1"/>
    <w:rsid w:val="00E428E3"/>
    <w:rsid w:val="00E4694F"/>
    <w:rsid w:val="00E47262"/>
    <w:rsid w:val="00EC6B62"/>
    <w:rsid w:val="00F4637F"/>
    <w:rsid w:val="00FD1E12"/>
    <w:rsid w:val="00FD59C5"/>
    <w:rsid w:val="00FE08E4"/>
    <w:rsid w:val="00FF2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50871B"/>
  <w15:docId w15:val="{6D7C0AC4-EA25-4261-B4F6-94E83AB7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ke UK"/>
    <w:qFormat/>
    <w:rsid w:val="00133F4C"/>
    <w:pPr>
      <w:spacing w:after="0" w:line="240" w:lineRule="auto"/>
    </w:pPr>
    <w:rPr>
      <w:rFonts w:ascii="Arial"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094"/>
    <w:pPr>
      <w:tabs>
        <w:tab w:val="center" w:pos="4513"/>
        <w:tab w:val="right" w:pos="9026"/>
      </w:tabs>
    </w:pPr>
    <w:rPr>
      <w:rFonts w:asciiTheme="minorHAnsi" w:hAnsiTheme="minorHAnsi"/>
      <w:sz w:val="22"/>
      <w:szCs w:val="22"/>
    </w:rPr>
  </w:style>
  <w:style w:type="character" w:customStyle="1" w:styleId="HeaderChar">
    <w:name w:val="Header Char"/>
    <w:basedOn w:val="DefaultParagraphFont"/>
    <w:link w:val="Header"/>
    <w:uiPriority w:val="99"/>
    <w:rsid w:val="00055094"/>
  </w:style>
  <w:style w:type="paragraph" w:styleId="Footer">
    <w:name w:val="footer"/>
    <w:basedOn w:val="Normal"/>
    <w:link w:val="FooterChar"/>
    <w:uiPriority w:val="99"/>
    <w:unhideWhenUsed/>
    <w:rsid w:val="00055094"/>
    <w:pPr>
      <w:tabs>
        <w:tab w:val="center" w:pos="4513"/>
        <w:tab w:val="right" w:pos="9026"/>
      </w:tabs>
    </w:pPr>
    <w:rPr>
      <w:rFonts w:asciiTheme="minorHAnsi" w:hAnsiTheme="minorHAnsi"/>
      <w:sz w:val="22"/>
      <w:szCs w:val="22"/>
    </w:rPr>
  </w:style>
  <w:style w:type="character" w:customStyle="1" w:styleId="FooterChar">
    <w:name w:val="Footer Char"/>
    <w:basedOn w:val="DefaultParagraphFont"/>
    <w:link w:val="Footer"/>
    <w:uiPriority w:val="99"/>
    <w:rsid w:val="00055094"/>
  </w:style>
  <w:style w:type="table" w:styleId="TableGrid">
    <w:name w:val="Table Grid"/>
    <w:basedOn w:val="TableNormal"/>
    <w:uiPriority w:val="39"/>
    <w:rsid w:val="0008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7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8365">
      <w:bodyDiv w:val="1"/>
      <w:marLeft w:val="0"/>
      <w:marRight w:val="0"/>
      <w:marTop w:val="0"/>
      <w:marBottom w:val="0"/>
      <w:divBdr>
        <w:top w:val="none" w:sz="0" w:space="0" w:color="auto"/>
        <w:left w:val="none" w:sz="0" w:space="0" w:color="auto"/>
        <w:bottom w:val="none" w:sz="0" w:space="0" w:color="auto"/>
        <w:right w:val="none" w:sz="0" w:space="0" w:color="auto"/>
      </w:divBdr>
    </w:div>
    <w:div w:id="113866577">
      <w:bodyDiv w:val="1"/>
      <w:marLeft w:val="0"/>
      <w:marRight w:val="0"/>
      <w:marTop w:val="0"/>
      <w:marBottom w:val="0"/>
      <w:divBdr>
        <w:top w:val="none" w:sz="0" w:space="0" w:color="auto"/>
        <w:left w:val="none" w:sz="0" w:space="0" w:color="auto"/>
        <w:bottom w:val="none" w:sz="0" w:space="0" w:color="auto"/>
        <w:right w:val="none" w:sz="0" w:space="0" w:color="auto"/>
      </w:divBdr>
    </w:div>
    <w:div w:id="608121756">
      <w:bodyDiv w:val="1"/>
      <w:marLeft w:val="0"/>
      <w:marRight w:val="0"/>
      <w:marTop w:val="0"/>
      <w:marBottom w:val="0"/>
      <w:divBdr>
        <w:top w:val="none" w:sz="0" w:space="0" w:color="auto"/>
        <w:left w:val="none" w:sz="0" w:space="0" w:color="auto"/>
        <w:bottom w:val="none" w:sz="0" w:space="0" w:color="auto"/>
        <w:right w:val="none" w:sz="0" w:space="0" w:color="auto"/>
      </w:divBdr>
    </w:div>
    <w:div w:id="626088662">
      <w:bodyDiv w:val="1"/>
      <w:marLeft w:val="0"/>
      <w:marRight w:val="0"/>
      <w:marTop w:val="0"/>
      <w:marBottom w:val="0"/>
      <w:divBdr>
        <w:top w:val="none" w:sz="0" w:space="0" w:color="auto"/>
        <w:left w:val="none" w:sz="0" w:space="0" w:color="auto"/>
        <w:bottom w:val="none" w:sz="0" w:space="0" w:color="auto"/>
        <w:right w:val="none" w:sz="0" w:space="0" w:color="auto"/>
      </w:divBdr>
    </w:div>
    <w:div w:id="897010721">
      <w:bodyDiv w:val="1"/>
      <w:marLeft w:val="0"/>
      <w:marRight w:val="0"/>
      <w:marTop w:val="0"/>
      <w:marBottom w:val="0"/>
      <w:divBdr>
        <w:top w:val="none" w:sz="0" w:space="0" w:color="auto"/>
        <w:left w:val="none" w:sz="0" w:space="0" w:color="auto"/>
        <w:bottom w:val="none" w:sz="0" w:space="0" w:color="auto"/>
        <w:right w:val="none" w:sz="0" w:space="0" w:color="auto"/>
      </w:divBdr>
    </w:div>
    <w:div w:id="948508942">
      <w:bodyDiv w:val="1"/>
      <w:marLeft w:val="0"/>
      <w:marRight w:val="0"/>
      <w:marTop w:val="0"/>
      <w:marBottom w:val="0"/>
      <w:divBdr>
        <w:top w:val="none" w:sz="0" w:space="0" w:color="auto"/>
        <w:left w:val="none" w:sz="0" w:space="0" w:color="auto"/>
        <w:bottom w:val="none" w:sz="0" w:space="0" w:color="auto"/>
        <w:right w:val="none" w:sz="0" w:space="0" w:color="auto"/>
      </w:divBdr>
    </w:div>
    <w:div w:id="1121460946">
      <w:bodyDiv w:val="1"/>
      <w:marLeft w:val="0"/>
      <w:marRight w:val="0"/>
      <w:marTop w:val="0"/>
      <w:marBottom w:val="0"/>
      <w:divBdr>
        <w:top w:val="none" w:sz="0" w:space="0" w:color="auto"/>
        <w:left w:val="none" w:sz="0" w:space="0" w:color="auto"/>
        <w:bottom w:val="none" w:sz="0" w:space="0" w:color="auto"/>
        <w:right w:val="none" w:sz="0" w:space="0" w:color="auto"/>
      </w:divBdr>
    </w:div>
    <w:div w:id="1155143958">
      <w:bodyDiv w:val="1"/>
      <w:marLeft w:val="0"/>
      <w:marRight w:val="0"/>
      <w:marTop w:val="0"/>
      <w:marBottom w:val="0"/>
      <w:divBdr>
        <w:top w:val="none" w:sz="0" w:space="0" w:color="auto"/>
        <w:left w:val="none" w:sz="0" w:space="0" w:color="auto"/>
        <w:bottom w:val="none" w:sz="0" w:space="0" w:color="auto"/>
        <w:right w:val="none" w:sz="0" w:space="0" w:color="auto"/>
      </w:divBdr>
    </w:div>
    <w:div w:id="1586303731">
      <w:bodyDiv w:val="1"/>
      <w:marLeft w:val="0"/>
      <w:marRight w:val="0"/>
      <w:marTop w:val="0"/>
      <w:marBottom w:val="0"/>
      <w:divBdr>
        <w:top w:val="none" w:sz="0" w:space="0" w:color="auto"/>
        <w:left w:val="none" w:sz="0" w:space="0" w:color="auto"/>
        <w:bottom w:val="none" w:sz="0" w:space="0" w:color="auto"/>
        <w:right w:val="none" w:sz="0" w:space="0" w:color="auto"/>
      </w:divBdr>
    </w:div>
    <w:div w:id="1689060164">
      <w:bodyDiv w:val="1"/>
      <w:marLeft w:val="0"/>
      <w:marRight w:val="0"/>
      <w:marTop w:val="0"/>
      <w:marBottom w:val="0"/>
      <w:divBdr>
        <w:top w:val="none" w:sz="0" w:space="0" w:color="auto"/>
        <w:left w:val="none" w:sz="0" w:space="0" w:color="auto"/>
        <w:bottom w:val="none" w:sz="0" w:space="0" w:color="auto"/>
        <w:right w:val="none" w:sz="0" w:space="0" w:color="auto"/>
      </w:divBdr>
    </w:div>
    <w:div w:id="1798722023">
      <w:bodyDiv w:val="1"/>
      <w:marLeft w:val="0"/>
      <w:marRight w:val="0"/>
      <w:marTop w:val="0"/>
      <w:marBottom w:val="0"/>
      <w:divBdr>
        <w:top w:val="none" w:sz="0" w:space="0" w:color="auto"/>
        <w:left w:val="none" w:sz="0" w:space="0" w:color="auto"/>
        <w:bottom w:val="none" w:sz="0" w:space="0" w:color="auto"/>
        <w:right w:val="none" w:sz="0" w:space="0" w:color="auto"/>
      </w:divBdr>
    </w:div>
    <w:div w:id="1819805132">
      <w:bodyDiv w:val="1"/>
      <w:marLeft w:val="0"/>
      <w:marRight w:val="0"/>
      <w:marTop w:val="0"/>
      <w:marBottom w:val="0"/>
      <w:divBdr>
        <w:top w:val="none" w:sz="0" w:space="0" w:color="auto"/>
        <w:left w:val="none" w:sz="0" w:space="0" w:color="auto"/>
        <w:bottom w:val="none" w:sz="0" w:space="0" w:color="auto"/>
        <w:right w:val="none" w:sz="0" w:space="0" w:color="auto"/>
      </w:divBdr>
    </w:div>
    <w:div w:id="1887179080">
      <w:bodyDiv w:val="1"/>
      <w:marLeft w:val="0"/>
      <w:marRight w:val="0"/>
      <w:marTop w:val="0"/>
      <w:marBottom w:val="0"/>
      <w:divBdr>
        <w:top w:val="none" w:sz="0" w:space="0" w:color="auto"/>
        <w:left w:val="none" w:sz="0" w:space="0" w:color="auto"/>
        <w:bottom w:val="none" w:sz="0" w:space="0" w:color="auto"/>
        <w:right w:val="none" w:sz="0" w:space="0" w:color="auto"/>
      </w:divBdr>
    </w:div>
    <w:div w:id="1905330257">
      <w:bodyDiv w:val="1"/>
      <w:marLeft w:val="0"/>
      <w:marRight w:val="0"/>
      <w:marTop w:val="0"/>
      <w:marBottom w:val="0"/>
      <w:divBdr>
        <w:top w:val="none" w:sz="0" w:space="0" w:color="auto"/>
        <w:left w:val="none" w:sz="0" w:space="0" w:color="auto"/>
        <w:bottom w:val="none" w:sz="0" w:space="0" w:color="auto"/>
        <w:right w:val="none" w:sz="0" w:space="0" w:color="auto"/>
      </w:divBdr>
    </w:div>
    <w:div w:id="2021154776">
      <w:bodyDiv w:val="1"/>
      <w:marLeft w:val="0"/>
      <w:marRight w:val="0"/>
      <w:marTop w:val="0"/>
      <w:marBottom w:val="0"/>
      <w:divBdr>
        <w:top w:val="none" w:sz="0" w:space="0" w:color="auto"/>
        <w:left w:val="none" w:sz="0" w:space="0" w:color="auto"/>
        <w:bottom w:val="none" w:sz="0" w:space="0" w:color="auto"/>
        <w:right w:val="none" w:sz="0" w:space="0" w:color="auto"/>
      </w:divBdr>
    </w:div>
    <w:div w:id="206702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F028AEF1694A6D895CC6C6BDBF93F5"/>
        <w:category>
          <w:name w:val="General"/>
          <w:gallery w:val="placeholder"/>
        </w:category>
        <w:types>
          <w:type w:val="bbPlcHdr"/>
        </w:types>
        <w:behaviors>
          <w:behavior w:val="content"/>
        </w:behaviors>
        <w:guid w:val="{FD981E15-858A-42DE-AFD3-6B5113D74962}"/>
      </w:docPartPr>
      <w:docPartBody>
        <w:p w:rsidR="00817CA6" w:rsidRDefault="00097A65" w:rsidP="00097A65">
          <w:pPr>
            <w:pStyle w:val="CAF028AEF1694A6D895CC6C6BDBF93F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65"/>
    <w:rsid w:val="00097A65"/>
    <w:rsid w:val="00817CA6"/>
    <w:rsid w:val="00DF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F028AEF1694A6D895CC6C6BDBF93F5">
    <w:name w:val="CAF028AEF1694A6D895CC6C6BDBF93F5"/>
    <w:rsid w:val="00097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F5F7151-02BC-462B-B9E8-8CDF62481A0C}">
  <ds:schemaRefs>
    <ds:schemaRef ds:uri="http://schemas.openxmlformats.org/officeDocument/2006/bibliography"/>
  </ds:schemaRefs>
</ds:datastoreItem>
</file>

<file path=customXml/itemProps2.xml><?xml version="1.0" encoding="utf-8"?>
<ds:datastoreItem xmlns:ds="http://schemas.openxmlformats.org/officeDocument/2006/customXml" ds:itemID="{C8B98ABE-0292-4D45-B333-A9D473F9AB65}"/>
</file>

<file path=customXml/itemProps3.xml><?xml version="1.0" encoding="utf-8"?>
<ds:datastoreItem xmlns:ds="http://schemas.openxmlformats.org/officeDocument/2006/customXml" ds:itemID="{CBEF8911-6B70-422B-A703-8A702C4D4987}"/>
</file>

<file path=customXml/itemProps4.xml><?xml version="1.0" encoding="utf-8"?>
<ds:datastoreItem xmlns:ds="http://schemas.openxmlformats.org/officeDocument/2006/customXml" ds:itemID="{0E6DF4BA-B4FF-44E1-8057-8419054145AA}"/>
</file>

<file path=docProps/app.xml><?xml version="1.0" encoding="utf-8"?>
<Properties xmlns="http://schemas.openxmlformats.org/officeDocument/2006/extended-properties" xmlns:vt="http://schemas.openxmlformats.org/officeDocument/2006/docPropsVTypes">
  <Template>Normal</Template>
  <TotalTime>4</TotalTime>
  <Pages>4</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Warren</dc:creator>
  <cp:keywords/>
  <dc:description/>
  <cp:lastModifiedBy>Michael Horan</cp:lastModifiedBy>
  <cp:revision>2</cp:revision>
  <cp:lastPrinted>2021-07-07T07:13:00Z</cp:lastPrinted>
  <dcterms:created xsi:type="dcterms:W3CDTF">2021-12-10T15:16:00Z</dcterms:created>
  <dcterms:modified xsi:type="dcterms:W3CDTF">2021-12-10T15:16:00Z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