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8AD4F" w14:textId="77777777" w:rsidR="004C6D03" w:rsidRDefault="004C6D03" w:rsidP="004C6D03">
      <w:pPr>
        <w:spacing w:after="60"/>
        <w:jc w:val="center"/>
        <w:rPr>
          <w:rFonts w:ascii="Times New Roman" w:hAnsi="Times New Roman"/>
          <w:b/>
          <w:snapToGrid w:val="0"/>
          <w:u w:val="single"/>
          <w:lang w:eastAsia="en-US"/>
        </w:rPr>
      </w:pPr>
      <w:r>
        <w:rPr>
          <w:rFonts w:ascii="Times New Roman" w:hAnsi="Times New Roman"/>
          <w:b/>
          <w:snapToGrid w:val="0"/>
          <w:u w:val="single"/>
          <w:lang w:eastAsia="en-US"/>
        </w:rPr>
        <w:t xml:space="preserve">Reduced </w:t>
      </w:r>
      <w:r w:rsidRPr="007B0263">
        <w:rPr>
          <w:rFonts w:ascii="Times New Roman" w:hAnsi="Times New Roman"/>
          <w:b/>
          <w:snapToGrid w:val="0"/>
          <w:u w:val="single"/>
          <w:lang w:eastAsia="en-US"/>
        </w:rPr>
        <w:t>PCN</w:t>
      </w:r>
    </w:p>
    <w:p w14:paraId="03BD7E61" w14:textId="77777777" w:rsidR="004C6D03" w:rsidRDefault="004C6D03" w:rsidP="004C6D03">
      <w:pPr>
        <w:spacing w:after="60"/>
        <w:rPr>
          <w:rFonts w:ascii="Times New Roman" w:hAnsi="Times New Roman"/>
          <w:b/>
          <w:snapToGrid w:val="0"/>
          <w:u w:val="single"/>
          <w:lang w:eastAsia="en-US"/>
        </w:rPr>
      </w:pPr>
    </w:p>
    <w:p w14:paraId="17A5F814" w14:textId="46C4E2D1" w:rsidR="004C6D03" w:rsidRDefault="004C6D03" w:rsidP="004C6D03">
      <w:pPr>
        <w:spacing w:after="60"/>
        <w:rPr>
          <w:rFonts w:ascii="Times New Roman" w:hAnsi="Times New Roman"/>
          <w:bCs/>
          <w:snapToGrid w:val="0"/>
          <w:lang w:eastAsia="en-US"/>
        </w:rPr>
      </w:pPr>
      <w:r>
        <w:rPr>
          <w:rFonts w:ascii="Times New Roman" w:hAnsi="Times New Roman"/>
          <w:bCs/>
          <w:snapToGrid w:val="0"/>
          <w:lang w:eastAsia="en-US"/>
        </w:rPr>
        <w:t xml:space="preserve">This transition review (TD0029) </w:t>
      </w:r>
      <w:r w:rsidR="00CC4FED">
        <w:rPr>
          <w:rFonts w:ascii="Times New Roman" w:hAnsi="Times New Roman"/>
          <w:bCs/>
          <w:snapToGrid w:val="0"/>
          <w:lang w:eastAsia="en-US"/>
        </w:rPr>
        <w:t>derives from</w:t>
      </w:r>
      <w:r>
        <w:rPr>
          <w:rFonts w:ascii="Times New Roman" w:hAnsi="Times New Roman"/>
          <w:bCs/>
          <w:snapToGrid w:val="0"/>
          <w:lang w:eastAsia="en-US"/>
        </w:rPr>
        <w:t xml:space="preserve"> Commission Implementing Regulation </w:t>
      </w:r>
      <w:r w:rsidR="00AE1E52">
        <w:rPr>
          <w:rFonts w:ascii="Times New Roman" w:hAnsi="Times New Roman"/>
          <w:bCs/>
          <w:snapToGrid w:val="0"/>
          <w:lang w:eastAsia="en-US"/>
        </w:rPr>
        <w:t>2018/140</w:t>
      </w:r>
      <w:r>
        <w:rPr>
          <w:rFonts w:ascii="Times New Roman" w:hAnsi="Times New Roman"/>
          <w:bCs/>
          <w:snapToGrid w:val="0"/>
          <w:lang w:eastAsia="en-US"/>
        </w:rPr>
        <w:t>.</w:t>
      </w:r>
      <w:r w:rsidR="00AE1E52">
        <w:rPr>
          <w:rStyle w:val="FootnoteReference"/>
          <w:rFonts w:ascii="Times New Roman" w:hAnsi="Times New Roman"/>
          <w:bCs/>
          <w:snapToGrid w:val="0"/>
          <w:lang w:eastAsia="en-US"/>
        </w:rPr>
        <w:footnoteReference w:id="1"/>
      </w:r>
      <w:r>
        <w:rPr>
          <w:rFonts w:ascii="Times New Roman" w:hAnsi="Times New Roman"/>
          <w:bCs/>
          <w:snapToGrid w:val="0"/>
          <w:lang w:eastAsia="en-US"/>
        </w:rPr>
        <w:t xml:space="preserve"> </w:t>
      </w:r>
    </w:p>
    <w:p w14:paraId="552ACA84" w14:textId="77777777" w:rsidR="004C6D03" w:rsidRDefault="004C6D03" w:rsidP="004C6D03">
      <w:pPr>
        <w:spacing w:after="60"/>
        <w:rPr>
          <w:rFonts w:ascii="Times New Roman" w:hAnsi="Times New Roman"/>
          <w:bCs/>
          <w:snapToGrid w:val="0"/>
          <w:lang w:eastAsia="en-US"/>
        </w:rPr>
      </w:pPr>
    </w:p>
    <w:p w14:paraId="65A80D15" w14:textId="64966479" w:rsidR="004C6D03" w:rsidRDefault="004C6D03" w:rsidP="004C6D03">
      <w:pPr>
        <w:spacing w:after="60"/>
        <w:rPr>
          <w:rFonts w:ascii="Times New Roman" w:hAnsi="Times New Roman"/>
          <w:bCs/>
          <w:snapToGrid w:val="0"/>
          <w:lang w:eastAsia="en-US"/>
        </w:rPr>
      </w:pPr>
      <w:r>
        <w:rPr>
          <w:rFonts w:ascii="Times New Roman" w:hAnsi="Times New Roman"/>
          <w:bCs/>
          <w:snapToGrid w:val="0"/>
          <w:lang w:eastAsia="en-US"/>
        </w:rPr>
        <w:t xml:space="preserve">In the course of that original investigation the Commission reduced the PCN (see below) so as to ensure that there was sufficient comparability between the goods of the foreign producers and the goods of the domestic producers. This reduced PCN is currently being used by the Commission in the ongoing expiry review (R788) </w:t>
      </w:r>
      <w:r w:rsidR="00CC4FED">
        <w:rPr>
          <w:rFonts w:ascii="Times New Roman" w:hAnsi="Times New Roman"/>
          <w:bCs/>
          <w:snapToGrid w:val="0"/>
          <w:lang w:eastAsia="en-US"/>
        </w:rPr>
        <w:t xml:space="preserve">of Regulation 2018/140 </w:t>
      </w:r>
      <w:r>
        <w:rPr>
          <w:rFonts w:ascii="Times New Roman" w:hAnsi="Times New Roman"/>
          <w:bCs/>
          <w:snapToGrid w:val="0"/>
          <w:lang w:eastAsia="en-US"/>
        </w:rPr>
        <w:t xml:space="preserve">in order to ensure comparability.   </w:t>
      </w:r>
    </w:p>
    <w:p w14:paraId="7B0AC461" w14:textId="77777777" w:rsidR="004C6D03" w:rsidRDefault="004C6D03" w:rsidP="004C6D03">
      <w:pPr>
        <w:spacing w:after="60"/>
        <w:rPr>
          <w:rFonts w:ascii="Times New Roman" w:hAnsi="Times New Roman"/>
          <w:bCs/>
          <w:snapToGrid w:val="0"/>
          <w:lang w:eastAsia="en-US"/>
        </w:rPr>
      </w:pPr>
    </w:p>
    <w:p w14:paraId="671CB0B3" w14:textId="7DED2E3F" w:rsidR="004C6D03" w:rsidRPr="007B0263" w:rsidRDefault="00B8321C" w:rsidP="004C6D03">
      <w:pPr>
        <w:spacing w:after="60"/>
        <w:rPr>
          <w:rFonts w:ascii="Times New Roman" w:hAnsi="Times New Roman"/>
          <w:bCs/>
          <w:snapToGrid w:val="0"/>
          <w:lang w:eastAsia="en-US"/>
        </w:rPr>
      </w:pPr>
      <w:r>
        <w:rPr>
          <w:rFonts w:ascii="Times New Roman" w:hAnsi="Times New Roman"/>
          <w:bCs/>
          <w:snapToGrid w:val="0"/>
          <w:lang w:eastAsia="en-US"/>
        </w:rPr>
        <w:t>Thomas Dudley Ltd.</w:t>
      </w:r>
      <w:r w:rsidR="004C6D03">
        <w:rPr>
          <w:rFonts w:ascii="Times New Roman" w:hAnsi="Times New Roman"/>
          <w:bCs/>
          <w:snapToGrid w:val="0"/>
          <w:lang w:eastAsia="en-US"/>
        </w:rPr>
        <w:t xml:space="preserve"> strongly recommends that the TRA also considers reducing the number of variables in the PCN. </w:t>
      </w:r>
    </w:p>
    <w:p w14:paraId="52B3BFC8" w14:textId="77777777" w:rsidR="004C6D03" w:rsidRDefault="004C6D03" w:rsidP="004C6D03">
      <w:pPr>
        <w:spacing w:after="60"/>
        <w:rPr>
          <w:rFonts w:cstheme="minorHAnsi"/>
          <w:b/>
          <w:snapToGrid w:val="0"/>
          <w:u w:val="single"/>
          <w:lang w:eastAsia="en-US"/>
        </w:rPr>
      </w:pPr>
    </w:p>
    <w:tbl>
      <w:tblPr>
        <w:tblW w:w="10065" w:type="dxa"/>
        <w:tblInd w:w="-318" w:type="dxa"/>
        <w:tblLayout w:type="fixed"/>
        <w:tblLook w:val="0000" w:firstRow="0" w:lastRow="0" w:firstColumn="0" w:lastColumn="0" w:noHBand="0" w:noVBand="0"/>
      </w:tblPr>
      <w:tblGrid>
        <w:gridCol w:w="568"/>
        <w:gridCol w:w="1418"/>
        <w:gridCol w:w="6804"/>
        <w:gridCol w:w="1275"/>
      </w:tblGrid>
      <w:tr w:rsidR="004C6D03" w:rsidRPr="00FD20E8" w14:paraId="7A20BA6C" w14:textId="77777777" w:rsidTr="009C15F0">
        <w:trPr>
          <w:trHeight w:val="315"/>
        </w:trPr>
        <w:tc>
          <w:tcPr>
            <w:tcW w:w="568" w:type="dxa"/>
            <w:tcBorders>
              <w:top w:val="single" w:sz="8" w:space="0" w:color="auto"/>
              <w:left w:val="single" w:sz="8" w:space="0" w:color="auto"/>
              <w:bottom w:val="single" w:sz="4" w:space="0" w:color="auto"/>
              <w:right w:val="single" w:sz="4" w:space="0" w:color="auto"/>
            </w:tcBorders>
            <w:shd w:val="clear" w:color="auto" w:fill="auto"/>
            <w:noWrap/>
            <w:vAlign w:val="bottom"/>
          </w:tcPr>
          <w:p w14:paraId="54D1460E" w14:textId="77777777" w:rsidR="004C6D03" w:rsidRPr="00FD20E8" w:rsidRDefault="004C6D03" w:rsidP="009C15F0">
            <w:pPr>
              <w:jc w:val="left"/>
              <w:rPr>
                <w:rFonts w:ascii="Times New Roman" w:hAnsi="Times New Roman"/>
                <w:szCs w:val="22"/>
              </w:rPr>
            </w:pPr>
            <w:bookmarkStart w:id="0" w:name="RANGE!B4:E49"/>
            <w:r w:rsidRPr="00FD20E8">
              <w:rPr>
                <w:rFonts w:ascii="Times New Roman" w:hAnsi="Times New Roman"/>
                <w:szCs w:val="22"/>
              </w:rPr>
              <w:t> </w:t>
            </w:r>
            <w:bookmarkEnd w:id="0"/>
          </w:p>
        </w:tc>
        <w:tc>
          <w:tcPr>
            <w:tcW w:w="9497" w:type="dxa"/>
            <w:gridSpan w:val="3"/>
            <w:tcBorders>
              <w:top w:val="single" w:sz="8" w:space="0" w:color="auto"/>
              <w:left w:val="nil"/>
              <w:bottom w:val="single" w:sz="4" w:space="0" w:color="auto"/>
              <w:right w:val="single" w:sz="8" w:space="0" w:color="000000"/>
            </w:tcBorders>
            <w:shd w:val="clear" w:color="auto" w:fill="auto"/>
          </w:tcPr>
          <w:p w14:paraId="7B795E39" w14:textId="77777777" w:rsidR="004C6D03" w:rsidRPr="00FD20E8" w:rsidRDefault="004C6D03" w:rsidP="009C15F0">
            <w:pPr>
              <w:jc w:val="center"/>
              <w:rPr>
                <w:rFonts w:ascii="Times New Roman" w:hAnsi="Times New Roman"/>
                <w:b/>
                <w:bCs/>
                <w:szCs w:val="22"/>
              </w:rPr>
            </w:pPr>
            <w:r w:rsidRPr="00FD20E8">
              <w:rPr>
                <w:rFonts w:ascii="Times New Roman" w:hAnsi="Times New Roman"/>
                <w:b/>
                <w:bCs/>
                <w:szCs w:val="22"/>
              </w:rPr>
              <w:t>Product definition</w:t>
            </w:r>
          </w:p>
        </w:tc>
      </w:tr>
      <w:tr w:rsidR="004C6D03" w:rsidRPr="00FD20E8" w14:paraId="523208D8" w14:textId="77777777" w:rsidTr="009C15F0">
        <w:trPr>
          <w:trHeight w:val="630"/>
        </w:trPr>
        <w:tc>
          <w:tcPr>
            <w:tcW w:w="568" w:type="dxa"/>
            <w:tcBorders>
              <w:top w:val="nil"/>
              <w:left w:val="single" w:sz="8" w:space="0" w:color="auto"/>
              <w:bottom w:val="single" w:sz="4" w:space="0" w:color="auto"/>
              <w:right w:val="single" w:sz="4" w:space="0" w:color="auto"/>
            </w:tcBorders>
            <w:shd w:val="clear" w:color="auto" w:fill="auto"/>
            <w:noWrap/>
            <w:vAlign w:val="bottom"/>
          </w:tcPr>
          <w:p w14:paraId="549CBC0A" w14:textId="77777777" w:rsidR="004C6D03" w:rsidRPr="00FD20E8" w:rsidRDefault="004C6D03" w:rsidP="009C15F0">
            <w:pPr>
              <w:jc w:val="left"/>
              <w:rPr>
                <w:rFonts w:ascii="Times New Roman" w:hAnsi="Times New Roman"/>
                <w:b/>
                <w:bCs/>
                <w:szCs w:val="22"/>
              </w:rPr>
            </w:pPr>
            <w:r w:rsidRPr="00FD20E8">
              <w:rPr>
                <w:rFonts w:ascii="Times New Roman" w:hAnsi="Times New Roman"/>
                <w:b/>
                <w:bCs/>
                <w:szCs w:val="22"/>
              </w:rPr>
              <w:t> </w:t>
            </w:r>
          </w:p>
        </w:tc>
        <w:tc>
          <w:tcPr>
            <w:tcW w:w="1418" w:type="dxa"/>
            <w:tcBorders>
              <w:top w:val="nil"/>
              <w:left w:val="nil"/>
              <w:bottom w:val="single" w:sz="4" w:space="0" w:color="auto"/>
              <w:right w:val="single" w:sz="4" w:space="0" w:color="auto"/>
            </w:tcBorders>
            <w:shd w:val="clear" w:color="auto" w:fill="auto"/>
          </w:tcPr>
          <w:p w14:paraId="1BE6C0C0" w14:textId="77777777" w:rsidR="004C6D03" w:rsidRPr="00FD20E8" w:rsidRDefault="004C6D03" w:rsidP="009C15F0">
            <w:pPr>
              <w:jc w:val="center"/>
              <w:rPr>
                <w:rFonts w:ascii="Times New Roman" w:hAnsi="Times New Roman"/>
                <w:b/>
                <w:bCs/>
                <w:szCs w:val="22"/>
              </w:rPr>
            </w:pPr>
            <w:r w:rsidRPr="00FD20E8">
              <w:rPr>
                <w:rFonts w:ascii="Times New Roman" w:hAnsi="Times New Roman"/>
                <w:b/>
                <w:bCs/>
                <w:szCs w:val="22"/>
              </w:rPr>
              <w:t>Field description</w:t>
            </w:r>
          </w:p>
        </w:tc>
        <w:tc>
          <w:tcPr>
            <w:tcW w:w="6804" w:type="dxa"/>
            <w:tcBorders>
              <w:top w:val="nil"/>
              <w:left w:val="nil"/>
              <w:bottom w:val="single" w:sz="4" w:space="0" w:color="auto"/>
              <w:right w:val="single" w:sz="4" w:space="0" w:color="auto"/>
            </w:tcBorders>
            <w:shd w:val="clear" w:color="auto" w:fill="auto"/>
          </w:tcPr>
          <w:p w14:paraId="7E7D358D" w14:textId="77777777" w:rsidR="004C6D03" w:rsidRPr="00FD20E8" w:rsidRDefault="004C6D03" w:rsidP="009C15F0">
            <w:pPr>
              <w:jc w:val="center"/>
              <w:rPr>
                <w:rFonts w:ascii="Times New Roman" w:hAnsi="Times New Roman"/>
                <w:b/>
                <w:bCs/>
                <w:szCs w:val="22"/>
              </w:rPr>
            </w:pPr>
            <w:r w:rsidRPr="00FD20E8">
              <w:rPr>
                <w:rFonts w:ascii="Times New Roman" w:hAnsi="Times New Roman"/>
                <w:b/>
                <w:bCs/>
                <w:szCs w:val="22"/>
              </w:rPr>
              <w:t>Explanation</w:t>
            </w:r>
          </w:p>
        </w:tc>
        <w:tc>
          <w:tcPr>
            <w:tcW w:w="1275" w:type="dxa"/>
            <w:tcBorders>
              <w:top w:val="nil"/>
              <w:left w:val="nil"/>
              <w:bottom w:val="single" w:sz="4" w:space="0" w:color="auto"/>
              <w:right w:val="single" w:sz="8" w:space="0" w:color="auto"/>
            </w:tcBorders>
            <w:shd w:val="clear" w:color="auto" w:fill="auto"/>
            <w:vAlign w:val="center"/>
          </w:tcPr>
          <w:p w14:paraId="247C5E15" w14:textId="77777777" w:rsidR="004C6D03" w:rsidRPr="00FD20E8" w:rsidRDefault="004C6D03" w:rsidP="009C15F0">
            <w:pPr>
              <w:jc w:val="center"/>
              <w:rPr>
                <w:rFonts w:ascii="Times New Roman" w:hAnsi="Times New Roman"/>
                <w:b/>
                <w:bCs/>
                <w:szCs w:val="22"/>
              </w:rPr>
            </w:pPr>
            <w:r w:rsidRPr="00FD20E8">
              <w:rPr>
                <w:rFonts w:ascii="Times New Roman" w:hAnsi="Times New Roman"/>
                <w:b/>
                <w:bCs/>
                <w:szCs w:val="22"/>
              </w:rPr>
              <w:t>Field format</w:t>
            </w:r>
          </w:p>
        </w:tc>
      </w:tr>
      <w:tr w:rsidR="004C6D03" w:rsidRPr="00FD20E8" w14:paraId="04393FA1" w14:textId="77777777" w:rsidTr="009C15F0">
        <w:trPr>
          <w:trHeight w:val="330"/>
        </w:trPr>
        <w:tc>
          <w:tcPr>
            <w:tcW w:w="568" w:type="dxa"/>
            <w:vMerge w:val="restart"/>
            <w:tcBorders>
              <w:top w:val="nil"/>
              <w:left w:val="single" w:sz="8" w:space="0" w:color="auto"/>
              <w:bottom w:val="single" w:sz="4" w:space="0" w:color="auto"/>
              <w:right w:val="single" w:sz="4" w:space="0" w:color="auto"/>
            </w:tcBorders>
            <w:shd w:val="clear" w:color="auto" w:fill="auto"/>
            <w:noWrap/>
          </w:tcPr>
          <w:p w14:paraId="648A2FAB" w14:textId="77777777" w:rsidR="004C6D03" w:rsidRPr="00FD20E8" w:rsidRDefault="004C6D03" w:rsidP="009C15F0">
            <w:pPr>
              <w:jc w:val="left"/>
              <w:rPr>
                <w:rFonts w:ascii="Times New Roman" w:hAnsi="Times New Roman"/>
                <w:szCs w:val="22"/>
              </w:rPr>
            </w:pPr>
            <w:r w:rsidRPr="00FD20E8">
              <w:rPr>
                <w:rFonts w:ascii="Times New Roman" w:hAnsi="Times New Roman"/>
                <w:szCs w:val="22"/>
              </w:rPr>
              <w:t>1</w:t>
            </w:r>
          </w:p>
        </w:tc>
        <w:tc>
          <w:tcPr>
            <w:tcW w:w="1418" w:type="dxa"/>
            <w:vMerge w:val="restart"/>
            <w:tcBorders>
              <w:top w:val="nil"/>
              <w:left w:val="single" w:sz="4" w:space="0" w:color="auto"/>
              <w:bottom w:val="single" w:sz="4" w:space="0" w:color="auto"/>
              <w:right w:val="single" w:sz="4" w:space="0" w:color="auto"/>
            </w:tcBorders>
            <w:shd w:val="clear" w:color="auto" w:fill="auto"/>
          </w:tcPr>
          <w:p w14:paraId="24538DDC" w14:textId="77777777" w:rsidR="004C6D03" w:rsidRPr="00FD20E8" w:rsidRDefault="004C6D03" w:rsidP="009C15F0">
            <w:pPr>
              <w:jc w:val="center"/>
              <w:rPr>
                <w:rFonts w:ascii="Times New Roman" w:hAnsi="Times New Roman"/>
                <w:szCs w:val="22"/>
              </w:rPr>
            </w:pPr>
            <w:r w:rsidRPr="00FD20E8">
              <w:rPr>
                <w:rFonts w:ascii="Times New Roman" w:hAnsi="Times New Roman"/>
                <w:szCs w:val="22"/>
              </w:rPr>
              <w:t>Product type</w:t>
            </w:r>
          </w:p>
          <w:p w14:paraId="3476097D" w14:textId="77777777" w:rsidR="004C6D03" w:rsidRPr="00FD20E8" w:rsidRDefault="004C6D03" w:rsidP="009C15F0">
            <w:pPr>
              <w:jc w:val="center"/>
              <w:rPr>
                <w:rFonts w:ascii="Times New Roman" w:hAnsi="Times New Roman"/>
                <w:szCs w:val="22"/>
              </w:rPr>
            </w:pPr>
          </w:p>
          <w:p w14:paraId="2F56CEB6" w14:textId="77777777" w:rsidR="004C6D03" w:rsidRPr="00FD20E8" w:rsidRDefault="004C6D03" w:rsidP="009C15F0">
            <w:pPr>
              <w:jc w:val="left"/>
              <w:rPr>
                <w:rFonts w:ascii="Times New Roman" w:hAnsi="Times New Roman"/>
                <w:szCs w:val="22"/>
              </w:rPr>
            </w:pPr>
          </w:p>
        </w:tc>
        <w:tc>
          <w:tcPr>
            <w:tcW w:w="6804" w:type="dxa"/>
            <w:tcBorders>
              <w:top w:val="nil"/>
              <w:left w:val="nil"/>
              <w:bottom w:val="single" w:sz="4" w:space="0" w:color="auto"/>
              <w:right w:val="single" w:sz="4" w:space="0" w:color="auto"/>
            </w:tcBorders>
            <w:shd w:val="clear" w:color="auto" w:fill="auto"/>
          </w:tcPr>
          <w:p w14:paraId="3044EED7" w14:textId="77777777" w:rsidR="004C6D03" w:rsidRPr="00FD20E8" w:rsidRDefault="004C6D03" w:rsidP="009C15F0">
            <w:pPr>
              <w:jc w:val="left"/>
              <w:rPr>
                <w:rFonts w:ascii="Times New Roman" w:hAnsi="Times New Roman"/>
                <w:szCs w:val="22"/>
              </w:rPr>
            </w:pPr>
            <w:r w:rsidRPr="00FD20E8">
              <w:rPr>
                <w:rFonts w:ascii="Times New Roman" w:hAnsi="Times New Roman"/>
                <w:b/>
                <w:bCs/>
                <w:szCs w:val="22"/>
              </w:rPr>
              <w:t>"A"</w:t>
            </w:r>
            <w:r w:rsidRPr="00FD20E8">
              <w:rPr>
                <w:rFonts w:ascii="Times New Roman" w:hAnsi="Times New Roman"/>
                <w:szCs w:val="22"/>
              </w:rPr>
              <w:t xml:space="preserve">: Access covers giving access to underground mains such as sewage networks, cable networks, metering equipment (wet and/or dry systems).  This product type includes manhole covers and modular elements such as duct covers for application in </w:t>
            </w:r>
            <w:proofErr w:type="gramStart"/>
            <w:r w:rsidRPr="00FD20E8">
              <w:rPr>
                <w:rFonts w:ascii="Times New Roman" w:hAnsi="Times New Roman"/>
                <w:szCs w:val="22"/>
              </w:rPr>
              <w:t>e.g.</w:t>
            </w:r>
            <w:proofErr w:type="gramEnd"/>
            <w:r w:rsidRPr="00FD20E8">
              <w:rPr>
                <w:rFonts w:ascii="Times New Roman" w:hAnsi="Times New Roman"/>
                <w:szCs w:val="22"/>
              </w:rPr>
              <w:t xml:space="preserve"> airports, ports, manufacturing industries</w:t>
            </w:r>
          </w:p>
        </w:tc>
        <w:tc>
          <w:tcPr>
            <w:tcW w:w="1275" w:type="dxa"/>
            <w:vMerge w:val="restart"/>
            <w:tcBorders>
              <w:top w:val="nil"/>
              <w:left w:val="single" w:sz="4" w:space="0" w:color="auto"/>
              <w:bottom w:val="single" w:sz="4" w:space="0" w:color="auto"/>
              <w:right w:val="single" w:sz="8" w:space="0" w:color="auto"/>
            </w:tcBorders>
            <w:shd w:val="clear" w:color="auto" w:fill="auto"/>
            <w:vAlign w:val="center"/>
          </w:tcPr>
          <w:p w14:paraId="5F8B75F6" w14:textId="77777777" w:rsidR="004C6D03" w:rsidRPr="00FD20E8" w:rsidRDefault="004C6D03" w:rsidP="009C15F0">
            <w:pPr>
              <w:jc w:val="center"/>
              <w:rPr>
                <w:rFonts w:ascii="Times New Roman" w:hAnsi="Times New Roman"/>
                <w:szCs w:val="22"/>
              </w:rPr>
            </w:pPr>
            <w:r w:rsidRPr="00FD20E8">
              <w:rPr>
                <w:rFonts w:ascii="Times New Roman" w:hAnsi="Times New Roman"/>
                <w:szCs w:val="22"/>
              </w:rPr>
              <w:t>1, text</w:t>
            </w:r>
          </w:p>
        </w:tc>
      </w:tr>
      <w:tr w:rsidR="004C6D03" w:rsidRPr="00FD20E8" w14:paraId="742DE0CF" w14:textId="77777777" w:rsidTr="009C15F0">
        <w:trPr>
          <w:trHeight w:val="297"/>
        </w:trPr>
        <w:tc>
          <w:tcPr>
            <w:tcW w:w="568" w:type="dxa"/>
            <w:vMerge/>
            <w:tcBorders>
              <w:top w:val="nil"/>
              <w:left w:val="single" w:sz="8" w:space="0" w:color="auto"/>
              <w:bottom w:val="single" w:sz="4" w:space="0" w:color="auto"/>
              <w:right w:val="single" w:sz="4" w:space="0" w:color="auto"/>
            </w:tcBorders>
            <w:shd w:val="clear" w:color="auto" w:fill="auto"/>
            <w:noWrap/>
          </w:tcPr>
          <w:p w14:paraId="234AAE20" w14:textId="77777777" w:rsidR="004C6D03" w:rsidRPr="00FD20E8" w:rsidRDefault="004C6D03" w:rsidP="009C15F0">
            <w:pPr>
              <w:jc w:val="left"/>
              <w:rPr>
                <w:rFonts w:ascii="Times New Roman" w:hAnsi="Times New Roman"/>
                <w:szCs w:val="22"/>
              </w:rPr>
            </w:pPr>
          </w:p>
        </w:tc>
        <w:tc>
          <w:tcPr>
            <w:tcW w:w="1418" w:type="dxa"/>
            <w:vMerge/>
            <w:tcBorders>
              <w:top w:val="nil"/>
              <w:left w:val="single" w:sz="4" w:space="0" w:color="auto"/>
              <w:bottom w:val="single" w:sz="4" w:space="0" w:color="auto"/>
              <w:right w:val="single" w:sz="4" w:space="0" w:color="auto"/>
            </w:tcBorders>
            <w:shd w:val="clear" w:color="auto" w:fill="auto"/>
          </w:tcPr>
          <w:p w14:paraId="0306C2AB" w14:textId="77777777" w:rsidR="004C6D03" w:rsidRPr="00FD20E8" w:rsidRDefault="004C6D03" w:rsidP="009C15F0">
            <w:pPr>
              <w:jc w:val="center"/>
              <w:rPr>
                <w:rFonts w:ascii="Times New Roman" w:hAnsi="Times New Roman"/>
                <w:szCs w:val="22"/>
              </w:rPr>
            </w:pPr>
          </w:p>
        </w:tc>
        <w:tc>
          <w:tcPr>
            <w:tcW w:w="6804" w:type="dxa"/>
            <w:tcBorders>
              <w:top w:val="nil"/>
              <w:left w:val="nil"/>
              <w:bottom w:val="single" w:sz="4" w:space="0" w:color="auto"/>
              <w:right w:val="single" w:sz="4" w:space="0" w:color="auto"/>
            </w:tcBorders>
            <w:shd w:val="clear" w:color="auto" w:fill="auto"/>
          </w:tcPr>
          <w:p w14:paraId="3566C0B6" w14:textId="77777777" w:rsidR="004C6D03" w:rsidRPr="00FD20E8" w:rsidRDefault="004C6D03" w:rsidP="009C15F0">
            <w:pPr>
              <w:jc w:val="left"/>
              <w:rPr>
                <w:rFonts w:ascii="Times New Roman" w:hAnsi="Times New Roman"/>
                <w:b/>
                <w:bCs/>
                <w:szCs w:val="22"/>
              </w:rPr>
            </w:pPr>
            <w:r w:rsidRPr="00FD20E8">
              <w:rPr>
                <w:rFonts w:ascii="Times New Roman" w:hAnsi="Times New Roman"/>
                <w:b/>
                <w:bCs/>
                <w:szCs w:val="22"/>
              </w:rPr>
              <w:t xml:space="preserve">"S": </w:t>
            </w:r>
            <w:r w:rsidRPr="00FD20E8">
              <w:rPr>
                <w:rFonts w:ascii="Times New Roman" w:hAnsi="Times New Roman"/>
                <w:bCs/>
                <w:szCs w:val="22"/>
              </w:rPr>
              <w:t>As in "A", but sealed</w:t>
            </w:r>
          </w:p>
        </w:tc>
        <w:tc>
          <w:tcPr>
            <w:tcW w:w="1275" w:type="dxa"/>
            <w:vMerge/>
            <w:tcBorders>
              <w:top w:val="nil"/>
              <w:left w:val="single" w:sz="4" w:space="0" w:color="auto"/>
              <w:bottom w:val="single" w:sz="4" w:space="0" w:color="auto"/>
              <w:right w:val="single" w:sz="8" w:space="0" w:color="auto"/>
            </w:tcBorders>
            <w:shd w:val="clear" w:color="auto" w:fill="auto"/>
            <w:vAlign w:val="center"/>
          </w:tcPr>
          <w:p w14:paraId="41FBCE80" w14:textId="77777777" w:rsidR="004C6D03" w:rsidRPr="00FD20E8" w:rsidRDefault="004C6D03" w:rsidP="009C15F0">
            <w:pPr>
              <w:jc w:val="center"/>
              <w:rPr>
                <w:rFonts w:ascii="Times New Roman" w:hAnsi="Times New Roman"/>
                <w:szCs w:val="22"/>
              </w:rPr>
            </w:pPr>
          </w:p>
        </w:tc>
      </w:tr>
      <w:tr w:rsidR="004C6D03" w:rsidRPr="00FD20E8" w14:paraId="29B79FAA" w14:textId="77777777" w:rsidTr="009C15F0">
        <w:trPr>
          <w:trHeight w:val="864"/>
        </w:trPr>
        <w:tc>
          <w:tcPr>
            <w:tcW w:w="568" w:type="dxa"/>
            <w:vMerge/>
            <w:tcBorders>
              <w:top w:val="nil"/>
              <w:left w:val="single" w:sz="8" w:space="0" w:color="auto"/>
              <w:bottom w:val="single" w:sz="4" w:space="0" w:color="auto"/>
              <w:right w:val="single" w:sz="4" w:space="0" w:color="auto"/>
            </w:tcBorders>
            <w:shd w:val="clear" w:color="auto" w:fill="auto"/>
            <w:noWrap/>
          </w:tcPr>
          <w:p w14:paraId="1F165D03" w14:textId="77777777" w:rsidR="004C6D03" w:rsidRPr="00FD20E8" w:rsidRDefault="004C6D03" w:rsidP="009C15F0">
            <w:pPr>
              <w:jc w:val="left"/>
              <w:rPr>
                <w:rFonts w:ascii="Times New Roman" w:hAnsi="Times New Roman"/>
                <w:szCs w:val="22"/>
              </w:rPr>
            </w:pPr>
          </w:p>
        </w:tc>
        <w:tc>
          <w:tcPr>
            <w:tcW w:w="1418" w:type="dxa"/>
            <w:vMerge/>
            <w:tcBorders>
              <w:top w:val="nil"/>
              <w:left w:val="single" w:sz="4" w:space="0" w:color="auto"/>
              <w:bottom w:val="single" w:sz="4" w:space="0" w:color="auto"/>
              <w:right w:val="single" w:sz="4" w:space="0" w:color="auto"/>
            </w:tcBorders>
            <w:shd w:val="clear" w:color="auto" w:fill="auto"/>
          </w:tcPr>
          <w:p w14:paraId="37FB00A6" w14:textId="77777777" w:rsidR="004C6D03" w:rsidRPr="00FD20E8" w:rsidRDefault="004C6D03" w:rsidP="009C15F0">
            <w:pPr>
              <w:jc w:val="center"/>
              <w:rPr>
                <w:rFonts w:ascii="Times New Roman" w:hAnsi="Times New Roman"/>
                <w:szCs w:val="22"/>
              </w:rPr>
            </w:pPr>
          </w:p>
        </w:tc>
        <w:tc>
          <w:tcPr>
            <w:tcW w:w="6804" w:type="dxa"/>
            <w:tcBorders>
              <w:top w:val="nil"/>
              <w:left w:val="nil"/>
              <w:bottom w:val="single" w:sz="4" w:space="0" w:color="auto"/>
              <w:right w:val="single" w:sz="4" w:space="0" w:color="auto"/>
            </w:tcBorders>
            <w:shd w:val="clear" w:color="auto" w:fill="auto"/>
          </w:tcPr>
          <w:p w14:paraId="3354C1DD" w14:textId="77777777" w:rsidR="004C6D03" w:rsidRPr="00FD20E8" w:rsidRDefault="004C6D03" w:rsidP="009C15F0">
            <w:pPr>
              <w:jc w:val="left"/>
              <w:rPr>
                <w:rFonts w:ascii="Times New Roman" w:hAnsi="Times New Roman"/>
                <w:szCs w:val="22"/>
              </w:rPr>
            </w:pPr>
            <w:r w:rsidRPr="00FD20E8">
              <w:rPr>
                <w:rFonts w:ascii="Times New Roman" w:hAnsi="Times New Roman"/>
                <w:b/>
                <w:bCs/>
                <w:szCs w:val="22"/>
              </w:rPr>
              <w:t>"G"</w:t>
            </w:r>
            <w:r w:rsidRPr="00FD20E8">
              <w:rPr>
                <w:rFonts w:ascii="Times New Roman" w:hAnsi="Times New Roman"/>
                <w:szCs w:val="22"/>
              </w:rPr>
              <w:t>: Gully top or channel grating (acting as rain water run-off collectors, used to channel rainwater towards sewage networks: devices for such purposes are grates, collectors and gully tops)</w:t>
            </w:r>
          </w:p>
        </w:tc>
        <w:tc>
          <w:tcPr>
            <w:tcW w:w="1275" w:type="dxa"/>
            <w:vMerge/>
            <w:tcBorders>
              <w:top w:val="nil"/>
              <w:left w:val="single" w:sz="4" w:space="0" w:color="auto"/>
              <w:bottom w:val="single" w:sz="4" w:space="0" w:color="auto"/>
              <w:right w:val="single" w:sz="8" w:space="0" w:color="auto"/>
            </w:tcBorders>
            <w:shd w:val="clear" w:color="auto" w:fill="auto"/>
            <w:vAlign w:val="center"/>
          </w:tcPr>
          <w:p w14:paraId="559E01CB" w14:textId="77777777" w:rsidR="004C6D03" w:rsidRPr="00FD20E8" w:rsidRDefault="004C6D03" w:rsidP="009C15F0">
            <w:pPr>
              <w:jc w:val="center"/>
              <w:rPr>
                <w:rFonts w:ascii="Times New Roman" w:hAnsi="Times New Roman"/>
                <w:szCs w:val="22"/>
              </w:rPr>
            </w:pPr>
          </w:p>
        </w:tc>
      </w:tr>
      <w:tr w:rsidR="004C6D03" w:rsidRPr="00FD20E8" w14:paraId="68237085" w14:textId="77777777" w:rsidTr="009C15F0">
        <w:trPr>
          <w:trHeight w:val="945"/>
        </w:trPr>
        <w:tc>
          <w:tcPr>
            <w:tcW w:w="568" w:type="dxa"/>
            <w:vMerge/>
            <w:tcBorders>
              <w:top w:val="nil"/>
              <w:left w:val="single" w:sz="8" w:space="0" w:color="auto"/>
              <w:bottom w:val="single" w:sz="4" w:space="0" w:color="auto"/>
              <w:right w:val="single" w:sz="4" w:space="0" w:color="auto"/>
            </w:tcBorders>
            <w:shd w:val="clear" w:color="auto" w:fill="auto"/>
            <w:vAlign w:val="center"/>
          </w:tcPr>
          <w:p w14:paraId="04750B36" w14:textId="77777777" w:rsidR="004C6D03" w:rsidRPr="00FD20E8" w:rsidRDefault="004C6D03" w:rsidP="009C15F0">
            <w:pPr>
              <w:jc w:val="left"/>
              <w:rPr>
                <w:rFonts w:ascii="Times New Roman" w:hAnsi="Times New Roman"/>
                <w:szCs w:val="22"/>
              </w:rPr>
            </w:pPr>
          </w:p>
        </w:tc>
        <w:tc>
          <w:tcPr>
            <w:tcW w:w="1418" w:type="dxa"/>
            <w:vMerge/>
            <w:tcBorders>
              <w:top w:val="nil"/>
              <w:left w:val="single" w:sz="4" w:space="0" w:color="auto"/>
              <w:bottom w:val="single" w:sz="4" w:space="0" w:color="auto"/>
              <w:right w:val="single" w:sz="4" w:space="0" w:color="auto"/>
            </w:tcBorders>
            <w:shd w:val="clear" w:color="auto" w:fill="auto"/>
            <w:vAlign w:val="center"/>
          </w:tcPr>
          <w:p w14:paraId="193BD0EA" w14:textId="77777777" w:rsidR="004C6D03" w:rsidRPr="00FD20E8" w:rsidRDefault="004C6D03" w:rsidP="009C15F0">
            <w:pPr>
              <w:jc w:val="left"/>
              <w:rPr>
                <w:rFonts w:ascii="Times New Roman" w:hAnsi="Times New Roman"/>
                <w:szCs w:val="22"/>
              </w:rPr>
            </w:pPr>
          </w:p>
        </w:tc>
        <w:tc>
          <w:tcPr>
            <w:tcW w:w="6804" w:type="dxa"/>
            <w:tcBorders>
              <w:top w:val="nil"/>
              <w:left w:val="nil"/>
              <w:bottom w:val="single" w:sz="4" w:space="0" w:color="auto"/>
              <w:right w:val="single" w:sz="4" w:space="0" w:color="auto"/>
            </w:tcBorders>
            <w:shd w:val="clear" w:color="auto" w:fill="auto"/>
          </w:tcPr>
          <w:p w14:paraId="26CA60A0" w14:textId="77777777" w:rsidR="004C6D03" w:rsidRPr="00FD20E8" w:rsidRDefault="004C6D03" w:rsidP="009C15F0">
            <w:pPr>
              <w:jc w:val="left"/>
              <w:rPr>
                <w:rFonts w:ascii="Times New Roman" w:hAnsi="Times New Roman"/>
                <w:b/>
                <w:bCs/>
                <w:szCs w:val="22"/>
              </w:rPr>
            </w:pPr>
            <w:r w:rsidRPr="00FD20E8">
              <w:rPr>
                <w:rFonts w:ascii="Times New Roman" w:hAnsi="Times New Roman"/>
                <w:b/>
                <w:bCs/>
                <w:szCs w:val="22"/>
              </w:rPr>
              <w:t>"B"</w:t>
            </w:r>
            <w:r w:rsidRPr="00FD20E8">
              <w:rPr>
                <w:rFonts w:ascii="Times New Roman" w:hAnsi="Times New Roman"/>
                <w:szCs w:val="22"/>
              </w:rPr>
              <w:t>: Surface box (used mainly for carriageways and roads, public or private, shopping areas, open-air car parks, kerbside areas between roads and pavements, pavements, and multi-storey car parks)</w:t>
            </w:r>
          </w:p>
        </w:tc>
        <w:tc>
          <w:tcPr>
            <w:tcW w:w="1275" w:type="dxa"/>
            <w:vMerge/>
            <w:tcBorders>
              <w:top w:val="nil"/>
              <w:left w:val="single" w:sz="4" w:space="0" w:color="auto"/>
              <w:bottom w:val="single" w:sz="4" w:space="0" w:color="auto"/>
              <w:right w:val="single" w:sz="8" w:space="0" w:color="auto"/>
            </w:tcBorders>
            <w:shd w:val="clear" w:color="auto" w:fill="auto"/>
            <w:vAlign w:val="center"/>
          </w:tcPr>
          <w:p w14:paraId="3CE995C5" w14:textId="77777777" w:rsidR="004C6D03" w:rsidRPr="00FD20E8" w:rsidRDefault="004C6D03" w:rsidP="009C15F0">
            <w:pPr>
              <w:jc w:val="left"/>
              <w:rPr>
                <w:rFonts w:ascii="Times New Roman" w:hAnsi="Times New Roman"/>
                <w:szCs w:val="22"/>
              </w:rPr>
            </w:pPr>
          </w:p>
        </w:tc>
      </w:tr>
      <w:tr w:rsidR="004C6D03" w:rsidRPr="00FD20E8" w14:paraId="1286CD20" w14:textId="77777777" w:rsidTr="009C15F0">
        <w:trPr>
          <w:trHeight w:val="315"/>
        </w:trPr>
        <w:tc>
          <w:tcPr>
            <w:tcW w:w="568" w:type="dxa"/>
            <w:vMerge w:val="restart"/>
            <w:tcBorders>
              <w:top w:val="nil"/>
              <w:left w:val="single" w:sz="8" w:space="0" w:color="auto"/>
              <w:bottom w:val="single" w:sz="4" w:space="0" w:color="auto"/>
              <w:right w:val="single" w:sz="4" w:space="0" w:color="auto"/>
            </w:tcBorders>
            <w:shd w:val="clear" w:color="auto" w:fill="auto"/>
            <w:noWrap/>
          </w:tcPr>
          <w:p w14:paraId="32A082DF" w14:textId="77777777" w:rsidR="004C6D03" w:rsidRPr="00FD20E8" w:rsidRDefault="004C6D03" w:rsidP="009C15F0">
            <w:pPr>
              <w:jc w:val="left"/>
              <w:rPr>
                <w:rFonts w:ascii="Times New Roman" w:hAnsi="Times New Roman"/>
                <w:szCs w:val="22"/>
              </w:rPr>
            </w:pPr>
            <w:r w:rsidRPr="00FD20E8">
              <w:rPr>
                <w:rFonts w:ascii="Times New Roman" w:hAnsi="Times New Roman"/>
                <w:szCs w:val="22"/>
              </w:rPr>
              <w:t>2</w:t>
            </w:r>
          </w:p>
        </w:tc>
        <w:tc>
          <w:tcPr>
            <w:tcW w:w="1418" w:type="dxa"/>
            <w:vMerge w:val="restart"/>
            <w:tcBorders>
              <w:top w:val="nil"/>
              <w:left w:val="single" w:sz="4" w:space="0" w:color="auto"/>
              <w:bottom w:val="single" w:sz="4" w:space="0" w:color="auto"/>
              <w:right w:val="single" w:sz="4" w:space="0" w:color="auto"/>
            </w:tcBorders>
            <w:shd w:val="clear" w:color="auto" w:fill="auto"/>
          </w:tcPr>
          <w:p w14:paraId="52C975B5" w14:textId="77777777" w:rsidR="004C6D03" w:rsidRPr="00FD20E8" w:rsidRDefault="004C6D03" w:rsidP="009C15F0">
            <w:pPr>
              <w:jc w:val="left"/>
              <w:rPr>
                <w:rFonts w:ascii="Times New Roman" w:hAnsi="Times New Roman"/>
                <w:szCs w:val="22"/>
              </w:rPr>
            </w:pPr>
            <w:r w:rsidRPr="00FD20E8">
              <w:rPr>
                <w:rFonts w:ascii="Times New Roman" w:hAnsi="Times New Roman"/>
                <w:szCs w:val="22"/>
              </w:rPr>
              <w:t>Raw material for the frame and cover</w:t>
            </w:r>
          </w:p>
        </w:tc>
        <w:tc>
          <w:tcPr>
            <w:tcW w:w="6804" w:type="dxa"/>
            <w:tcBorders>
              <w:top w:val="nil"/>
              <w:left w:val="nil"/>
              <w:bottom w:val="single" w:sz="4" w:space="0" w:color="auto"/>
              <w:right w:val="single" w:sz="4" w:space="0" w:color="auto"/>
            </w:tcBorders>
            <w:shd w:val="clear" w:color="auto" w:fill="auto"/>
          </w:tcPr>
          <w:p w14:paraId="15B592A6" w14:textId="77777777" w:rsidR="004C6D03" w:rsidRPr="00FD20E8" w:rsidRDefault="004C6D03" w:rsidP="009C15F0">
            <w:pPr>
              <w:jc w:val="left"/>
              <w:rPr>
                <w:rFonts w:ascii="Times New Roman" w:hAnsi="Times New Roman"/>
                <w:b/>
                <w:bCs/>
                <w:szCs w:val="22"/>
              </w:rPr>
            </w:pPr>
            <w:r w:rsidRPr="00FD20E8">
              <w:rPr>
                <w:rFonts w:ascii="Times New Roman" w:hAnsi="Times New Roman"/>
                <w:b/>
                <w:bCs/>
                <w:szCs w:val="22"/>
              </w:rPr>
              <w:t>"D"</w:t>
            </w:r>
            <w:r w:rsidRPr="00FD20E8">
              <w:rPr>
                <w:rFonts w:ascii="Times New Roman" w:hAnsi="Times New Roman"/>
                <w:szCs w:val="22"/>
              </w:rPr>
              <w:t>: Ductile iron</w:t>
            </w:r>
          </w:p>
        </w:tc>
        <w:tc>
          <w:tcPr>
            <w:tcW w:w="1275" w:type="dxa"/>
            <w:vMerge w:val="restart"/>
            <w:tcBorders>
              <w:top w:val="nil"/>
              <w:left w:val="single" w:sz="4" w:space="0" w:color="auto"/>
              <w:bottom w:val="single" w:sz="4" w:space="0" w:color="000000"/>
              <w:right w:val="single" w:sz="8" w:space="0" w:color="auto"/>
            </w:tcBorders>
            <w:shd w:val="clear" w:color="auto" w:fill="auto"/>
            <w:vAlign w:val="center"/>
          </w:tcPr>
          <w:p w14:paraId="71C7A160" w14:textId="77777777" w:rsidR="004C6D03" w:rsidRPr="00FD20E8" w:rsidRDefault="004C6D03" w:rsidP="009C15F0">
            <w:pPr>
              <w:jc w:val="center"/>
              <w:rPr>
                <w:rFonts w:ascii="Times New Roman" w:hAnsi="Times New Roman"/>
                <w:szCs w:val="22"/>
              </w:rPr>
            </w:pPr>
            <w:r w:rsidRPr="00FD20E8">
              <w:rPr>
                <w:rFonts w:ascii="Times New Roman" w:hAnsi="Times New Roman"/>
                <w:szCs w:val="22"/>
              </w:rPr>
              <w:t>1, text</w:t>
            </w:r>
          </w:p>
        </w:tc>
      </w:tr>
      <w:tr w:rsidR="004C6D03" w:rsidRPr="00FD20E8" w14:paraId="7291A6ED" w14:textId="77777777" w:rsidTr="009C15F0">
        <w:trPr>
          <w:trHeight w:val="315"/>
        </w:trPr>
        <w:tc>
          <w:tcPr>
            <w:tcW w:w="568" w:type="dxa"/>
            <w:vMerge/>
            <w:tcBorders>
              <w:top w:val="nil"/>
              <w:left w:val="single" w:sz="8" w:space="0" w:color="auto"/>
              <w:bottom w:val="single" w:sz="4" w:space="0" w:color="auto"/>
              <w:right w:val="single" w:sz="4" w:space="0" w:color="auto"/>
            </w:tcBorders>
            <w:shd w:val="clear" w:color="auto" w:fill="auto"/>
            <w:noWrap/>
          </w:tcPr>
          <w:p w14:paraId="5877F1CE" w14:textId="77777777" w:rsidR="004C6D03" w:rsidRPr="00FD20E8" w:rsidRDefault="004C6D03" w:rsidP="009C15F0">
            <w:pPr>
              <w:jc w:val="left"/>
              <w:rPr>
                <w:rFonts w:ascii="Times New Roman" w:hAnsi="Times New Roman"/>
                <w:szCs w:val="22"/>
              </w:rPr>
            </w:pPr>
          </w:p>
        </w:tc>
        <w:tc>
          <w:tcPr>
            <w:tcW w:w="1418" w:type="dxa"/>
            <w:vMerge/>
            <w:tcBorders>
              <w:top w:val="nil"/>
              <w:left w:val="single" w:sz="4" w:space="0" w:color="auto"/>
              <w:bottom w:val="single" w:sz="4" w:space="0" w:color="auto"/>
              <w:right w:val="single" w:sz="4" w:space="0" w:color="auto"/>
            </w:tcBorders>
            <w:shd w:val="clear" w:color="auto" w:fill="auto"/>
          </w:tcPr>
          <w:p w14:paraId="0C8459FC" w14:textId="77777777" w:rsidR="004C6D03" w:rsidRPr="00FD20E8" w:rsidRDefault="004C6D03" w:rsidP="009C15F0">
            <w:pPr>
              <w:jc w:val="left"/>
              <w:rPr>
                <w:rFonts w:ascii="Times New Roman" w:hAnsi="Times New Roman"/>
                <w:szCs w:val="22"/>
              </w:rPr>
            </w:pPr>
          </w:p>
        </w:tc>
        <w:tc>
          <w:tcPr>
            <w:tcW w:w="6804" w:type="dxa"/>
            <w:tcBorders>
              <w:top w:val="nil"/>
              <w:left w:val="nil"/>
              <w:bottom w:val="single" w:sz="4" w:space="0" w:color="auto"/>
              <w:right w:val="single" w:sz="4" w:space="0" w:color="auto"/>
            </w:tcBorders>
            <w:shd w:val="clear" w:color="auto" w:fill="auto"/>
          </w:tcPr>
          <w:p w14:paraId="4C7CCC79" w14:textId="77777777" w:rsidR="004C6D03" w:rsidRPr="00FD20E8" w:rsidRDefault="004C6D03" w:rsidP="009C15F0">
            <w:pPr>
              <w:jc w:val="left"/>
              <w:rPr>
                <w:rFonts w:ascii="Times New Roman" w:hAnsi="Times New Roman"/>
                <w:b/>
                <w:bCs/>
                <w:szCs w:val="22"/>
              </w:rPr>
            </w:pPr>
            <w:r w:rsidRPr="00FD20E8">
              <w:rPr>
                <w:rFonts w:ascii="Times New Roman" w:hAnsi="Times New Roman"/>
                <w:b/>
                <w:bCs/>
                <w:szCs w:val="22"/>
              </w:rPr>
              <w:t xml:space="preserve">"G": </w:t>
            </w:r>
            <w:r w:rsidRPr="00FD20E8">
              <w:rPr>
                <w:rFonts w:ascii="Times New Roman" w:hAnsi="Times New Roman"/>
                <w:szCs w:val="22"/>
              </w:rPr>
              <w:t>Grey iron</w:t>
            </w:r>
          </w:p>
        </w:tc>
        <w:tc>
          <w:tcPr>
            <w:tcW w:w="1275" w:type="dxa"/>
            <w:vMerge/>
            <w:tcBorders>
              <w:top w:val="nil"/>
              <w:left w:val="single" w:sz="4" w:space="0" w:color="auto"/>
              <w:bottom w:val="single" w:sz="4" w:space="0" w:color="000000"/>
              <w:right w:val="single" w:sz="8" w:space="0" w:color="auto"/>
            </w:tcBorders>
            <w:shd w:val="clear" w:color="auto" w:fill="auto"/>
            <w:vAlign w:val="center"/>
          </w:tcPr>
          <w:p w14:paraId="6ABD1313" w14:textId="77777777" w:rsidR="004C6D03" w:rsidRPr="00FD20E8" w:rsidRDefault="004C6D03" w:rsidP="009C15F0">
            <w:pPr>
              <w:jc w:val="center"/>
              <w:rPr>
                <w:rFonts w:ascii="Times New Roman" w:hAnsi="Times New Roman"/>
                <w:szCs w:val="22"/>
              </w:rPr>
            </w:pPr>
          </w:p>
        </w:tc>
      </w:tr>
      <w:tr w:rsidR="004C6D03" w:rsidRPr="00FD20E8" w14:paraId="651971D7" w14:textId="77777777" w:rsidTr="009C15F0">
        <w:trPr>
          <w:trHeight w:val="315"/>
        </w:trPr>
        <w:tc>
          <w:tcPr>
            <w:tcW w:w="568" w:type="dxa"/>
            <w:vMerge/>
            <w:tcBorders>
              <w:top w:val="nil"/>
              <w:left w:val="single" w:sz="8" w:space="0" w:color="auto"/>
              <w:bottom w:val="single" w:sz="4" w:space="0" w:color="auto"/>
              <w:right w:val="single" w:sz="4" w:space="0" w:color="auto"/>
            </w:tcBorders>
            <w:shd w:val="clear" w:color="auto" w:fill="auto"/>
            <w:vAlign w:val="center"/>
          </w:tcPr>
          <w:p w14:paraId="58BDC8EF" w14:textId="77777777" w:rsidR="004C6D03" w:rsidRPr="00FD20E8" w:rsidRDefault="004C6D03" w:rsidP="009C15F0">
            <w:pPr>
              <w:jc w:val="left"/>
              <w:rPr>
                <w:rFonts w:ascii="Times New Roman" w:hAnsi="Times New Roman"/>
                <w:szCs w:val="22"/>
              </w:rPr>
            </w:pPr>
          </w:p>
        </w:tc>
        <w:tc>
          <w:tcPr>
            <w:tcW w:w="1418" w:type="dxa"/>
            <w:vMerge/>
            <w:tcBorders>
              <w:top w:val="nil"/>
              <w:left w:val="single" w:sz="4" w:space="0" w:color="auto"/>
              <w:bottom w:val="single" w:sz="4" w:space="0" w:color="auto"/>
              <w:right w:val="single" w:sz="4" w:space="0" w:color="auto"/>
            </w:tcBorders>
            <w:shd w:val="clear" w:color="auto" w:fill="auto"/>
            <w:vAlign w:val="center"/>
          </w:tcPr>
          <w:p w14:paraId="03D255F7" w14:textId="77777777" w:rsidR="004C6D03" w:rsidRPr="00FD20E8" w:rsidRDefault="004C6D03" w:rsidP="009C15F0">
            <w:pPr>
              <w:jc w:val="left"/>
              <w:rPr>
                <w:rFonts w:ascii="Times New Roman" w:hAnsi="Times New Roman"/>
                <w:szCs w:val="22"/>
              </w:rPr>
            </w:pPr>
          </w:p>
        </w:tc>
        <w:tc>
          <w:tcPr>
            <w:tcW w:w="6804" w:type="dxa"/>
            <w:tcBorders>
              <w:top w:val="nil"/>
              <w:left w:val="nil"/>
              <w:bottom w:val="single" w:sz="4" w:space="0" w:color="auto"/>
              <w:right w:val="single" w:sz="4" w:space="0" w:color="auto"/>
            </w:tcBorders>
            <w:shd w:val="clear" w:color="auto" w:fill="auto"/>
          </w:tcPr>
          <w:p w14:paraId="37388FBD" w14:textId="77777777" w:rsidR="004C6D03" w:rsidRPr="00FD20E8" w:rsidRDefault="004C6D03" w:rsidP="009C15F0">
            <w:pPr>
              <w:jc w:val="left"/>
              <w:rPr>
                <w:rFonts w:ascii="Times New Roman" w:hAnsi="Times New Roman"/>
                <w:b/>
                <w:bCs/>
                <w:szCs w:val="22"/>
              </w:rPr>
            </w:pPr>
            <w:r w:rsidRPr="00FD20E8">
              <w:rPr>
                <w:rFonts w:ascii="Times New Roman" w:hAnsi="Times New Roman"/>
                <w:b/>
                <w:bCs/>
                <w:szCs w:val="22"/>
              </w:rPr>
              <w:t>"C"</w:t>
            </w:r>
            <w:r w:rsidRPr="00FD20E8">
              <w:rPr>
                <w:rFonts w:ascii="Times New Roman" w:hAnsi="Times New Roman"/>
                <w:szCs w:val="22"/>
              </w:rPr>
              <w:t>: Parts from both grey iron and ductile iron</w:t>
            </w:r>
          </w:p>
        </w:tc>
        <w:tc>
          <w:tcPr>
            <w:tcW w:w="1275" w:type="dxa"/>
            <w:vMerge/>
            <w:tcBorders>
              <w:top w:val="nil"/>
              <w:left w:val="single" w:sz="4" w:space="0" w:color="auto"/>
              <w:bottom w:val="single" w:sz="4" w:space="0" w:color="000000"/>
              <w:right w:val="single" w:sz="8" w:space="0" w:color="auto"/>
            </w:tcBorders>
            <w:shd w:val="clear" w:color="auto" w:fill="auto"/>
            <w:vAlign w:val="center"/>
          </w:tcPr>
          <w:p w14:paraId="0FEF298B" w14:textId="77777777" w:rsidR="004C6D03" w:rsidRPr="00FD20E8" w:rsidRDefault="004C6D03" w:rsidP="009C15F0">
            <w:pPr>
              <w:jc w:val="left"/>
              <w:rPr>
                <w:rFonts w:ascii="Times New Roman" w:hAnsi="Times New Roman"/>
                <w:szCs w:val="22"/>
              </w:rPr>
            </w:pPr>
          </w:p>
        </w:tc>
      </w:tr>
      <w:tr w:rsidR="004C6D03" w:rsidRPr="00FD20E8" w14:paraId="4E21B072" w14:textId="77777777" w:rsidTr="009C15F0">
        <w:trPr>
          <w:trHeight w:val="255"/>
        </w:trPr>
        <w:tc>
          <w:tcPr>
            <w:tcW w:w="568" w:type="dxa"/>
            <w:vMerge w:val="restart"/>
            <w:tcBorders>
              <w:top w:val="nil"/>
              <w:left w:val="single" w:sz="8" w:space="0" w:color="auto"/>
              <w:bottom w:val="single" w:sz="8" w:space="0" w:color="000000"/>
              <w:right w:val="single" w:sz="4" w:space="0" w:color="auto"/>
            </w:tcBorders>
            <w:shd w:val="clear" w:color="auto" w:fill="auto"/>
            <w:noWrap/>
          </w:tcPr>
          <w:p w14:paraId="1C3135BA" w14:textId="77777777" w:rsidR="004C6D03" w:rsidRPr="00FD20E8" w:rsidRDefault="004C6D03" w:rsidP="009C15F0">
            <w:pPr>
              <w:jc w:val="left"/>
              <w:rPr>
                <w:rFonts w:ascii="Times New Roman" w:hAnsi="Times New Roman"/>
                <w:szCs w:val="22"/>
              </w:rPr>
            </w:pPr>
            <w:r w:rsidRPr="00FD20E8">
              <w:rPr>
                <w:rFonts w:ascii="Times New Roman" w:hAnsi="Times New Roman"/>
                <w:szCs w:val="22"/>
              </w:rPr>
              <w:t>3</w:t>
            </w:r>
          </w:p>
        </w:tc>
        <w:tc>
          <w:tcPr>
            <w:tcW w:w="1418" w:type="dxa"/>
            <w:vMerge w:val="restart"/>
            <w:tcBorders>
              <w:top w:val="nil"/>
              <w:left w:val="single" w:sz="4" w:space="0" w:color="auto"/>
              <w:bottom w:val="single" w:sz="8" w:space="0" w:color="000000"/>
              <w:right w:val="single" w:sz="4" w:space="0" w:color="auto"/>
            </w:tcBorders>
            <w:shd w:val="clear" w:color="auto" w:fill="auto"/>
          </w:tcPr>
          <w:p w14:paraId="26E6D446" w14:textId="77777777" w:rsidR="004C6D03" w:rsidRPr="00FD20E8" w:rsidRDefault="004C6D03" w:rsidP="009C15F0">
            <w:pPr>
              <w:jc w:val="left"/>
              <w:rPr>
                <w:rFonts w:ascii="Times New Roman" w:hAnsi="Times New Roman"/>
                <w:szCs w:val="22"/>
              </w:rPr>
            </w:pPr>
            <w:r w:rsidRPr="00FD20E8">
              <w:rPr>
                <w:rFonts w:ascii="Times New Roman" w:hAnsi="Times New Roman"/>
                <w:szCs w:val="22"/>
              </w:rPr>
              <w:t>Standard</w:t>
            </w:r>
          </w:p>
        </w:tc>
        <w:tc>
          <w:tcPr>
            <w:tcW w:w="6804" w:type="dxa"/>
            <w:vMerge w:val="restart"/>
            <w:tcBorders>
              <w:top w:val="nil"/>
              <w:left w:val="single" w:sz="4" w:space="0" w:color="auto"/>
              <w:bottom w:val="single" w:sz="8" w:space="0" w:color="000000"/>
              <w:right w:val="single" w:sz="4" w:space="0" w:color="auto"/>
            </w:tcBorders>
            <w:shd w:val="clear" w:color="auto" w:fill="auto"/>
          </w:tcPr>
          <w:p w14:paraId="006A41A6" w14:textId="77777777" w:rsidR="004C6D03" w:rsidRPr="00FD20E8" w:rsidRDefault="004C6D03" w:rsidP="009C15F0">
            <w:pPr>
              <w:jc w:val="left"/>
              <w:rPr>
                <w:rFonts w:ascii="Times New Roman" w:hAnsi="Times New Roman"/>
                <w:b/>
                <w:bCs/>
                <w:szCs w:val="22"/>
              </w:rPr>
            </w:pPr>
            <w:r w:rsidRPr="00FD20E8">
              <w:rPr>
                <w:rFonts w:ascii="Times New Roman" w:hAnsi="Times New Roman"/>
                <w:szCs w:val="22"/>
              </w:rPr>
              <w:t xml:space="preserve">Indicate whether the casting complies with any </w:t>
            </w:r>
            <w:proofErr w:type="gramStart"/>
            <w:r w:rsidRPr="00FD20E8">
              <w:rPr>
                <w:rFonts w:ascii="Times New Roman" w:hAnsi="Times New Roman"/>
                <w:szCs w:val="22"/>
              </w:rPr>
              <w:t>standard :</w:t>
            </w:r>
            <w:proofErr w:type="gramEnd"/>
            <w:r w:rsidRPr="00FD20E8">
              <w:rPr>
                <w:rFonts w:ascii="Times New Roman" w:hAnsi="Times New Roman"/>
                <w:b/>
                <w:bCs/>
                <w:szCs w:val="22"/>
              </w:rPr>
              <w:t xml:space="preserve">"1" </w:t>
            </w:r>
            <w:r w:rsidRPr="00FD20E8">
              <w:rPr>
                <w:rFonts w:ascii="Times New Roman" w:hAnsi="Times New Roman"/>
                <w:szCs w:val="22"/>
              </w:rPr>
              <w:t xml:space="preserve">if the product is in compliance with the norm EN 124, </w:t>
            </w:r>
            <w:r w:rsidRPr="00FD20E8">
              <w:rPr>
                <w:rFonts w:ascii="Times New Roman" w:hAnsi="Times New Roman"/>
                <w:b/>
                <w:szCs w:val="22"/>
              </w:rPr>
              <w:t>"2"</w:t>
            </w:r>
            <w:r w:rsidRPr="00FD20E8">
              <w:rPr>
                <w:rFonts w:ascii="Times New Roman" w:hAnsi="Times New Roman"/>
                <w:szCs w:val="22"/>
              </w:rPr>
              <w:t xml:space="preserve"> if the product is in compliance with other standards, i.e. national, others, and </w:t>
            </w:r>
            <w:r w:rsidRPr="00FD20E8">
              <w:rPr>
                <w:rFonts w:ascii="Times New Roman" w:hAnsi="Times New Roman"/>
                <w:b/>
                <w:bCs/>
                <w:szCs w:val="22"/>
              </w:rPr>
              <w:t>"0"</w:t>
            </w:r>
            <w:r w:rsidRPr="00FD20E8">
              <w:rPr>
                <w:rFonts w:ascii="Times New Roman" w:hAnsi="Times New Roman"/>
                <w:szCs w:val="22"/>
              </w:rPr>
              <w:t xml:space="preserve"> if the product is not in compliance with any standard</w:t>
            </w:r>
          </w:p>
        </w:tc>
        <w:tc>
          <w:tcPr>
            <w:tcW w:w="1275" w:type="dxa"/>
            <w:vMerge w:val="restart"/>
            <w:tcBorders>
              <w:top w:val="nil"/>
              <w:left w:val="single" w:sz="4" w:space="0" w:color="auto"/>
              <w:bottom w:val="single" w:sz="8" w:space="0" w:color="000000"/>
              <w:right w:val="single" w:sz="8" w:space="0" w:color="auto"/>
            </w:tcBorders>
            <w:shd w:val="clear" w:color="auto" w:fill="auto"/>
            <w:vAlign w:val="center"/>
          </w:tcPr>
          <w:p w14:paraId="076523F9" w14:textId="77777777" w:rsidR="004C6D03" w:rsidRPr="00FD20E8" w:rsidRDefault="004C6D03" w:rsidP="009C15F0">
            <w:pPr>
              <w:jc w:val="center"/>
              <w:rPr>
                <w:rFonts w:ascii="Times New Roman" w:hAnsi="Times New Roman"/>
                <w:szCs w:val="22"/>
              </w:rPr>
            </w:pPr>
            <w:r w:rsidRPr="00FD20E8">
              <w:rPr>
                <w:rFonts w:ascii="Times New Roman" w:hAnsi="Times New Roman"/>
                <w:szCs w:val="22"/>
              </w:rPr>
              <w:t>1, numeric</w:t>
            </w:r>
          </w:p>
        </w:tc>
      </w:tr>
      <w:tr w:rsidR="004C6D03" w:rsidRPr="00FD20E8" w14:paraId="5530CC46" w14:textId="77777777" w:rsidTr="009C15F0">
        <w:trPr>
          <w:trHeight w:val="1110"/>
        </w:trPr>
        <w:tc>
          <w:tcPr>
            <w:tcW w:w="568" w:type="dxa"/>
            <w:vMerge/>
            <w:tcBorders>
              <w:top w:val="nil"/>
              <w:left w:val="single" w:sz="8" w:space="0" w:color="auto"/>
              <w:bottom w:val="single" w:sz="8" w:space="0" w:color="000000"/>
              <w:right w:val="single" w:sz="4" w:space="0" w:color="auto"/>
            </w:tcBorders>
            <w:shd w:val="clear" w:color="auto" w:fill="auto"/>
            <w:vAlign w:val="center"/>
          </w:tcPr>
          <w:p w14:paraId="7D7AD21A" w14:textId="77777777" w:rsidR="004C6D03" w:rsidRPr="00FD20E8" w:rsidRDefault="004C6D03" w:rsidP="009C15F0">
            <w:pPr>
              <w:jc w:val="left"/>
              <w:rPr>
                <w:rFonts w:ascii="Times New Roman" w:hAnsi="Times New Roman"/>
                <w:szCs w:val="22"/>
              </w:rPr>
            </w:pPr>
          </w:p>
        </w:tc>
        <w:tc>
          <w:tcPr>
            <w:tcW w:w="1418" w:type="dxa"/>
            <w:vMerge/>
            <w:tcBorders>
              <w:top w:val="nil"/>
              <w:left w:val="single" w:sz="4" w:space="0" w:color="auto"/>
              <w:bottom w:val="single" w:sz="8" w:space="0" w:color="000000"/>
              <w:right w:val="single" w:sz="4" w:space="0" w:color="auto"/>
            </w:tcBorders>
            <w:shd w:val="clear" w:color="auto" w:fill="auto"/>
            <w:vAlign w:val="center"/>
          </w:tcPr>
          <w:p w14:paraId="6BDB18F1" w14:textId="77777777" w:rsidR="004C6D03" w:rsidRPr="00FD20E8" w:rsidRDefault="004C6D03" w:rsidP="009C15F0">
            <w:pPr>
              <w:jc w:val="left"/>
              <w:rPr>
                <w:rFonts w:ascii="Times New Roman" w:hAnsi="Times New Roman"/>
                <w:szCs w:val="22"/>
              </w:rPr>
            </w:pPr>
          </w:p>
        </w:tc>
        <w:tc>
          <w:tcPr>
            <w:tcW w:w="6804" w:type="dxa"/>
            <w:vMerge/>
            <w:tcBorders>
              <w:top w:val="nil"/>
              <w:left w:val="single" w:sz="4" w:space="0" w:color="auto"/>
              <w:bottom w:val="single" w:sz="8" w:space="0" w:color="000000"/>
              <w:right w:val="single" w:sz="4" w:space="0" w:color="auto"/>
            </w:tcBorders>
            <w:shd w:val="clear" w:color="auto" w:fill="auto"/>
            <w:vAlign w:val="center"/>
          </w:tcPr>
          <w:p w14:paraId="4F58CC29" w14:textId="77777777" w:rsidR="004C6D03" w:rsidRPr="00FD20E8" w:rsidRDefault="004C6D03" w:rsidP="009C15F0">
            <w:pPr>
              <w:jc w:val="left"/>
              <w:rPr>
                <w:rFonts w:ascii="Times New Roman" w:hAnsi="Times New Roman"/>
                <w:szCs w:val="22"/>
              </w:rPr>
            </w:pPr>
          </w:p>
        </w:tc>
        <w:tc>
          <w:tcPr>
            <w:tcW w:w="1275" w:type="dxa"/>
            <w:vMerge/>
            <w:tcBorders>
              <w:top w:val="nil"/>
              <w:left w:val="single" w:sz="4" w:space="0" w:color="auto"/>
              <w:bottom w:val="single" w:sz="8" w:space="0" w:color="000000"/>
              <w:right w:val="single" w:sz="8" w:space="0" w:color="auto"/>
            </w:tcBorders>
            <w:shd w:val="clear" w:color="auto" w:fill="auto"/>
            <w:vAlign w:val="center"/>
          </w:tcPr>
          <w:p w14:paraId="1C9D2F6B" w14:textId="77777777" w:rsidR="004C6D03" w:rsidRPr="00FD20E8" w:rsidRDefault="004C6D03" w:rsidP="009C15F0">
            <w:pPr>
              <w:jc w:val="left"/>
              <w:rPr>
                <w:rFonts w:ascii="Times New Roman" w:hAnsi="Times New Roman"/>
                <w:szCs w:val="22"/>
              </w:rPr>
            </w:pPr>
          </w:p>
        </w:tc>
      </w:tr>
    </w:tbl>
    <w:p w14:paraId="4C19804E" w14:textId="77777777" w:rsidR="004C6D03" w:rsidRDefault="004C6D03" w:rsidP="004C6D03">
      <w:pPr>
        <w:spacing w:after="60"/>
        <w:rPr>
          <w:rFonts w:cstheme="minorHAnsi"/>
          <w:b/>
          <w:snapToGrid w:val="0"/>
          <w:u w:val="single"/>
          <w:lang w:eastAsia="en-US"/>
        </w:rPr>
      </w:pPr>
    </w:p>
    <w:p w14:paraId="6CF57CF5" w14:textId="77777777" w:rsidR="00FE0D1D" w:rsidRPr="00975BA2" w:rsidRDefault="00FE0D1D" w:rsidP="00975BA2">
      <w:pPr>
        <w:spacing w:line="276" w:lineRule="auto"/>
        <w:rPr>
          <w:rFonts w:ascii="Roboto" w:hAnsi="Roboto"/>
        </w:rPr>
      </w:pPr>
    </w:p>
    <w:sectPr w:rsidR="00FE0D1D" w:rsidRPr="00975BA2" w:rsidSect="00D850D6">
      <w:headerReference w:type="default" r:id="rId11"/>
      <w:footerReference w:type="default" r:id="rId12"/>
      <w:headerReference w:type="first" r:id="rId13"/>
      <w:footerReference w:type="first" r:id="rId14"/>
      <w:pgSz w:w="11906" w:h="16838"/>
      <w:pgMar w:top="1440" w:right="1440" w:bottom="1440" w:left="1440" w:header="73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4DDF3" w14:textId="77777777" w:rsidR="0020694C" w:rsidRDefault="0020694C" w:rsidP="00D850D6">
      <w:r>
        <w:separator/>
      </w:r>
    </w:p>
  </w:endnote>
  <w:endnote w:type="continuationSeparator" w:id="0">
    <w:p w14:paraId="1A14CCFE" w14:textId="77777777" w:rsidR="0020694C" w:rsidRDefault="0020694C" w:rsidP="00D85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panose1 w:val="02000000000000000000"/>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Roboto Condensed">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05673" w14:textId="77777777" w:rsidR="00D850D6" w:rsidRPr="00D850D6" w:rsidRDefault="00F57DA4" w:rsidP="00D850D6">
    <w:pPr>
      <w:pStyle w:val="Footer"/>
      <w:tabs>
        <w:tab w:val="clear" w:pos="4513"/>
        <w:tab w:val="clear" w:pos="9026"/>
        <w:tab w:val="right" w:pos="9746"/>
      </w:tabs>
      <w:spacing w:before="60"/>
      <w:rPr>
        <w:rFonts w:ascii="Roboto" w:hAnsi="Roboto" w:cs="Roboto"/>
        <w:color w:val="211D1E"/>
        <w:sz w:val="18"/>
        <w:szCs w:val="18"/>
      </w:rPr>
    </w:pPr>
    <w:r w:rsidRPr="00D850D6">
      <w:rPr>
        <w:noProof/>
      </w:rPr>
      <w:drawing>
        <wp:anchor distT="0" distB="0" distL="114300" distR="114300" simplePos="0" relativeHeight="251670528" behindDoc="0" locked="0" layoutInCell="1" allowOverlap="1" wp14:anchorId="627502C7" wp14:editId="3DF86FE0">
          <wp:simplePos x="0" y="0"/>
          <wp:positionH relativeFrom="margin">
            <wp:posOffset>5565775</wp:posOffset>
          </wp:positionH>
          <wp:positionV relativeFrom="paragraph">
            <wp:posOffset>-24765</wp:posOffset>
          </wp:positionV>
          <wp:extent cx="165100" cy="368935"/>
          <wp:effectExtent l="0" t="0" r="6350" b="0"/>
          <wp:wrapSquare wrapText="bothSides"/>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1" r="84686"/>
                  <a:stretch/>
                </pic:blipFill>
                <pic:spPr bwMode="auto">
                  <a:xfrm>
                    <a:off x="0" y="0"/>
                    <a:ext cx="165100" cy="3689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56A5E" w14:textId="77777777" w:rsidR="00D850D6" w:rsidRDefault="00D850D6" w:rsidP="00D850D6">
    <w:pPr>
      <w:pStyle w:val="Footer"/>
      <w:tabs>
        <w:tab w:val="clear" w:pos="4513"/>
        <w:tab w:val="clear" w:pos="9026"/>
        <w:tab w:val="right" w:pos="9746"/>
      </w:tabs>
      <w:spacing w:before="60"/>
      <w:rPr>
        <w:rStyle w:val="A0"/>
        <w:rFonts w:ascii="Roboto" w:hAnsi="Roboto"/>
        <w:sz w:val="18"/>
        <w:szCs w:val="18"/>
      </w:rPr>
    </w:pPr>
    <w:r>
      <w:rPr>
        <w:rFonts w:ascii="Roboto" w:hAnsi="Roboto" w:cs="Roboto"/>
        <w:noProof/>
        <w:color w:val="211D1E"/>
        <w:sz w:val="18"/>
        <w:szCs w:val="18"/>
      </w:rPr>
      <mc:AlternateContent>
        <mc:Choice Requires="wps">
          <w:drawing>
            <wp:anchor distT="0" distB="0" distL="114300" distR="114300" simplePos="0" relativeHeight="251667456" behindDoc="0" locked="0" layoutInCell="1" allowOverlap="1" wp14:anchorId="66A3DE35" wp14:editId="379085D9">
              <wp:simplePos x="0" y="0"/>
              <wp:positionH relativeFrom="column">
                <wp:posOffset>9525</wp:posOffset>
              </wp:positionH>
              <wp:positionV relativeFrom="paragraph">
                <wp:posOffset>93980</wp:posOffset>
              </wp:positionV>
              <wp:extent cx="573405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734050" cy="0"/>
                      </a:xfrm>
                      <a:prstGeom prst="lin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
          <w:pict>
            <v:line w14:anchorId="789D1141" id="Straight Connector 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75pt,7.4pt" to="452.25pt,7.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" strokecolor="#c00000" strokeweight="1.5pt">
              <v:stroke joinstyle="miter"/>
            </v:line>
          </w:pict>
        </mc:Fallback>
      </mc:AlternateContent>
    </w:r>
  </w:p>
  <w:p w14:paraId="707E7B20" w14:textId="77777777" w:rsidR="00D850D6" w:rsidRDefault="00D850D6" w:rsidP="00D850D6">
    <w:pPr>
      <w:pStyle w:val="Footer"/>
      <w:tabs>
        <w:tab w:val="clear" w:pos="4513"/>
        <w:tab w:val="clear" w:pos="9026"/>
        <w:tab w:val="right" w:pos="9746"/>
      </w:tabs>
      <w:spacing w:before="60"/>
      <w:rPr>
        <w:rStyle w:val="A0"/>
        <w:rFonts w:ascii="Roboto" w:hAnsi="Roboto"/>
      </w:rPr>
    </w:pPr>
    <w:r w:rsidRPr="00E240C2">
      <w:rPr>
        <w:rStyle w:val="A0"/>
        <w:rFonts w:ascii="Roboto" w:hAnsi="Roboto"/>
      </w:rPr>
      <w:t xml:space="preserve">O’Connor &amp; Company </w:t>
    </w:r>
    <w:r w:rsidRPr="00E240C2">
      <w:rPr>
        <w:rStyle w:val="A0"/>
        <w:rFonts w:ascii="Roboto" w:hAnsi="Roboto"/>
      </w:rPr>
      <w:tab/>
      <w:t>1 Avenue de la Joyeuse Entrée</w:t>
    </w:r>
  </w:p>
  <w:p w14:paraId="3F4678CE" w14:textId="77777777" w:rsidR="00D850D6" w:rsidRDefault="00D850D6" w:rsidP="00D850D6">
    <w:pPr>
      <w:pStyle w:val="Footer"/>
      <w:spacing w:before="60"/>
      <w:rPr>
        <w:rFonts w:ascii="Roboto" w:hAnsi="Roboto"/>
        <w:sz w:val="16"/>
        <w:szCs w:val="16"/>
      </w:rPr>
    </w:pPr>
    <w:r w:rsidRPr="00E240C2">
      <w:rPr>
        <w:rStyle w:val="A0"/>
        <w:rFonts w:ascii="Roboto" w:hAnsi="Roboto"/>
      </w:rPr>
      <w:t xml:space="preserve">T +32 2 285 46 85 </w:t>
    </w:r>
    <w:r w:rsidRPr="00E240C2">
      <w:rPr>
        <w:rStyle w:val="A0"/>
        <w:rFonts w:ascii="Roboto" w:hAnsi="Roboto"/>
      </w:rPr>
      <w:tab/>
    </w:r>
    <w:r>
      <w:rPr>
        <w:rFonts w:ascii="Roboto" w:hAnsi="Roboto"/>
        <w:sz w:val="16"/>
        <w:szCs w:val="16"/>
      </w:rPr>
      <w:tab/>
    </w:r>
    <w:r w:rsidRPr="00E240C2">
      <w:rPr>
        <w:rStyle w:val="A0"/>
        <w:rFonts w:ascii="Roboto" w:hAnsi="Roboto"/>
      </w:rPr>
      <w:t>B-1040 Brussels</w:t>
    </w:r>
  </w:p>
  <w:p w14:paraId="0D954C2F" w14:textId="77777777" w:rsidR="00D850D6" w:rsidRPr="00D850D6" w:rsidRDefault="00D850D6" w:rsidP="00D850D6">
    <w:pPr>
      <w:pStyle w:val="Footer"/>
      <w:spacing w:before="60"/>
      <w:rPr>
        <w:rFonts w:ascii="Roboto" w:hAnsi="Roboto" w:cs="Roboto"/>
        <w:color w:val="211D1E"/>
        <w:sz w:val="16"/>
        <w:szCs w:val="16"/>
      </w:rPr>
    </w:pPr>
    <w:r w:rsidRPr="00E240C2">
      <w:rPr>
        <w:rFonts w:ascii="Roboto" w:hAnsi="Roboto"/>
        <w:sz w:val="16"/>
        <w:szCs w:val="16"/>
      </w:rPr>
      <w:t>www.oconnor.eu</w:t>
    </w:r>
    <w:r>
      <w:rPr>
        <w:rFonts w:ascii="Roboto" w:hAnsi="Roboto"/>
        <w:sz w:val="16"/>
        <w:szCs w:val="16"/>
      </w:rPr>
      <w:tab/>
    </w:r>
    <w:r>
      <w:rPr>
        <w:rStyle w:val="A0"/>
        <w:rFonts w:ascii="Roboto" w:hAnsi="Roboto"/>
      </w:rPr>
      <w:tab/>
    </w:r>
    <w:r w:rsidRPr="00E240C2">
      <w:rPr>
        <w:rStyle w:val="A0"/>
        <w:rFonts w:ascii="Roboto" w:hAnsi="Roboto"/>
      </w:rPr>
      <w:t xml:space="preserve">Belgium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C4CA1" w14:textId="77777777" w:rsidR="0020694C" w:rsidRDefault="0020694C" w:rsidP="00D850D6">
      <w:r>
        <w:separator/>
      </w:r>
    </w:p>
  </w:footnote>
  <w:footnote w:type="continuationSeparator" w:id="0">
    <w:p w14:paraId="37499BA4" w14:textId="77777777" w:rsidR="0020694C" w:rsidRDefault="0020694C" w:rsidP="00D850D6">
      <w:r>
        <w:continuationSeparator/>
      </w:r>
    </w:p>
  </w:footnote>
  <w:footnote w:id="1">
    <w:p w14:paraId="3923EB2D" w14:textId="08A2CB75" w:rsidR="00AE1E52" w:rsidRPr="00AE1E52" w:rsidRDefault="00AE1E52">
      <w:pPr>
        <w:pStyle w:val="FootnoteText"/>
        <w:rPr>
          <w:rFonts w:ascii="Times New Roman" w:hAnsi="Times New Roman"/>
        </w:rPr>
      </w:pPr>
      <w:r w:rsidRPr="00AE1E52">
        <w:rPr>
          <w:rStyle w:val="FootnoteReference"/>
          <w:rFonts w:ascii="Times New Roman" w:hAnsi="Times New Roman"/>
        </w:rPr>
        <w:footnoteRef/>
      </w:r>
      <w:r w:rsidRPr="00AE1E52">
        <w:rPr>
          <w:rFonts w:ascii="Times New Roman" w:hAnsi="Times New Roman"/>
        </w:rPr>
        <w:t xml:space="preserve"> Commission Implementing Regulation (EU)2018/140 of 29 January 2018 imposing a definitive anti-dumping duty and collecting definitively the provisional duty imposed on imports of certain cast iron articles originating in the People’s Republic of China and terminating the investigation on imports of certain cast iron articles originating in India (OJ L 25, 30.1.2018, p.6); as amended by Commission Implementing Regulation 2019/261</w:t>
      </w:r>
      <w:r>
        <w:rPr>
          <w:rFonts w:ascii="Times New Roman" w:hAnsi="Times New Roman"/>
        </w:rPr>
        <w:t xml:space="preserve"> OJ L 44, 15.2.2019, p.4)</w:t>
      </w:r>
      <w:r w:rsidRPr="00AE1E52">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62D7A" w14:textId="77777777" w:rsidR="00D850D6" w:rsidRDefault="00975BA2">
    <w:pPr>
      <w:pStyle w:val="Header"/>
      <w:jc w:val="right"/>
    </w:pPr>
    <w:r w:rsidRPr="00D850D6">
      <w:rPr>
        <w:noProof/>
      </w:rPr>
      <w:drawing>
        <wp:anchor distT="0" distB="0" distL="114300" distR="114300" simplePos="0" relativeHeight="251669504" behindDoc="1" locked="0" layoutInCell="1" allowOverlap="1" wp14:anchorId="15D32AD1" wp14:editId="611E4CCB">
          <wp:simplePos x="0" y="0"/>
          <wp:positionH relativeFrom="column">
            <wp:posOffset>-3434080</wp:posOffset>
          </wp:positionH>
          <wp:positionV relativeFrom="paragraph">
            <wp:posOffset>-3031638</wp:posOffset>
          </wp:positionV>
          <wp:extent cx="4713605" cy="10496550"/>
          <wp:effectExtent l="0" t="0" r="0" b="0"/>
          <wp:wrapNone/>
          <wp:docPr id="7"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713605" cy="10496550"/>
                  </a:xfrm>
                  <a:prstGeom prst="rect">
                    <a:avLst/>
                  </a:prstGeom>
                </pic:spPr>
              </pic:pic>
            </a:graphicData>
          </a:graphic>
          <wp14:sizeRelH relativeFrom="margin">
            <wp14:pctWidth>0</wp14:pctWidth>
          </wp14:sizeRelH>
          <wp14:sizeRelV relativeFrom="margin">
            <wp14:pctHeight>0</wp14:pctHeight>
          </wp14:sizeRelV>
        </wp:anchor>
      </w:drawing>
    </w:r>
    <w:sdt>
      <w:sdtPr>
        <w:id w:val="230204133"/>
        <w:docPartObj>
          <w:docPartGallery w:val="Page Numbers (Top of Page)"/>
          <w:docPartUnique/>
        </w:docPartObj>
      </w:sdtPr>
      <w:sdtContent>
        <w:r w:rsidR="00D850D6">
          <w:fldChar w:fldCharType="begin"/>
        </w:r>
        <w:r w:rsidR="00D850D6">
          <w:instrText>PAGE   \* MERGEFORMAT</w:instrText>
        </w:r>
        <w:r w:rsidR="00D850D6">
          <w:fldChar w:fldCharType="separate"/>
        </w:r>
        <w:r w:rsidR="00D850D6">
          <w:t>2</w:t>
        </w:r>
        <w:r w:rsidR="00D850D6">
          <w:fldChar w:fldCharType="end"/>
        </w:r>
      </w:sdtContent>
    </w:sdt>
  </w:p>
  <w:p w14:paraId="52FB9023" w14:textId="77777777" w:rsidR="00D850D6" w:rsidRDefault="00D850D6" w:rsidP="00D850D6">
    <w:pPr>
      <w:pStyle w:val="Header"/>
      <w:tabs>
        <w:tab w:val="clear" w:pos="4513"/>
        <w:tab w:val="clear" w:pos="9026"/>
        <w:tab w:val="left" w:pos="110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CE97E" w14:textId="77777777" w:rsidR="00D850D6" w:rsidRDefault="00D850D6">
    <w:pPr>
      <w:pStyle w:val="Header"/>
    </w:pPr>
    <w:r w:rsidRPr="00D850D6">
      <w:rPr>
        <w:noProof/>
      </w:rPr>
      <w:drawing>
        <wp:anchor distT="0" distB="0" distL="114300" distR="114300" simplePos="0" relativeHeight="251665408" behindDoc="1" locked="0" layoutInCell="1" allowOverlap="1" wp14:anchorId="7EE8A735" wp14:editId="3E639D5B">
          <wp:simplePos x="0" y="0"/>
          <wp:positionH relativeFrom="column">
            <wp:posOffset>5715</wp:posOffset>
          </wp:positionH>
          <wp:positionV relativeFrom="paragraph">
            <wp:posOffset>-307975</wp:posOffset>
          </wp:positionV>
          <wp:extent cx="2096135" cy="704850"/>
          <wp:effectExtent l="0" t="0" r="0" b="0"/>
          <wp:wrapTopAndBottom/>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096135" cy="704850"/>
                  </a:xfrm>
                  <a:prstGeom prst="rect">
                    <a:avLst/>
                  </a:prstGeom>
                </pic:spPr>
              </pic:pic>
            </a:graphicData>
          </a:graphic>
          <wp14:sizeRelH relativeFrom="margin">
            <wp14:pctWidth>0</wp14:pctWidth>
          </wp14:sizeRelH>
          <wp14:sizeRelV relativeFrom="margin">
            <wp14:pctHeight>0</wp14:pctHeight>
          </wp14:sizeRelV>
        </wp:anchor>
      </w:drawing>
    </w:r>
    <w:r w:rsidRPr="00D850D6">
      <w:rPr>
        <w:noProof/>
      </w:rPr>
      <w:drawing>
        <wp:anchor distT="0" distB="0" distL="114300" distR="114300" simplePos="0" relativeHeight="251664384" behindDoc="1" locked="0" layoutInCell="1" allowOverlap="1" wp14:anchorId="0E9884B4" wp14:editId="0C279C4D">
          <wp:simplePos x="0" y="0"/>
          <wp:positionH relativeFrom="column">
            <wp:posOffset>-3424604</wp:posOffset>
          </wp:positionH>
          <wp:positionV relativeFrom="paragraph">
            <wp:posOffset>-2953922</wp:posOffset>
          </wp:positionV>
          <wp:extent cx="4713605" cy="10496550"/>
          <wp:effectExtent l="0" t="0" r="0"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4713605" cy="104965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EC29D7"/>
    <w:multiLevelType w:val="multilevel"/>
    <w:tmpl w:val="B09AB4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A55671"/>
    <w:multiLevelType w:val="multilevel"/>
    <w:tmpl w:val="DBEA1A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64347695">
    <w:abstractNumId w:val="0"/>
  </w:num>
  <w:num w:numId="2" w16cid:durableId="941499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D03"/>
    <w:rsid w:val="001B0D6C"/>
    <w:rsid w:val="0020694C"/>
    <w:rsid w:val="003F6B87"/>
    <w:rsid w:val="004B0F86"/>
    <w:rsid w:val="004B22D6"/>
    <w:rsid w:val="004C6D03"/>
    <w:rsid w:val="006D3F47"/>
    <w:rsid w:val="00721183"/>
    <w:rsid w:val="00743F6B"/>
    <w:rsid w:val="00890D84"/>
    <w:rsid w:val="00925CE3"/>
    <w:rsid w:val="00975BA2"/>
    <w:rsid w:val="00A03D81"/>
    <w:rsid w:val="00AE1E52"/>
    <w:rsid w:val="00AF0A99"/>
    <w:rsid w:val="00B8321C"/>
    <w:rsid w:val="00BF094D"/>
    <w:rsid w:val="00CC4FED"/>
    <w:rsid w:val="00D850D6"/>
    <w:rsid w:val="00F57DA4"/>
    <w:rsid w:val="00F67C1B"/>
    <w:rsid w:val="00FE0D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4A46E"/>
  <w15:chartTrackingRefBased/>
  <w15:docId w15:val="{15436CA9-2C3C-A640-BBD6-9F75C4DBB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D03"/>
    <w:pPr>
      <w:spacing w:after="0" w:line="240" w:lineRule="auto"/>
      <w:jc w:val="both"/>
    </w:pPr>
    <w:rPr>
      <w:rFonts w:eastAsia="Times New Roman" w:cs="Times New Roman"/>
      <w:szCs w:val="20"/>
      <w:lang w:eastAsia="en-GB"/>
    </w:rPr>
  </w:style>
  <w:style w:type="paragraph" w:styleId="Heading1">
    <w:name w:val="heading 1"/>
    <w:basedOn w:val="Normal"/>
    <w:next w:val="Normal"/>
    <w:link w:val="Heading1Char"/>
    <w:uiPriority w:val="9"/>
    <w:qFormat/>
    <w:rsid w:val="00975BA2"/>
    <w:pPr>
      <w:keepNext/>
      <w:keepLines/>
      <w:spacing w:before="400" w:after="40"/>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975BA2"/>
    <w:pPr>
      <w:keepNext/>
      <w:keepLines/>
      <w:spacing w:before="4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75BA2"/>
    <w:pPr>
      <w:keepNext/>
      <w:keepLines/>
      <w:spacing w:before="40"/>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75BA2"/>
    <w:pPr>
      <w:keepNext/>
      <w:keepLines/>
      <w:spacing w:before="4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975BA2"/>
    <w:pPr>
      <w:keepNext/>
      <w:keepLines/>
      <w:spacing w:before="4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975BA2"/>
    <w:pPr>
      <w:keepNext/>
      <w:keepLines/>
      <w:spacing w:before="4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975BA2"/>
    <w:pPr>
      <w:keepNext/>
      <w:keepLines/>
      <w:spacing w:before="4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975BA2"/>
    <w:pPr>
      <w:keepNext/>
      <w:keepLines/>
      <w:spacing w:before="4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975BA2"/>
    <w:pPr>
      <w:keepNext/>
      <w:keepLines/>
      <w:spacing w:before="4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0D6"/>
    <w:pPr>
      <w:tabs>
        <w:tab w:val="center" w:pos="4513"/>
        <w:tab w:val="right" w:pos="9026"/>
      </w:tabs>
    </w:pPr>
  </w:style>
  <w:style w:type="character" w:customStyle="1" w:styleId="HeaderChar">
    <w:name w:val="Header Char"/>
    <w:basedOn w:val="DefaultParagraphFont"/>
    <w:link w:val="Header"/>
    <w:uiPriority w:val="99"/>
    <w:rsid w:val="00D850D6"/>
  </w:style>
  <w:style w:type="paragraph" w:styleId="Footer">
    <w:name w:val="footer"/>
    <w:basedOn w:val="Normal"/>
    <w:link w:val="FooterChar"/>
    <w:uiPriority w:val="99"/>
    <w:unhideWhenUsed/>
    <w:rsid w:val="00D850D6"/>
    <w:pPr>
      <w:tabs>
        <w:tab w:val="center" w:pos="4513"/>
        <w:tab w:val="right" w:pos="9026"/>
      </w:tabs>
    </w:pPr>
  </w:style>
  <w:style w:type="character" w:customStyle="1" w:styleId="FooterChar">
    <w:name w:val="Footer Char"/>
    <w:basedOn w:val="DefaultParagraphFont"/>
    <w:link w:val="Footer"/>
    <w:uiPriority w:val="99"/>
    <w:rsid w:val="00D850D6"/>
  </w:style>
  <w:style w:type="paragraph" w:styleId="NormalWeb">
    <w:name w:val="Normal (Web)"/>
    <w:basedOn w:val="Normal"/>
    <w:uiPriority w:val="99"/>
    <w:semiHidden/>
    <w:unhideWhenUsed/>
    <w:rsid w:val="00D850D6"/>
    <w:pPr>
      <w:spacing w:before="100" w:beforeAutospacing="1" w:after="100" w:afterAutospacing="1"/>
    </w:pPr>
    <w:rPr>
      <w:rFonts w:ascii="Times New Roman" w:hAnsi="Times New Roman"/>
      <w:sz w:val="24"/>
      <w:szCs w:val="24"/>
    </w:rPr>
  </w:style>
  <w:style w:type="character" w:customStyle="1" w:styleId="A0">
    <w:name w:val="A0"/>
    <w:uiPriority w:val="99"/>
    <w:rsid w:val="00D850D6"/>
    <w:rPr>
      <w:rFonts w:cs="Roboto"/>
      <w:color w:val="211D1E"/>
      <w:sz w:val="16"/>
      <w:szCs w:val="16"/>
    </w:rPr>
  </w:style>
  <w:style w:type="character" w:customStyle="1" w:styleId="Heading1Char">
    <w:name w:val="Heading 1 Char"/>
    <w:basedOn w:val="DefaultParagraphFont"/>
    <w:link w:val="Heading1"/>
    <w:uiPriority w:val="9"/>
    <w:rsid w:val="00975BA2"/>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975B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75BA2"/>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75BA2"/>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975BA2"/>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975BA2"/>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975BA2"/>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975BA2"/>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975BA2"/>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975BA2"/>
    <w:rPr>
      <w:b/>
      <w:bCs/>
      <w:smallCaps/>
      <w:color w:val="44546A" w:themeColor="text2"/>
    </w:rPr>
  </w:style>
  <w:style w:type="paragraph" w:styleId="Title">
    <w:name w:val="Title"/>
    <w:basedOn w:val="Normal"/>
    <w:next w:val="Normal"/>
    <w:link w:val="TitleChar"/>
    <w:uiPriority w:val="10"/>
    <w:qFormat/>
    <w:rsid w:val="00975BA2"/>
    <w:pPr>
      <w:spacing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975BA2"/>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975BA2"/>
    <w:pPr>
      <w:numPr>
        <w:ilvl w:val="1"/>
      </w:numPr>
      <w:spacing w:after="240"/>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975BA2"/>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975BA2"/>
    <w:rPr>
      <w:b/>
      <w:bCs/>
    </w:rPr>
  </w:style>
  <w:style w:type="character" w:styleId="Emphasis">
    <w:name w:val="Emphasis"/>
    <w:basedOn w:val="DefaultParagraphFont"/>
    <w:uiPriority w:val="20"/>
    <w:qFormat/>
    <w:rsid w:val="00975BA2"/>
    <w:rPr>
      <w:i/>
      <w:iCs/>
    </w:rPr>
  </w:style>
  <w:style w:type="paragraph" w:styleId="NoSpacing">
    <w:name w:val="No Spacing"/>
    <w:uiPriority w:val="1"/>
    <w:qFormat/>
    <w:rsid w:val="00975BA2"/>
    <w:pPr>
      <w:spacing w:after="0" w:line="240" w:lineRule="auto"/>
    </w:pPr>
  </w:style>
  <w:style w:type="paragraph" w:styleId="Quote">
    <w:name w:val="Quote"/>
    <w:basedOn w:val="Normal"/>
    <w:next w:val="Normal"/>
    <w:link w:val="QuoteChar"/>
    <w:uiPriority w:val="29"/>
    <w:qFormat/>
    <w:rsid w:val="00975BA2"/>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975BA2"/>
    <w:rPr>
      <w:color w:val="44546A" w:themeColor="text2"/>
      <w:sz w:val="24"/>
      <w:szCs w:val="24"/>
    </w:rPr>
  </w:style>
  <w:style w:type="paragraph" w:styleId="IntenseQuote">
    <w:name w:val="Intense Quote"/>
    <w:basedOn w:val="Normal"/>
    <w:next w:val="Normal"/>
    <w:link w:val="IntenseQuoteChar"/>
    <w:uiPriority w:val="30"/>
    <w:qFormat/>
    <w:rsid w:val="00975BA2"/>
    <w:pPr>
      <w:spacing w:before="100" w:beforeAutospacing="1" w:after="240"/>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975BA2"/>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975BA2"/>
    <w:rPr>
      <w:i/>
      <w:iCs/>
      <w:color w:val="595959" w:themeColor="text1" w:themeTint="A6"/>
    </w:rPr>
  </w:style>
  <w:style w:type="character" w:styleId="IntenseEmphasis">
    <w:name w:val="Intense Emphasis"/>
    <w:basedOn w:val="DefaultParagraphFont"/>
    <w:uiPriority w:val="21"/>
    <w:qFormat/>
    <w:rsid w:val="00975BA2"/>
    <w:rPr>
      <w:b/>
      <w:bCs/>
      <w:i/>
      <w:iCs/>
    </w:rPr>
  </w:style>
  <w:style w:type="character" w:styleId="SubtleReference">
    <w:name w:val="Subtle Reference"/>
    <w:basedOn w:val="DefaultParagraphFont"/>
    <w:uiPriority w:val="31"/>
    <w:qFormat/>
    <w:rsid w:val="00975BA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975BA2"/>
    <w:rPr>
      <w:b/>
      <w:bCs/>
      <w:smallCaps/>
      <w:color w:val="44546A" w:themeColor="text2"/>
      <w:u w:val="single"/>
    </w:rPr>
  </w:style>
  <w:style w:type="character" w:styleId="BookTitle">
    <w:name w:val="Book Title"/>
    <w:basedOn w:val="DefaultParagraphFont"/>
    <w:uiPriority w:val="33"/>
    <w:qFormat/>
    <w:rsid w:val="00975BA2"/>
    <w:rPr>
      <w:b/>
      <w:bCs/>
      <w:smallCaps/>
      <w:spacing w:val="10"/>
    </w:rPr>
  </w:style>
  <w:style w:type="paragraph" w:styleId="TOCHeading">
    <w:name w:val="TOC Heading"/>
    <w:basedOn w:val="Heading1"/>
    <w:next w:val="Normal"/>
    <w:uiPriority w:val="39"/>
    <w:semiHidden/>
    <w:unhideWhenUsed/>
    <w:qFormat/>
    <w:rsid w:val="00975BA2"/>
    <w:pPr>
      <w:outlineLvl w:val="9"/>
    </w:pPr>
  </w:style>
  <w:style w:type="paragraph" w:styleId="FootnoteText">
    <w:name w:val="footnote text"/>
    <w:basedOn w:val="Normal"/>
    <w:link w:val="FootnoteTextChar"/>
    <w:uiPriority w:val="99"/>
    <w:semiHidden/>
    <w:unhideWhenUsed/>
    <w:rsid w:val="00AE1E52"/>
    <w:rPr>
      <w:sz w:val="20"/>
    </w:rPr>
  </w:style>
  <w:style w:type="character" w:customStyle="1" w:styleId="FootnoteTextChar">
    <w:name w:val="Footnote Text Char"/>
    <w:basedOn w:val="DefaultParagraphFont"/>
    <w:link w:val="FootnoteText"/>
    <w:uiPriority w:val="99"/>
    <w:semiHidden/>
    <w:rsid w:val="00AE1E52"/>
    <w:rPr>
      <w:rFonts w:eastAsia="Times New Roman" w:cs="Times New Roman"/>
      <w:sz w:val="20"/>
      <w:szCs w:val="20"/>
      <w:lang w:eastAsia="en-GB"/>
    </w:rPr>
  </w:style>
  <w:style w:type="character" w:styleId="FootnoteReference">
    <w:name w:val="footnote reference"/>
    <w:basedOn w:val="DefaultParagraphFont"/>
    <w:uiPriority w:val="99"/>
    <w:semiHidden/>
    <w:unhideWhenUsed/>
    <w:rsid w:val="00AE1E52"/>
    <w:rPr>
      <w:vertAlign w:val="superscript"/>
    </w:rPr>
  </w:style>
  <w:style w:type="paragraph" w:styleId="Revision">
    <w:name w:val="Revision"/>
    <w:hidden/>
    <w:uiPriority w:val="99"/>
    <w:semiHidden/>
    <w:rsid w:val="00CC4FED"/>
    <w:pPr>
      <w:spacing w:after="0" w:line="240" w:lineRule="auto"/>
    </w:pPr>
    <w:rPr>
      <w:rFonts w:eastAsia="Times New Roman" w:cs="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311355">
      <w:bodyDiv w:val="1"/>
      <w:marLeft w:val="0"/>
      <w:marRight w:val="0"/>
      <w:marTop w:val="0"/>
      <w:marBottom w:val="0"/>
      <w:divBdr>
        <w:top w:val="none" w:sz="0" w:space="0" w:color="auto"/>
        <w:left w:val="none" w:sz="0" w:space="0" w:color="auto"/>
        <w:bottom w:val="none" w:sz="0" w:space="0" w:color="auto"/>
        <w:right w:val="none" w:sz="0" w:space="0" w:color="auto"/>
      </w:divBdr>
      <w:divsChild>
        <w:div w:id="1721442584">
          <w:marLeft w:val="0"/>
          <w:marRight w:val="0"/>
          <w:marTop w:val="0"/>
          <w:marBottom w:val="0"/>
          <w:divBdr>
            <w:top w:val="none" w:sz="0" w:space="0" w:color="auto"/>
            <w:left w:val="none" w:sz="0" w:space="0" w:color="auto"/>
            <w:bottom w:val="none" w:sz="0" w:space="0" w:color="auto"/>
            <w:right w:val="none" w:sz="0" w:space="0" w:color="auto"/>
          </w:divBdr>
          <w:divsChild>
            <w:div w:id="1087311499">
              <w:marLeft w:val="0"/>
              <w:marRight w:val="0"/>
              <w:marTop w:val="0"/>
              <w:marBottom w:val="0"/>
              <w:divBdr>
                <w:top w:val="none" w:sz="0" w:space="0" w:color="auto"/>
                <w:left w:val="none" w:sz="0" w:space="0" w:color="auto"/>
                <w:bottom w:val="none" w:sz="0" w:space="0" w:color="auto"/>
                <w:right w:val="none" w:sz="0" w:space="0" w:color="auto"/>
              </w:divBdr>
              <w:divsChild>
                <w:div w:id="85387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997350">
      <w:bodyDiv w:val="1"/>
      <w:marLeft w:val="0"/>
      <w:marRight w:val="0"/>
      <w:marTop w:val="0"/>
      <w:marBottom w:val="0"/>
      <w:divBdr>
        <w:top w:val="none" w:sz="0" w:space="0" w:color="auto"/>
        <w:left w:val="none" w:sz="0" w:space="0" w:color="auto"/>
        <w:bottom w:val="none" w:sz="0" w:space="0" w:color="auto"/>
        <w:right w:val="none" w:sz="0" w:space="0" w:color="auto"/>
      </w:divBdr>
      <w:divsChild>
        <w:div w:id="25722457">
          <w:marLeft w:val="0"/>
          <w:marRight w:val="0"/>
          <w:marTop w:val="0"/>
          <w:marBottom w:val="0"/>
          <w:divBdr>
            <w:top w:val="none" w:sz="0" w:space="0" w:color="auto"/>
            <w:left w:val="none" w:sz="0" w:space="0" w:color="auto"/>
            <w:bottom w:val="none" w:sz="0" w:space="0" w:color="auto"/>
            <w:right w:val="none" w:sz="0" w:space="0" w:color="auto"/>
          </w:divBdr>
          <w:divsChild>
            <w:div w:id="711463814">
              <w:marLeft w:val="0"/>
              <w:marRight w:val="0"/>
              <w:marTop w:val="0"/>
              <w:marBottom w:val="0"/>
              <w:divBdr>
                <w:top w:val="none" w:sz="0" w:space="0" w:color="auto"/>
                <w:left w:val="none" w:sz="0" w:space="0" w:color="auto"/>
                <w:bottom w:val="none" w:sz="0" w:space="0" w:color="auto"/>
                <w:right w:val="none" w:sz="0" w:space="0" w:color="auto"/>
              </w:divBdr>
              <w:divsChild>
                <w:div w:id="112507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952484">
      <w:bodyDiv w:val="1"/>
      <w:marLeft w:val="0"/>
      <w:marRight w:val="0"/>
      <w:marTop w:val="0"/>
      <w:marBottom w:val="0"/>
      <w:divBdr>
        <w:top w:val="none" w:sz="0" w:space="0" w:color="auto"/>
        <w:left w:val="none" w:sz="0" w:space="0" w:color="auto"/>
        <w:bottom w:val="none" w:sz="0" w:space="0" w:color="auto"/>
        <w:right w:val="none" w:sz="0" w:space="0" w:color="auto"/>
      </w:divBdr>
      <w:divsChild>
        <w:div w:id="2103796122">
          <w:marLeft w:val="0"/>
          <w:marRight w:val="0"/>
          <w:marTop w:val="0"/>
          <w:marBottom w:val="0"/>
          <w:divBdr>
            <w:top w:val="none" w:sz="0" w:space="0" w:color="auto"/>
            <w:left w:val="none" w:sz="0" w:space="0" w:color="auto"/>
            <w:bottom w:val="none" w:sz="0" w:space="0" w:color="auto"/>
            <w:right w:val="none" w:sz="0" w:space="0" w:color="auto"/>
          </w:divBdr>
          <w:divsChild>
            <w:div w:id="1995916156">
              <w:marLeft w:val="0"/>
              <w:marRight w:val="0"/>
              <w:marTop w:val="0"/>
              <w:marBottom w:val="0"/>
              <w:divBdr>
                <w:top w:val="none" w:sz="0" w:space="0" w:color="auto"/>
                <w:left w:val="none" w:sz="0" w:space="0" w:color="auto"/>
                <w:bottom w:val="none" w:sz="0" w:space="0" w:color="auto"/>
                <w:right w:val="none" w:sz="0" w:space="0" w:color="auto"/>
              </w:divBdr>
              <w:divsChild>
                <w:div w:id="213925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091815">
      <w:bodyDiv w:val="1"/>
      <w:marLeft w:val="0"/>
      <w:marRight w:val="0"/>
      <w:marTop w:val="0"/>
      <w:marBottom w:val="0"/>
      <w:divBdr>
        <w:top w:val="none" w:sz="0" w:space="0" w:color="auto"/>
        <w:left w:val="none" w:sz="0" w:space="0" w:color="auto"/>
        <w:bottom w:val="none" w:sz="0" w:space="0" w:color="auto"/>
        <w:right w:val="none" w:sz="0" w:space="0" w:color="auto"/>
      </w:divBdr>
    </w:div>
    <w:div w:id="204991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2.sv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ernard.oconnor/Desktop/O'C&amp;Co%20MEMOs.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Connor">
      <a:majorFont>
        <a:latin typeface="Roboto Condensed "/>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30f7a5d-8fa8-41c9-ac7a-9b097ed4b6af" xsi:nil="true"/>
    <lcf76f155ced4ddcb4097134ff3c332f xmlns="ef760887-92d3-413b-b11d-236601df688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C4E9D8-C4F7-4ED4-87FA-12AEE15037A0}"/>
</file>

<file path=customXml/itemProps2.xml><?xml version="1.0" encoding="utf-8"?>
<ds:datastoreItem xmlns:ds="http://schemas.openxmlformats.org/officeDocument/2006/customXml" ds:itemID="{16E5E297-1242-A948-83B6-E97F33C11C6A}">
  <ds:schemaRefs>
    <ds:schemaRef ds:uri="http://schemas.openxmlformats.org/officeDocument/2006/bibliography"/>
  </ds:schemaRefs>
</ds:datastoreItem>
</file>

<file path=customXml/itemProps3.xml><?xml version="1.0" encoding="utf-8"?>
<ds:datastoreItem xmlns:ds="http://schemas.openxmlformats.org/officeDocument/2006/customXml" ds:itemID="{7F4E4666-1D9A-4CE1-A57D-249E7C726BF7}">
  <ds:schemaRefs>
    <ds:schemaRef ds:uri="http://schemas.microsoft.com/office/2006/metadata/properties"/>
    <ds:schemaRef ds:uri="http://schemas.microsoft.com/office/infopath/2007/PartnerControls"/>
    <ds:schemaRef ds:uri="986e3e58-26b3-45da-abc8-866ada8933c9"/>
    <ds:schemaRef ds:uri="2812dc23-f4bb-4942-ae70-54d2535d2200"/>
  </ds:schemaRefs>
</ds:datastoreItem>
</file>

<file path=customXml/itemProps4.xml><?xml version="1.0" encoding="utf-8"?>
<ds:datastoreItem xmlns:ds="http://schemas.openxmlformats.org/officeDocument/2006/customXml" ds:itemID="{760A4250-18C9-4873-A91F-6078041248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O'C&amp;Co MEMOs.dotx</Template>
  <TotalTime>1</TotalTime>
  <Pages>1</Pages>
  <Words>274</Words>
  <Characters>1566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Emma Pessotto</cp:lastModifiedBy>
  <cp:revision>3</cp:revision>
  <dcterms:created xsi:type="dcterms:W3CDTF">2023-02-21T08:23:00Z</dcterms:created>
  <dcterms:modified xsi:type="dcterms:W3CDTF">2023-02-21T08:24:00Z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MediaServiceImageTags">
    <vt:lpwstr/>
  </property>
</Properties>
</file>