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D31C11"/>
    <w:p w14:paraId="20B004C6" w14:textId="01C9967A" w:rsidR="007A40EE" w:rsidRDefault="003A20AE">
      <w:r>
        <w:t xml:space="preserve">Annex </w:t>
      </w:r>
      <w:r w:rsidR="007200E6">
        <w:t>L</w:t>
      </w:r>
    </w:p>
    <w:p w14:paraId="134D3E64" w14:textId="1FE4F7C1" w:rsidR="00A25A1C" w:rsidRDefault="00B05109">
      <w:r>
        <w:t>The original document includ</w:t>
      </w:r>
      <w:r w:rsidR="00DE77B7">
        <w:t>ed</w:t>
      </w:r>
      <w:r>
        <w:t xml:space="preserve"> detailed internal profit and loss accounts and cash flows</w:t>
      </w:r>
      <w:r w:rsidR="00A25A1C">
        <w:t xml:space="preserve"> for the UK ironing board</w:t>
      </w:r>
      <w:r>
        <w:t xml:space="preserve"> </w:t>
      </w:r>
      <w:r w:rsidR="00A25A1C">
        <w:t xml:space="preserve">market within the applicant. It </w:t>
      </w:r>
      <w:r w:rsidR="00A25A1C" w:rsidRPr="00A25A1C">
        <w:t xml:space="preserve">would be detrimental to the applicant if it was made publicly available </w:t>
      </w:r>
      <w:r w:rsidR="00DE77B7">
        <w:t xml:space="preserve">as it would give confidential management figures to competitors and customers giving them a clear competitive advantage. it </w:t>
      </w:r>
      <w:r w:rsidR="00A25A1C" w:rsidRPr="00A25A1C">
        <w:t>has therefore been re</w:t>
      </w:r>
      <w:r w:rsidR="00DE77B7">
        <w:t>mov</w:t>
      </w:r>
      <w:r w:rsidR="00A25A1C" w:rsidRPr="00A25A1C">
        <w:t>ed.</w:t>
      </w:r>
      <w:r w:rsidR="00D31C11" w:rsidRPr="00D31C11">
        <w:t xml:space="preserve"> </w:t>
      </w:r>
      <w:r w:rsidR="00D31C11" w:rsidRPr="00D31C11">
        <w:t>It cannot be further redacted or summarised beyond what is revealed</w:t>
      </w:r>
      <w:r w:rsidR="00D31C11">
        <w:t xml:space="preserve"> below</w:t>
      </w:r>
      <w:r w:rsidR="00D31C11" w:rsidRPr="00D31C11">
        <w:t>.</w:t>
      </w:r>
    </w:p>
    <w:p w14:paraId="4E31C0B1" w14:textId="02D3AFA3" w:rsidR="00A25A1C" w:rsidRDefault="00A25A1C">
      <w:r>
        <w:t>An indexed summary of the information is 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094"/>
        <w:gridCol w:w="1094"/>
        <w:gridCol w:w="1095"/>
        <w:gridCol w:w="1095"/>
        <w:gridCol w:w="1095"/>
        <w:gridCol w:w="1095"/>
        <w:gridCol w:w="1095"/>
      </w:tblGrid>
      <w:tr w:rsidR="00A25A1C" w14:paraId="5E22B47A" w14:textId="77777777" w:rsidTr="00CA3F95">
        <w:tc>
          <w:tcPr>
            <w:tcW w:w="1353" w:type="dxa"/>
            <w:shd w:val="clear" w:color="auto" w:fill="BFBFBF" w:themeFill="background1" w:themeFillShade="BF"/>
          </w:tcPr>
          <w:p w14:paraId="310B627B" w14:textId="77777777" w:rsidR="00A25A1C" w:rsidRPr="00CA3F95" w:rsidRDefault="00A25A1C">
            <w:pPr>
              <w:rPr>
                <w:b/>
                <w:bCs/>
              </w:rPr>
            </w:pPr>
            <w:bookmarkStart w:id="0" w:name="_Hlk99374239"/>
          </w:p>
        </w:tc>
        <w:tc>
          <w:tcPr>
            <w:tcW w:w="1094" w:type="dxa"/>
            <w:shd w:val="clear" w:color="auto" w:fill="BFBFBF" w:themeFill="background1" w:themeFillShade="BF"/>
          </w:tcPr>
          <w:p w14:paraId="1CCDC9E0" w14:textId="32015F49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2015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1DC64AE7" w14:textId="2D1D74C7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2016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5B34400E" w14:textId="3D4243DC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2017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7E8A4581" w14:textId="752A7AF2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2018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19995FB3" w14:textId="0A121FDC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2019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2BF916FE" w14:textId="2941465C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2020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0DF3D443" w14:textId="69028081" w:rsidR="00A25A1C" w:rsidRPr="00CA3F95" w:rsidRDefault="00A25A1C" w:rsidP="00CC44A8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2021</w:t>
            </w:r>
          </w:p>
        </w:tc>
      </w:tr>
      <w:tr w:rsidR="00A25A1C" w14:paraId="44D3500E" w14:textId="77777777" w:rsidTr="00CC44A8">
        <w:tc>
          <w:tcPr>
            <w:tcW w:w="1353" w:type="dxa"/>
          </w:tcPr>
          <w:p w14:paraId="7472979D" w14:textId="552AE37C" w:rsidR="00A25A1C" w:rsidRDefault="00A25A1C">
            <w:r>
              <w:t>Sales</w:t>
            </w:r>
          </w:p>
        </w:tc>
        <w:tc>
          <w:tcPr>
            <w:tcW w:w="1094" w:type="dxa"/>
          </w:tcPr>
          <w:p w14:paraId="6B2F666E" w14:textId="7C38383B" w:rsidR="00A25A1C" w:rsidRDefault="00BF309A" w:rsidP="00CC44A8">
            <w:pPr>
              <w:jc w:val="center"/>
            </w:pPr>
            <w:r>
              <w:t>105</w:t>
            </w:r>
          </w:p>
        </w:tc>
        <w:tc>
          <w:tcPr>
            <w:tcW w:w="1094" w:type="dxa"/>
          </w:tcPr>
          <w:p w14:paraId="147988AB" w14:textId="1BA587D9" w:rsidR="00A25A1C" w:rsidRDefault="00BF309A" w:rsidP="00CC44A8">
            <w:pPr>
              <w:jc w:val="center"/>
            </w:pPr>
            <w:r>
              <w:t>113</w:t>
            </w:r>
          </w:p>
        </w:tc>
        <w:tc>
          <w:tcPr>
            <w:tcW w:w="1095" w:type="dxa"/>
          </w:tcPr>
          <w:p w14:paraId="157CC198" w14:textId="55DF3215" w:rsidR="00A25A1C" w:rsidRDefault="00BF309A" w:rsidP="00CC44A8">
            <w:pPr>
              <w:jc w:val="center"/>
            </w:pPr>
            <w:r>
              <w:t>97</w:t>
            </w:r>
          </w:p>
        </w:tc>
        <w:tc>
          <w:tcPr>
            <w:tcW w:w="1095" w:type="dxa"/>
          </w:tcPr>
          <w:p w14:paraId="6E1BA3E8" w14:textId="08593B3E" w:rsidR="00A25A1C" w:rsidRDefault="00BF309A" w:rsidP="00CC44A8">
            <w:pPr>
              <w:jc w:val="center"/>
            </w:pPr>
            <w:r>
              <w:t>100</w:t>
            </w:r>
          </w:p>
        </w:tc>
        <w:tc>
          <w:tcPr>
            <w:tcW w:w="1095" w:type="dxa"/>
          </w:tcPr>
          <w:p w14:paraId="356BE442" w14:textId="2BDD6DD5" w:rsidR="00A25A1C" w:rsidRDefault="00BF309A" w:rsidP="00CC44A8">
            <w:pPr>
              <w:jc w:val="center"/>
            </w:pPr>
            <w:r>
              <w:t>97</w:t>
            </w:r>
          </w:p>
        </w:tc>
        <w:tc>
          <w:tcPr>
            <w:tcW w:w="1095" w:type="dxa"/>
          </w:tcPr>
          <w:p w14:paraId="07207DE3" w14:textId="5D1B39D1" w:rsidR="00A25A1C" w:rsidRDefault="00BF309A" w:rsidP="00CC44A8">
            <w:pPr>
              <w:jc w:val="center"/>
            </w:pPr>
            <w:r>
              <w:t>84</w:t>
            </w:r>
          </w:p>
        </w:tc>
        <w:tc>
          <w:tcPr>
            <w:tcW w:w="1095" w:type="dxa"/>
          </w:tcPr>
          <w:p w14:paraId="048A3301" w14:textId="43FB2624" w:rsidR="00A25A1C" w:rsidRDefault="00BF309A" w:rsidP="00CC44A8">
            <w:pPr>
              <w:jc w:val="center"/>
            </w:pPr>
            <w:r>
              <w:t>90</w:t>
            </w:r>
          </w:p>
        </w:tc>
      </w:tr>
      <w:tr w:rsidR="00A25A1C" w14:paraId="0F131B52" w14:textId="77777777" w:rsidTr="00CC44A8">
        <w:tc>
          <w:tcPr>
            <w:tcW w:w="1353" w:type="dxa"/>
          </w:tcPr>
          <w:p w14:paraId="79B306BE" w14:textId="7B58C22A" w:rsidR="00A25A1C" w:rsidRDefault="00CC44A8">
            <w:r>
              <w:t>Contribution</w:t>
            </w:r>
          </w:p>
        </w:tc>
        <w:tc>
          <w:tcPr>
            <w:tcW w:w="1094" w:type="dxa"/>
          </w:tcPr>
          <w:p w14:paraId="6416A92C" w14:textId="76AED21C" w:rsidR="00A25A1C" w:rsidRDefault="00CC44A8" w:rsidP="00CC44A8">
            <w:pPr>
              <w:jc w:val="center"/>
            </w:pPr>
            <w:r>
              <w:t>156</w:t>
            </w:r>
          </w:p>
        </w:tc>
        <w:tc>
          <w:tcPr>
            <w:tcW w:w="1094" w:type="dxa"/>
          </w:tcPr>
          <w:p w14:paraId="5464EA74" w14:textId="4347656B" w:rsidR="00A25A1C" w:rsidRDefault="00CC44A8" w:rsidP="00CC44A8">
            <w:pPr>
              <w:jc w:val="center"/>
            </w:pPr>
            <w:r>
              <w:t>153</w:t>
            </w:r>
          </w:p>
        </w:tc>
        <w:tc>
          <w:tcPr>
            <w:tcW w:w="1095" w:type="dxa"/>
          </w:tcPr>
          <w:p w14:paraId="3E834C71" w14:textId="55F72AA3" w:rsidR="00A25A1C" w:rsidRDefault="00CC44A8" w:rsidP="00CC44A8">
            <w:pPr>
              <w:jc w:val="center"/>
            </w:pPr>
            <w:r>
              <w:t>144</w:t>
            </w:r>
          </w:p>
        </w:tc>
        <w:tc>
          <w:tcPr>
            <w:tcW w:w="1095" w:type="dxa"/>
          </w:tcPr>
          <w:p w14:paraId="4E185EE5" w14:textId="78701735" w:rsidR="00A25A1C" w:rsidRDefault="00CC44A8" w:rsidP="00CC44A8">
            <w:pPr>
              <w:jc w:val="center"/>
            </w:pPr>
            <w:r>
              <w:t>100</w:t>
            </w:r>
          </w:p>
        </w:tc>
        <w:tc>
          <w:tcPr>
            <w:tcW w:w="1095" w:type="dxa"/>
          </w:tcPr>
          <w:p w14:paraId="17FD5AD9" w14:textId="04245CCB" w:rsidR="00A25A1C" w:rsidRDefault="00CC44A8" w:rsidP="00CC44A8">
            <w:pPr>
              <w:jc w:val="center"/>
            </w:pPr>
            <w:r>
              <w:t>65</w:t>
            </w:r>
          </w:p>
        </w:tc>
        <w:tc>
          <w:tcPr>
            <w:tcW w:w="1095" w:type="dxa"/>
          </w:tcPr>
          <w:p w14:paraId="6D9300A2" w14:textId="1DE00F3A" w:rsidR="00A25A1C" w:rsidRDefault="00CC44A8" w:rsidP="00CC44A8">
            <w:pPr>
              <w:jc w:val="center"/>
            </w:pPr>
            <w:r>
              <w:t>65</w:t>
            </w:r>
          </w:p>
        </w:tc>
        <w:tc>
          <w:tcPr>
            <w:tcW w:w="1095" w:type="dxa"/>
          </w:tcPr>
          <w:p w14:paraId="3B8C43D5" w14:textId="2F1D05C7" w:rsidR="00A25A1C" w:rsidRDefault="00CC44A8" w:rsidP="00CC44A8">
            <w:pPr>
              <w:jc w:val="center"/>
            </w:pPr>
            <w:r>
              <w:t>36</w:t>
            </w:r>
          </w:p>
        </w:tc>
      </w:tr>
      <w:tr w:rsidR="00CA3F95" w14:paraId="2919FEF8" w14:textId="77777777" w:rsidTr="00CC44A8">
        <w:tc>
          <w:tcPr>
            <w:tcW w:w="1353" w:type="dxa"/>
          </w:tcPr>
          <w:p w14:paraId="65E59699" w14:textId="173B9633" w:rsidR="00CA3F95" w:rsidRDefault="00CA3F95">
            <w:r>
              <w:t>Investments</w:t>
            </w:r>
          </w:p>
        </w:tc>
        <w:tc>
          <w:tcPr>
            <w:tcW w:w="1094" w:type="dxa"/>
          </w:tcPr>
          <w:p w14:paraId="33CF6006" w14:textId="6A2335B7" w:rsidR="00CA3F95" w:rsidRDefault="00CA3F95" w:rsidP="00CC44A8">
            <w:pPr>
              <w:jc w:val="center"/>
            </w:pPr>
            <w:r>
              <w:t>10</w:t>
            </w:r>
          </w:p>
        </w:tc>
        <w:tc>
          <w:tcPr>
            <w:tcW w:w="1094" w:type="dxa"/>
          </w:tcPr>
          <w:p w14:paraId="35A383FF" w14:textId="55200137" w:rsidR="00CA3F95" w:rsidRDefault="00CA3F95" w:rsidP="00CC44A8">
            <w:pPr>
              <w:jc w:val="center"/>
            </w:pPr>
            <w:r>
              <w:t>39</w:t>
            </w:r>
          </w:p>
        </w:tc>
        <w:tc>
          <w:tcPr>
            <w:tcW w:w="1095" w:type="dxa"/>
          </w:tcPr>
          <w:p w14:paraId="5D0BA1DB" w14:textId="49682A99" w:rsidR="00CA3F95" w:rsidRDefault="00CA3F95" w:rsidP="00CC44A8">
            <w:pPr>
              <w:jc w:val="center"/>
            </w:pPr>
            <w:r>
              <w:t>27</w:t>
            </w:r>
          </w:p>
        </w:tc>
        <w:tc>
          <w:tcPr>
            <w:tcW w:w="1095" w:type="dxa"/>
          </w:tcPr>
          <w:p w14:paraId="224D2EB2" w14:textId="76150BBC" w:rsidR="00CA3F95" w:rsidRDefault="00CA3F95" w:rsidP="00CC44A8">
            <w:pPr>
              <w:jc w:val="center"/>
            </w:pPr>
            <w:r>
              <w:t>100</w:t>
            </w:r>
          </w:p>
        </w:tc>
        <w:tc>
          <w:tcPr>
            <w:tcW w:w="1095" w:type="dxa"/>
          </w:tcPr>
          <w:p w14:paraId="060517DE" w14:textId="086194C6" w:rsidR="00CA3F95" w:rsidRDefault="00CA3F95" w:rsidP="00CC44A8">
            <w:pPr>
              <w:jc w:val="center"/>
            </w:pPr>
            <w:r>
              <w:t>61</w:t>
            </w:r>
          </w:p>
        </w:tc>
        <w:tc>
          <w:tcPr>
            <w:tcW w:w="1095" w:type="dxa"/>
          </w:tcPr>
          <w:p w14:paraId="0C7151C7" w14:textId="4E11C33D" w:rsidR="00CA3F95" w:rsidRDefault="00CA3F95" w:rsidP="00CC44A8">
            <w:pPr>
              <w:jc w:val="center"/>
            </w:pPr>
            <w:r>
              <w:t>40</w:t>
            </w:r>
          </w:p>
        </w:tc>
        <w:tc>
          <w:tcPr>
            <w:tcW w:w="1095" w:type="dxa"/>
          </w:tcPr>
          <w:p w14:paraId="725B069F" w14:textId="1B709522" w:rsidR="00CA3F95" w:rsidRDefault="00CA3F95" w:rsidP="00CC44A8">
            <w:pPr>
              <w:jc w:val="center"/>
            </w:pPr>
            <w:r>
              <w:t>12</w:t>
            </w:r>
          </w:p>
        </w:tc>
      </w:tr>
      <w:bookmarkEnd w:id="0"/>
      <w:tr w:rsidR="00CA3F95" w14:paraId="0FB7CE29" w14:textId="77777777" w:rsidTr="00CC44A8">
        <w:tc>
          <w:tcPr>
            <w:tcW w:w="1353" w:type="dxa"/>
          </w:tcPr>
          <w:p w14:paraId="7B4EE17E" w14:textId="17EFCD3A" w:rsidR="00CA3F95" w:rsidRDefault="00CA3F95">
            <w:r>
              <w:t>Inventories</w:t>
            </w:r>
          </w:p>
        </w:tc>
        <w:tc>
          <w:tcPr>
            <w:tcW w:w="1094" w:type="dxa"/>
          </w:tcPr>
          <w:p w14:paraId="1C2DA0A0" w14:textId="79AC5BCF" w:rsidR="00CA3F95" w:rsidRDefault="00CC7C6C" w:rsidP="00CC44A8">
            <w:pPr>
              <w:jc w:val="center"/>
            </w:pPr>
            <w:r>
              <w:t>106</w:t>
            </w:r>
          </w:p>
        </w:tc>
        <w:tc>
          <w:tcPr>
            <w:tcW w:w="1094" w:type="dxa"/>
          </w:tcPr>
          <w:p w14:paraId="1D77EBB9" w14:textId="020A4725" w:rsidR="00CA3F95" w:rsidRDefault="00CC7C6C" w:rsidP="00CC44A8">
            <w:pPr>
              <w:jc w:val="center"/>
            </w:pPr>
            <w:r>
              <w:t>125</w:t>
            </w:r>
          </w:p>
        </w:tc>
        <w:tc>
          <w:tcPr>
            <w:tcW w:w="1095" w:type="dxa"/>
          </w:tcPr>
          <w:p w14:paraId="1C9AEAA1" w14:textId="23329402" w:rsidR="00CA3F95" w:rsidRDefault="00CC7C6C" w:rsidP="00CC44A8">
            <w:pPr>
              <w:jc w:val="center"/>
            </w:pPr>
            <w:r>
              <w:t>104</w:t>
            </w:r>
          </w:p>
        </w:tc>
        <w:tc>
          <w:tcPr>
            <w:tcW w:w="1095" w:type="dxa"/>
          </w:tcPr>
          <w:p w14:paraId="7E27F4D5" w14:textId="101B7206" w:rsidR="00CA3F95" w:rsidRDefault="00CC7C6C" w:rsidP="00CC44A8">
            <w:pPr>
              <w:jc w:val="center"/>
            </w:pPr>
            <w:r>
              <w:t>100</w:t>
            </w:r>
          </w:p>
        </w:tc>
        <w:tc>
          <w:tcPr>
            <w:tcW w:w="1095" w:type="dxa"/>
          </w:tcPr>
          <w:p w14:paraId="5DE8811E" w14:textId="1FFAD44F" w:rsidR="00CA3F95" w:rsidRDefault="00CC7C6C" w:rsidP="00CC44A8">
            <w:pPr>
              <w:jc w:val="center"/>
            </w:pPr>
            <w:r>
              <w:t>130</w:t>
            </w:r>
          </w:p>
        </w:tc>
        <w:tc>
          <w:tcPr>
            <w:tcW w:w="1095" w:type="dxa"/>
          </w:tcPr>
          <w:p w14:paraId="3BAE51E9" w14:textId="58E870AB" w:rsidR="00CA3F95" w:rsidRDefault="00CC7C6C" w:rsidP="00CC44A8">
            <w:pPr>
              <w:jc w:val="center"/>
            </w:pPr>
            <w:r>
              <w:t>120</w:t>
            </w:r>
          </w:p>
        </w:tc>
        <w:tc>
          <w:tcPr>
            <w:tcW w:w="1095" w:type="dxa"/>
          </w:tcPr>
          <w:p w14:paraId="298934B5" w14:textId="01AF1E32" w:rsidR="00CA3F95" w:rsidRDefault="00CC7C6C" w:rsidP="00CC44A8">
            <w:pPr>
              <w:jc w:val="center"/>
            </w:pPr>
            <w:r>
              <w:t>116</w:t>
            </w:r>
          </w:p>
        </w:tc>
      </w:tr>
    </w:tbl>
    <w:p w14:paraId="0E05B797" w14:textId="09474F9F" w:rsidR="00A25A1C" w:rsidRDefault="00A25A1C"/>
    <w:p w14:paraId="0FC63778" w14:textId="07C49270" w:rsidR="00D92FAE" w:rsidRDefault="00D92FAE">
      <w:r>
        <w:t>Indexed Sales to specific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094"/>
        <w:gridCol w:w="1094"/>
        <w:gridCol w:w="1095"/>
        <w:gridCol w:w="1095"/>
        <w:gridCol w:w="1095"/>
        <w:gridCol w:w="1095"/>
        <w:gridCol w:w="1095"/>
      </w:tblGrid>
      <w:tr w:rsidR="00D92FAE" w:rsidRPr="00CA3F95" w14:paraId="2D3AB343" w14:textId="77777777" w:rsidTr="000B7A31">
        <w:tc>
          <w:tcPr>
            <w:tcW w:w="1353" w:type="dxa"/>
            <w:shd w:val="clear" w:color="auto" w:fill="BFBFBF" w:themeFill="background1" w:themeFillShade="BF"/>
          </w:tcPr>
          <w:p w14:paraId="208F98BB" w14:textId="77777777" w:rsidR="00D92FAE" w:rsidRPr="00CA3F95" w:rsidRDefault="00D92FAE" w:rsidP="000B7A31">
            <w:pPr>
              <w:rPr>
                <w:b/>
                <w:bCs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14:paraId="3FE31347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2015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0567605D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2016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69E893E5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2017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1A7E964E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2018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0558E736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2019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3EAAB0EC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2020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35523151" w14:textId="77777777" w:rsidR="00D92FAE" w:rsidRPr="00CA3F95" w:rsidRDefault="00D92FAE" w:rsidP="000B7A31">
            <w:pPr>
              <w:jc w:val="center"/>
              <w:rPr>
                <w:b/>
                <w:bCs/>
              </w:rPr>
            </w:pPr>
            <w:r w:rsidRPr="00CA3F95">
              <w:rPr>
                <w:b/>
                <w:bCs/>
              </w:rPr>
              <w:t>2021</w:t>
            </w:r>
          </w:p>
        </w:tc>
      </w:tr>
      <w:tr w:rsidR="00D92FAE" w14:paraId="334141EE" w14:textId="77777777" w:rsidTr="000B7A31">
        <w:tc>
          <w:tcPr>
            <w:tcW w:w="1353" w:type="dxa"/>
          </w:tcPr>
          <w:p w14:paraId="3FFBEC14" w14:textId="279E7E6D" w:rsidR="00D92FAE" w:rsidRDefault="00D92FAE" w:rsidP="000B7A31">
            <w:r>
              <w:t>Retailer A</w:t>
            </w:r>
          </w:p>
        </w:tc>
        <w:tc>
          <w:tcPr>
            <w:tcW w:w="1094" w:type="dxa"/>
          </w:tcPr>
          <w:p w14:paraId="3E9C93D5" w14:textId="631B8F03" w:rsidR="00D92FAE" w:rsidRDefault="00D92FAE" w:rsidP="000B7A31">
            <w:pPr>
              <w:jc w:val="center"/>
            </w:pPr>
            <w:r>
              <w:t>100</w:t>
            </w:r>
          </w:p>
        </w:tc>
        <w:tc>
          <w:tcPr>
            <w:tcW w:w="1094" w:type="dxa"/>
          </w:tcPr>
          <w:p w14:paraId="17E020AF" w14:textId="17778E71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0C5285EF" w14:textId="6E448AB4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54E8E9AE" w14:textId="2C221FFA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06599979" w14:textId="44289F73" w:rsidR="00D92FAE" w:rsidRDefault="00D92FAE" w:rsidP="000B7A31">
            <w:pPr>
              <w:jc w:val="center"/>
            </w:pPr>
            <w:r>
              <w:t>123</w:t>
            </w:r>
          </w:p>
        </w:tc>
        <w:tc>
          <w:tcPr>
            <w:tcW w:w="1095" w:type="dxa"/>
          </w:tcPr>
          <w:p w14:paraId="36616198" w14:textId="2510F140" w:rsidR="00D92FAE" w:rsidRDefault="00D92FAE" w:rsidP="000B7A31">
            <w:pPr>
              <w:jc w:val="center"/>
            </w:pPr>
            <w:r>
              <w:t>116</w:t>
            </w:r>
          </w:p>
        </w:tc>
        <w:tc>
          <w:tcPr>
            <w:tcW w:w="1095" w:type="dxa"/>
          </w:tcPr>
          <w:p w14:paraId="50E9C541" w14:textId="1603EF08" w:rsidR="00D92FAE" w:rsidRDefault="00D92FAE" w:rsidP="000B7A31">
            <w:pPr>
              <w:jc w:val="center"/>
            </w:pPr>
            <w:r>
              <w:t>0</w:t>
            </w:r>
          </w:p>
        </w:tc>
      </w:tr>
      <w:tr w:rsidR="00D92FAE" w14:paraId="6CDB86F4" w14:textId="77777777" w:rsidTr="000B7A31">
        <w:tc>
          <w:tcPr>
            <w:tcW w:w="1353" w:type="dxa"/>
          </w:tcPr>
          <w:p w14:paraId="698B0FD7" w14:textId="2C1A2ECD" w:rsidR="00D92FAE" w:rsidRDefault="00D92FAE" w:rsidP="000B7A31">
            <w:r>
              <w:t>Retailer B</w:t>
            </w:r>
          </w:p>
        </w:tc>
        <w:tc>
          <w:tcPr>
            <w:tcW w:w="1094" w:type="dxa"/>
          </w:tcPr>
          <w:p w14:paraId="16EB96C8" w14:textId="360B343F" w:rsidR="00D92FAE" w:rsidRDefault="00D92FAE" w:rsidP="000B7A31">
            <w:pPr>
              <w:jc w:val="center"/>
            </w:pPr>
            <w:r>
              <w:t>100</w:t>
            </w:r>
          </w:p>
        </w:tc>
        <w:tc>
          <w:tcPr>
            <w:tcW w:w="1094" w:type="dxa"/>
          </w:tcPr>
          <w:p w14:paraId="67042ACE" w14:textId="4CCD314B" w:rsidR="00D92FAE" w:rsidRDefault="00D92FAE" w:rsidP="000B7A31">
            <w:pPr>
              <w:jc w:val="center"/>
            </w:pPr>
            <w:r>
              <w:t>83</w:t>
            </w:r>
          </w:p>
        </w:tc>
        <w:tc>
          <w:tcPr>
            <w:tcW w:w="1095" w:type="dxa"/>
          </w:tcPr>
          <w:p w14:paraId="25EB0ADD" w14:textId="46C421BE" w:rsidR="00D92FAE" w:rsidRDefault="00D92FAE" w:rsidP="000B7A31">
            <w:pPr>
              <w:jc w:val="center"/>
            </w:pPr>
            <w:r>
              <w:t>73</w:t>
            </w:r>
          </w:p>
        </w:tc>
        <w:tc>
          <w:tcPr>
            <w:tcW w:w="1095" w:type="dxa"/>
          </w:tcPr>
          <w:p w14:paraId="450C7496" w14:textId="1783B9C7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09E17018" w14:textId="2E389237" w:rsidR="00D92FAE" w:rsidRDefault="00D92FAE" w:rsidP="000B7A31">
            <w:pPr>
              <w:jc w:val="center"/>
            </w:pPr>
            <w:r>
              <w:t>11</w:t>
            </w:r>
          </w:p>
        </w:tc>
        <w:tc>
          <w:tcPr>
            <w:tcW w:w="1095" w:type="dxa"/>
          </w:tcPr>
          <w:p w14:paraId="2895F4C7" w14:textId="0CA8872B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1BDC48A4" w14:textId="5BFBF236" w:rsidR="00D92FAE" w:rsidRDefault="00D92FAE" w:rsidP="000B7A31">
            <w:pPr>
              <w:jc w:val="center"/>
            </w:pPr>
            <w:r>
              <w:t>0</w:t>
            </w:r>
          </w:p>
        </w:tc>
      </w:tr>
      <w:tr w:rsidR="00D92FAE" w14:paraId="47415717" w14:textId="77777777" w:rsidTr="000B7A31">
        <w:tc>
          <w:tcPr>
            <w:tcW w:w="1353" w:type="dxa"/>
          </w:tcPr>
          <w:p w14:paraId="3CD53481" w14:textId="1F79B515" w:rsidR="00D92FAE" w:rsidRDefault="00D92FAE" w:rsidP="000B7A31">
            <w:r>
              <w:t>Retailer C</w:t>
            </w:r>
          </w:p>
        </w:tc>
        <w:tc>
          <w:tcPr>
            <w:tcW w:w="1094" w:type="dxa"/>
          </w:tcPr>
          <w:p w14:paraId="5A4C0810" w14:textId="66E01686" w:rsidR="00D92FAE" w:rsidRDefault="00D92FAE" w:rsidP="000B7A31">
            <w:pPr>
              <w:jc w:val="center"/>
            </w:pPr>
            <w:r>
              <w:t>100</w:t>
            </w:r>
          </w:p>
        </w:tc>
        <w:tc>
          <w:tcPr>
            <w:tcW w:w="1094" w:type="dxa"/>
          </w:tcPr>
          <w:p w14:paraId="31DE276E" w14:textId="2C8C6FA7" w:rsidR="00D92FAE" w:rsidRDefault="00D92FAE" w:rsidP="000B7A31">
            <w:pPr>
              <w:jc w:val="center"/>
            </w:pPr>
            <w:r>
              <w:t>103</w:t>
            </w:r>
          </w:p>
        </w:tc>
        <w:tc>
          <w:tcPr>
            <w:tcW w:w="1095" w:type="dxa"/>
          </w:tcPr>
          <w:p w14:paraId="329B63BB" w14:textId="0228C4D0" w:rsidR="00D92FAE" w:rsidRDefault="00D92FAE" w:rsidP="000B7A31">
            <w:pPr>
              <w:jc w:val="center"/>
            </w:pPr>
            <w:r>
              <w:t>46</w:t>
            </w:r>
          </w:p>
        </w:tc>
        <w:tc>
          <w:tcPr>
            <w:tcW w:w="1095" w:type="dxa"/>
          </w:tcPr>
          <w:p w14:paraId="0E4DBC54" w14:textId="047D906C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573E8941" w14:textId="684BFF76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152458EF" w14:textId="3DAE0CCE" w:rsidR="00D92FAE" w:rsidRDefault="00D92FAE" w:rsidP="000B7A31">
            <w:pPr>
              <w:jc w:val="center"/>
            </w:pPr>
            <w:r>
              <w:t>0</w:t>
            </w:r>
          </w:p>
        </w:tc>
        <w:tc>
          <w:tcPr>
            <w:tcW w:w="1095" w:type="dxa"/>
          </w:tcPr>
          <w:p w14:paraId="2E7485E4" w14:textId="57BF43D0" w:rsidR="00D92FAE" w:rsidRDefault="00D92FAE" w:rsidP="000B7A31">
            <w:pPr>
              <w:jc w:val="center"/>
            </w:pPr>
            <w:r>
              <w:t>0</w:t>
            </w:r>
          </w:p>
        </w:tc>
      </w:tr>
    </w:tbl>
    <w:p w14:paraId="45CD01D0" w14:textId="30B6F056" w:rsidR="00D92FAE" w:rsidRDefault="00D92FAE" w:rsidP="00D92FAE">
      <w:r>
        <w:tab/>
      </w:r>
    </w:p>
    <w:p w14:paraId="4625DF26" w14:textId="579A3451" w:rsidR="00CC44A8" w:rsidRDefault="00CC44A8">
      <w:r>
        <w:t xml:space="preserve">The original document also includes internal management calculations of </w:t>
      </w:r>
      <w:r w:rsidR="00CA3F95">
        <w:t xml:space="preserve">declining </w:t>
      </w:r>
      <w:r>
        <w:t>profit and cash flow that cannot be indexed or ranged</w:t>
      </w:r>
      <w:r w:rsidR="00CA3F95">
        <w:t xml:space="preserve"> without causing a detrimental effect to the applicant</w:t>
      </w:r>
      <w:r w:rsidR="00DE77B7">
        <w:t xml:space="preserve"> for the reasons given above.</w:t>
      </w:r>
      <w:r w:rsidR="00CA3F95">
        <w:t xml:space="preserve">  </w:t>
      </w:r>
    </w:p>
    <w:p w14:paraId="7A54E929" w14:textId="77777777" w:rsidR="00A25A1C" w:rsidRDefault="00A25A1C"/>
    <w:p w14:paraId="5DB66375" w14:textId="6588594E" w:rsidR="007A40EE" w:rsidRDefault="007A40EE"/>
    <w:sectPr w:rsidR="007A4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0932A3"/>
    <w:rsid w:val="00136716"/>
    <w:rsid w:val="001B54F8"/>
    <w:rsid w:val="00354E5C"/>
    <w:rsid w:val="003A20AE"/>
    <w:rsid w:val="005C3AED"/>
    <w:rsid w:val="00651A82"/>
    <w:rsid w:val="0069275D"/>
    <w:rsid w:val="006D11A7"/>
    <w:rsid w:val="007200E6"/>
    <w:rsid w:val="007A40EE"/>
    <w:rsid w:val="00A25A1C"/>
    <w:rsid w:val="00AC7261"/>
    <w:rsid w:val="00B05109"/>
    <w:rsid w:val="00BF309A"/>
    <w:rsid w:val="00C538DD"/>
    <w:rsid w:val="00CA3F95"/>
    <w:rsid w:val="00CA6F98"/>
    <w:rsid w:val="00CC44A8"/>
    <w:rsid w:val="00CC7C6C"/>
    <w:rsid w:val="00D31C11"/>
    <w:rsid w:val="00D91185"/>
    <w:rsid w:val="00D92FAE"/>
    <w:rsid w:val="00DE77B7"/>
    <w:rsid w:val="00E40BA7"/>
    <w:rsid w:val="00ED2F5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E300E30-1A6F-496A-AF57-80BB2F44838D}"/>
</file>

<file path=customXml/itemProps2.xml><?xml version="1.0" encoding="utf-8"?>
<ds:datastoreItem xmlns:ds="http://schemas.openxmlformats.org/officeDocument/2006/customXml" ds:itemID="{11B3C95C-A2D8-4F58-BBE3-2B9559F6B05E}"/>
</file>

<file path=customXml/itemProps3.xml><?xml version="1.0" encoding="utf-8"?>
<ds:datastoreItem xmlns:ds="http://schemas.openxmlformats.org/officeDocument/2006/customXml" ds:itemID="{908262BA-625A-4882-9FE1-01FB2F2DE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7</cp:revision>
  <cp:lastPrinted>2022-02-17T15:49:00Z</cp:lastPrinted>
  <dcterms:created xsi:type="dcterms:W3CDTF">2022-02-18T15:49:00Z</dcterms:created>
  <dcterms:modified xsi:type="dcterms:W3CDTF">2022-03-30T15:25:00Z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