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0E3765" w:rsidRPr="00A547E0" w14:paraId="18EB58A9" w14:textId="77777777" w:rsidTr="000E3765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102ECE8" w14:textId="77777777" w:rsidR="000E3765" w:rsidRPr="00A547E0" w:rsidRDefault="000E3765" w:rsidP="00DC50AA">
            <w:pPr>
              <w:pStyle w:val="ZCom"/>
            </w:pPr>
            <w:bookmarkStart w:id="0" w:name="_GoBack"/>
            <w:bookmarkEnd w:id="0"/>
            <w:r w:rsidRPr="00A547E0">
              <w:rPr>
                <w:noProof/>
                <w:sz w:val="20"/>
                <w:szCs w:val="20"/>
              </w:rPr>
              <w:drawing>
                <wp:inline distT="0" distB="0" distL="0" distR="0" wp14:anchorId="0FF23360" wp14:editId="59A9AAB0">
                  <wp:extent cx="1363980" cy="678180"/>
                  <wp:effectExtent l="0" t="0" r="7620" b="7620"/>
                  <wp:docPr id="2" name="Picture 2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8476B6E" w14:textId="77777777" w:rsidR="000E3765" w:rsidRPr="00A547E0" w:rsidRDefault="000E3765" w:rsidP="00DC50AA">
            <w:pPr>
              <w:pStyle w:val="ZCom"/>
              <w:spacing w:before="90"/>
            </w:pPr>
            <w:r w:rsidRPr="00A547E0">
              <w:t>EUROPEAN COMMISSION</w:t>
            </w:r>
          </w:p>
          <w:p w14:paraId="06F12B37" w14:textId="77777777" w:rsidR="000E3765" w:rsidRPr="00A547E0" w:rsidRDefault="000E3765" w:rsidP="00DC50AA">
            <w:pPr>
              <w:pStyle w:val="ZDGName"/>
            </w:pPr>
            <w:r w:rsidRPr="00A547E0">
              <w:t>Directorate-General for Trade</w:t>
            </w:r>
          </w:p>
          <w:p w14:paraId="6D137EB2" w14:textId="77777777" w:rsidR="000E3765" w:rsidRPr="00A547E0" w:rsidRDefault="000E3765" w:rsidP="00DC50AA">
            <w:pPr>
              <w:pStyle w:val="ZDGName"/>
            </w:pPr>
          </w:p>
          <w:p w14:paraId="1FF068D4" w14:textId="77777777" w:rsidR="000E3765" w:rsidRPr="00A547E0" w:rsidRDefault="00DD1BE3" w:rsidP="00DC50AA">
            <w:pPr>
              <w:pStyle w:val="ZDGName"/>
            </w:pPr>
            <w:r>
              <w:t>Directorate G</w:t>
            </w:r>
            <w:r w:rsidR="000E3765" w:rsidRPr="00A547E0">
              <w:t xml:space="preserve"> - Trade Defence</w:t>
            </w:r>
          </w:p>
          <w:p w14:paraId="64F251B9" w14:textId="77777777" w:rsidR="000E3765" w:rsidRPr="00A547E0" w:rsidRDefault="000E3765" w:rsidP="00DC50AA">
            <w:pPr>
              <w:pStyle w:val="ZDGName"/>
            </w:pPr>
            <w:r w:rsidRPr="00A547E0">
              <w:rPr>
                <w:b/>
                <w:bCs/>
              </w:rPr>
              <w:t xml:space="preserve">Investigations IV.  Relations with third Countries for Trade Defence Matters </w:t>
            </w:r>
          </w:p>
          <w:p w14:paraId="3F3615B3" w14:textId="77777777" w:rsidR="000E3765" w:rsidRPr="00A547E0" w:rsidRDefault="000E3765" w:rsidP="00DC50AA">
            <w:pPr>
              <w:pStyle w:val="ZDGName"/>
            </w:pPr>
          </w:p>
        </w:tc>
      </w:tr>
    </w:tbl>
    <w:p w14:paraId="17B4FCB3" w14:textId="77777777" w:rsidR="00452EB5" w:rsidRPr="00A547E0" w:rsidRDefault="00452EB5" w:rsidP="000E3765">
      <w:pPr>
        <w:pStyle w:val="Date"/>
        <w:spacing w:after="200" w:line="276" w:lineRule="auto"/>
        <w:ind w:left="0" w:right="0"/>
        <w:jc w:val="both"/>
        <w:rPr>
          <w:lang w:val="en-GB"/>
        </w:rPr>
      </w:pPr>
    </w:p>
    <w:p w14:paraId="154F2670" w14:textId="7A5F9351" w:rsidR="00452EB5" w:rsidRPr="00A547E0" w:rsidRDefault="00EF1B4C" w:rsidP="000E3765">
      <w:pPr>
        <w:pStyle w:val="Date"/>
        <w:spacing w:after="200" w:line="276" w:lineRule="auto"/>
        <w:ind w:left="0" w:right="0"/>
        <w:jc w:val="right"/>
        <w:rPr>
          <w:lang w:val="en-GB"/>
        </w:rPr>
      </w:pPr>
      <w:r>
        <w:rPr>
          <w:lang w:val="en-GB"/>
        </w:rPr>
        <w:t xml:space="preserve">Brussels, </w:t>
      </w:r>
      <w:r w:rsidR="007362FE">
        <w:rPr>
          <w:lang w:val="en-GB"/>
        </w:rPr>
        <w:t>8</w:t>
      </w:r>
      <w:r w:rsidR="007362FE" w:rsidRPr="00A547E0">
        <w:rPr>
          <w:lang w:val="en-GB"/>
        </w:rPr>
        <w:t xml:space="preserve"> </w:t>
      </w:r>
      <w:r w:rsidR="002E736F">
        <w:rPr>
          <w:lang w:val="en-GB"/>
        </w:rPr>
        <w:t xml:space="preserve">July </w:t>
      </w:r>
      <w:r w:rsidR="007807C3">
        <w:rPr>
          <w:lang w:val="en-GB"/>
        </w:rPr>
        <w:t>202</w:t>
      </w:r>
      <w:r w:rsidR="002E736F">
        <w:rPr>
          <w:lang w:val="en-GB"/>
        </w:rPr>
        <w:t>4</w:t>
      </w:r>
    </w:p>
    <w:p w14:paraId="18824E23" w14:textId="7C224495" w:rsidR="00E77E76" w:rsidRPr="00A547E0" w:rsidRDefault="00452EB5" w:rsidP="00E77E76">
      <w:pPr>
        <w:jc w:val="center"/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</w:pPr>
      <w:r w:rsidRPr="00A547E0">
        <w:rPr>
          <w:rFonts w:ascii="Times New Roman Bold" w:hAnsi="Times New Roman Bold"/>
          <w:b/>
          <w:smallCaps/>
          <w:u w:val="single"/>
          <w:lang w:val="en-GB"/>
        </w:rPr>
        <w:br/>
      </w:r>
      <w:r w:rsidRPr="00A547E0"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  <w:t xml:space="preserve">anti-dumping investigation by </w:t>
      </w:r>
      <w:r w:rsidR="00BF748C"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  <w:t xml:space="preserve">the </w:t>
      </w:r>
      <w:r w:rsidR="002E736F"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  <w:t xml:space="preserve">United Kingdom </w:t>
      </w:r>
      <w:r w:rsidRPr="00A547E0"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  <w:t xml:space="preserve">on imports of </w:t>
      </w:r>
      <w:r w:rsidR="002E736F"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  <w:t xml:space="preserve">certain engine oils and hydraulic fluids </w:t>
      </w:r>
      <w:r w:rsidRPr="00A547E0"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  <w:t xml:space="preserve">from </w:t>
      </w:r>
      <w:r w:rsidR="002E736F">
        <w:rPr>
          <w:rFonts w:ascii="Times New Roman Bold" w:hAnsi="Times New Roman Bold"/>
          <w:b/>
          <w:smallCaps/>
          <w:sz w:val="24"/>
          <w:szCs w:val="24"/>
          <w:u w:val="single"/>
          <w:lang w:val="en-GB"/>
        </w:rPr>
        <w:t>Lithuania</w:t>
      </w:r>
    </w:p>
    <w:p w14:paraId="59FC5813" w14:textId="4267E7F4" w:rsidR="00277FB4" w:rsidRDefault="00277FB4" w:rsidP="000E37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547E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Submission of the European Commission </w:t>
      </w:r>
      <w:r w:rsidR="002E73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 Initiation of the investigation</w:t>
      </w:r>
    </w:p>
    <w:p w14:paraId="40CBB60E" w14:textId="77777777" w:rsidR="00E77E76" w:rsidRPr="008F6298" w:rsidRDefault="00E77E76" w:rsidP="008F6298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14:paraId="6214192A" w14:textId="49EB5D79" w:rsidR="0008606A" w:rsidRDefault="00277FB4" w:rsidP="000E3765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European Commission (‘the Commission’) would like to thank the </w:t>
      </w:r>
      <w:r w:rsidR="002E736F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UK Trade Remedies Authority </w:t>
      </w:r>
      <w:r w:rsidR="00036624">
        <w:rPr>
          <w:rFonts w:ascii="Times New Roman" w:eastAsia="Times New Roman" w:hAnsi="Times New Roman" w:cs="Times New Roman"/>
          <w:sz w:val="24"/>
          <w:szCs w:val="20"/>
          <w:lang w:val="en-GB"/>
        </w:rPr>
        <w:t>(</w:t>
      </w:r>
      <w:r w:rsidR="00036624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’</w:t>
      </w:r>
      <w:r w:rsidR="00036624">
        <w:rPr>
          <w:rFonts w:ascii="Times New Roman" w:eastAsia="Times New Roman" w:hAnsi="Times New Roman" w:cs="Times New Roman"/>
          <w:sz w:val="24"/>
          <w:szCs w:val="20"/>
          <w:lang w:val="en-GB"/>
        </w:rPr>
        <w:t>T</w:t>
      </w:r>
      <w:r w:rsidR="002E736F">
        <w:rPr>
          <w:rFonts w:ascii="Times New Roman" w:eastAsia="Times New Roman" w:hAnsi="Times New Roman" w:cs="Times New Roman"/>
          <w:sz w:val="24"/>
          <w:szCs w:val="20"/>
          <w:lang w:val="en-GB"/>
        </w:rPr>
        <w:t>RA</w:t>
      </w:r>
      <w:r w:rsidR="00036624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’</w:t>
      </w:r>
      <w:r w:rsidR="00036624">
        <w:rPr>
          <w:rFonts w:ascii="Times New Roman" w:eastAsia="Times New Roman" w:hAnsi="Times New Roman" w:cs="Times New Roman"/>
          <w:sz w:val="24"/>
          <w:szCs w:val="20"/>
          <w:lang w:val="en-GB"/>
        </w:rPr>
        <w:t>)</w:t>
      </w:r>
      <w:r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for the opportunity to present comments in the framework of the above-mentioned proceeding. </w:t>
      </w:r>
    </w:p>
    <w:p w14:paraId="3816578B" w14:textId="29264F26" w:rsidR="00277FB4" w:rsidRDefault="00277FB4" w:rsidP="000E3765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Following the initiation of the investig</w:t>
      </w:r>
      <w:r w:rsidR="00C92A4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ation and after analysis of the </w:t>
      </w:r>
      <w:r w:rsidR="002E736F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Notice of Initiation and </w:t>
      </w:r>
      <w:r w:rsidR="00C86926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</w:t>
      </w:r>
      <w:r w:rsidR="002E736F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non-confidential version of the industry complaint, </w:t>
      </w:r>
      <w:r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Commission would like to raise the following concerns. </w:t>
      </w:r>
    </w:p>
    <w:p w14:paraId="77C9BD7E" w14:textId="75A12C75" w:rsidR="000B0AC1" w:rsidRPr="00304A69" w:rsidRDefault="00277FB4" w:rsidP="00304A69">
      <w:pPr>
        <w:pStyle w:val="ListParagraph"/>
        <w:numPr>
          <w:ilvl w:val="0"/>
          <w:numId w:val="14"/>
        </w:numPr>
        <w:jc w:val="both"/>
        <w:rPr>
          <w:rFonts w:ascii="Times New Roman Bold" w:hAnsi="Times New Roman Bold"/>
          <w:b/>
          <w:smallCaps/>
          <w:sz w:val="24"/>
          <w:szCs w:val="24"/>
          <w:lang w:val="en-GB"/>
        </w:rPr>
      </w:pPr>
      <w:r w:rsidRPr="00304A69">
        <w:rPr>
          <w:rFonts w:ascii="Times New Roman Bold" w:hAnsi="Times New Roman Bold"/>
          <w:b/>
          <w:smallCaps/>
          <w:sz w:val="24"/>
          <w:szCs w:val="24"/>
          <w:lang w:val="en-GB"/>
        </w:rPr>
        <w:t>Procedural issues</w:t>
      </w:r>
      <w:r w:rsidR="00304A69" w:rsidRPr="00304A69">
        <w:rPr>
          <w:rFonts w:ascii="Times New Roman Bold" w:hAnsi="Times New Roman Bold"/>
          <w:b/>
          <w:smallCaps/>
          <w:sz w:val="24"/>
          <w:szCs w:val="24"/>
          <w:lang w:val="en-GB"/>
        </w:rPr>
        <w:t xml:space="preserve"> - </w:t>
      </w:r>
      <w:r w:rsidR="000B0AC1" w:rsidRPr="00304A69">
        <w:rPr>
          <w:rFonts w:ascii="Times New Roman Bold" w:hAnsi="Times New Roman Bold"/>
          <w:b/>
          <w:smallCaps/>
          <w:sz w:val="24"/>
          <w:szCs w:val="24"/>
          <w:lang w:val="en-GB"/>
        </w:rPr>
        <w:t xml:space="preserve">Industry support </w:t>
      </w:r>
    </w:p>
    <w:p w14:paraId="6A8ED314" w14:textId="52A69A8B" w:rsidR="000B0AC1" w:rsidRPr="007A141F" w:rsidRDefault="000B0AC1" w:rsidP="000B0AC1">
      <w:pPr>
        <w:pStyle w:val="ListDash"/>
        <w:numPr>
          <w:ilvl w:val="0"/>
          <w:numId w:val="0"/>
        </w:numPr>
        <w:spacing w:before="240" w:after="0"/>
        <w:rPr>
          <w:i/>
          <w:iCs/>
        </w:rPr>
      </w:pPr>
      <w:r>
        <w:t xml:space="preserve">According to Article 5.4 of the </w:t>
      </w:r>
      <w:r w:rsidRPr="00DA0A5E">
        <w:t>WTO Anti-dumping Agreement (‘ADA’)</w:t>
      </w:r>
      <w:r w:rsidRPr="0026286E">
        <w:t>,</w:t>
      </w:r>
      <w:r>
        <w:t xml:space="preserve"> 5.4 </w:t>
      </w:r>
      <w:r w:rsidR="00A827E1" w:rsidRPr="00A827E1">
        <w:t>”</w:t>
      </w:r>
      <w:r w:rsidRPr="000B0AC1">
        <w:rPr>
          <w:i/>
          <w:iCs/>
        </w:rPr>
        <w:t xml:space="preserve">An investigation shall not be initiated </w:t>
      </w:r>
      <w:r>
        <w:rPr>
          <w:i/>
          <w:iCs/>
        </w:rPr>
        <w:t xml:space="preserve">(…) </w:t>
      </w:r>
      <w:r w:rsidRPr="000B0AC1">
        <w:rPr>
          <w:i/>
          <w:iCs/>
        </w:rPr>
        <w:t xml:space="preserve">unless the authorities have determined, </w:t>
      </w:r>
      <w:r w:rsidR="00A827E1">
        <w:rPr>
          <w:i/>
          <w:iCs/>
        </w:rPr>
        <w:t xml:space="preserve">(…) </w:t>
      </w:r>
      <w:r w:rsidRPr="000B0AC1">
        <w:rPr>
          <w:i/>
          <w:iCs/>
        </w:rPr>
        <w:t>that the application has been made by or on behalf of the domestic industr</w:t>
      </w:r>
      <w:r w:rsidRPr="000B0AC1">
        <w:t>y.</w:t>
      </w:r>
      <w:r w:rsidRPr="000B0AC1">
        <w:rPr>
          <w:i/>
          <w:iCs/>
          <w:color w:val="FF0000"/>
        </w:rPr>
        <w:t xml:space="preserve"> </w:t>
      </w:r>
      <w:r w:rsidRPr="000B0AC1">
        <w:rPr>
          <w:i/>
          <w:iCs/>
        </w:rPr>
        <w:t xml:space="preserve">The application shall be considered to have been made "by or on behalf of the domestic industry" if it is supported by those domestic producers whose </w:t>
      </w:r>
      <w:r w:rsidRPr="007A141F">
        <w:rPr>
          <w:b/>
          <w:bCs/>
          <w:i/>
          <w:iCs/>
        </w:rPr>
        <w:t>collective output</w:t>
      </w:r>
      <w:r w:rsidRPr="000B0AC1">
        <w:rPr>
          <w:i/>
          <w:iCs/>
        </w:rPr>
        <w:t xml:space="preserve"> constitutes more than 50 per cent of the </w:t>
      </w:r>
      <w:r w:rsidRPr="007A141F">
        <w:rPr>
          <w:b/>
          <w:bCs/>
          <w:i/>
          <w:iCs/>
        </w:rPr>
        <w:t>total production</w:t>
      </w:r>
      <w:r w:rsidRPr="000B0AC1">
        <w:rPr>
          <w:i/>
          <w:iCs/>
        </w:rPr>
        <w:t xml:space="preserve"> of the like product produced by that portion of the domestic industry expressing either support for or opposition to the application.</w:t>
      </w:r>
      <w:r w:rsidRPr="000B0AC1">
        <w:t xml:space="preserve"> </w:t>
      </w:r>
      <w:r w:rsidR="00233E49" w:rsidRPr="007A141F">
        <w:rPr>
          <w:i/>
          <w:iCs/>
        </w:rPr>
        <w:t>However, no investigation shall be initiated when domestic producers expressly supporting the application account for less than 25 per cent of total production of the like product produced by the domestic industry</w:t>
      </w:r>
      <w:r w:rsidR="00C86926" w:rsidRPr="007A141F">
        <w:rPr>
          <w:i/>
          <w:iCs/>
        </w:rPr>
        <w:t xml:space="preserve"> </w:t>
      </w:r>
    </w:p>
    <w:p w14:paraId="428AFDD6" w14:textId="5C83A25B" w:rsidR="000B0AC1" w:rsidRPr="007A141F" w:rsidRDefault="000B0AC1" w:rsidP="000B0AC1">
      <w:pPr>
        <w:pStyle w:val="ListDash"/>
        <w:numPr>
          <w:ilvl w:val="0"/>
          <w:numId w:val="0"/>
        </w:numPr>
        <w:spacing w:before="240" w:after="0"/>
        <w:rPr>
          <w:b/>
          <w:bCs/>
        </w:rPr>
      </w:pPr>
      <w:r>
        <w:t xml:space="preserve">In this regard, the application </w:t>
      </w:r>
      <w:r w:rsidR="00C86926">
        <w:t>has been submitted by one producer Aztec</w:t>
      </w:r>
      <w:r w:rsidR="00304A69">
        <w:t xml:space="preserve"> Oils Ltd.</w:t>
      </w:r>
      <w:r w:rsidR="00A827E1">
        <w:t>,</w:t>
      </w:r>
      <w:r w:rsidR="00304A69">
        <w:t xml:space="preserve"> which allegedly has a market share of around 7%</w:t>
      </w:r>
      <w:r w:rsidR="00A827E1">
        <w:t xml:space="preserve">. </w:t>
      </w:r>
      <w:r w:rsidR="00233E49">
        <w:t xml:space="preserve">The application does not mention how much this producer produces and what % his production represents in terms of total production in the UK. </w:t>
      </w:r>
      <w:r w:rsidR="00A827E1">
        <w:t>The complainant however</w:t>
      </w:r>
      <w:r>
        <w:t xml:space="preserve"> </w:t>
      </w:r>
      <w:r w:rsidR="00A827E1">
        <w:t xml:space="preserve">submits </w:t>
      </w:r>
      <w:r w:rsidR="00304A69">
        <w:t>a</w:t>
      </w:r>
      <w:r>
        <w:t xml:space="preserve"> letter </w:t>
      </w:r>
      <w:r w:rsidR="00304A69">
        <w:t xml:space="preserve">supporting the application by </w:t>
      </w:r>
      <w:r>
        <w:t>the United Kingdom Lubricants Association</w:t>
      </w:r>
      <w:r w:rsidR="00B66043">
        <w:t>. This association</w:t>
      </w:r>
      <w:r>
        <w:t xml:space="preserve"> </w:t>
      </w:r>
      <w:r w:rsidR="00074546">
        <w:t xml:space="preserve">allegedly </w:t>
      </w:r>
      <w:r>
        <w:t>represent</w:t>
      </w:r>
      <w:r w:rsidR="00B66043">
        <w:t>s</w:t>
      </w:r>
      <w:r>
        <w:t xml:space="preserve"> </w:t>
      </w:r>
      <w:r w:rsidR="00B66043">
        <w:t xml:space="preserve">20 members who </w:t>
      </w:r>
      <w:r w:rsidR="00B66043" w:rsidRPr="007A141F">
        <w:rPr>
          <w:b/>
          <w:bCs/>
        </w:rPr>
        <w:t>are blenders</w:t>
      </w:r>
      <w:r w:rsidR="00B66043">
        <w:t xml:space="preserve"> of finished lubricants which in total account for </w:t>
      </w:r>
      <w:r>
        <w:t>75% of the market</w:t>
      </w:r>
      <w:r w:rsidR="00B66043">
        <w:t xml:space="preserve"> approximately.</w:t>
      </w:r>
      <w:r w:rsidR="00233E49">
        <w:t xml:space="preserve"> </w:t>
      </w:r>
      <w:r w:rsidR="00074546">
        <w:t>However, all data is provided in confidential format, mixed with data from 2019. Furthermore, it is not clear whether the Association is impowered to represent its members in an anti-dumping proceeding.</w:t>
      </w:r>
    </w:p>
    <w:p w14:paraId="284EE536" w14:textId="508CEE7F" w:rsidR="00B66043" w:rsidRDefault="007E4484" w:rsidP="008F6298">
      <w:pPr>
        <w:pStyle w:val="ListDash"/>
        <w:numPr>
          <w:ilvl w:val="0"/>
          <w:numId w:val="0"/>
        </w:numPr>
        <w:spacing w:before="240" w:after="0"/>
      </w:pPr>
      <w:r>
        <w:t>Moreover</w:t>
      </w:r>
      <w:r w:rsidR="00B66043">
        <w:t>, th</w:t>
      </w:r>
      <w:r w:rsidR="007C1D44">
        <w:t>e said</w:t>
      </w:r>
      <w:r w:rsidR="00B66043">
        <w:t xml:space="preserve"> letter grants support to an application </w:t>
      </w:r>
      <w:r w:rsidR="00304A69">
        <w:t xml:space="preserve">to investigate </w:t>
      </w:r>
      <w:r w:rsidR="00B66043">
        <w:t xml:space="preserve">alleged dumping of imports from the United Arab Emirates but does not grant support to an application covering imports from Lithuania. </w:t>
      </w:r>
    </w:p>
    <w:p w14:paraId="3544FFDF" w14:textId="2081453C" w:rsidR="00B66043" w:rsidRPr="00CA2F88" w:rsidRDefault="00B66043" w:rsidP="000B0AC1">
      <w:pPr>
        <w:pStyle w:val="ListDash"/>
        <w:numPr>
          <w:ilvl w:val="0"/>
          <w:numId w:val="0"/>
        </w:numPr>
        <w:spacing w:before="240" w:after="0"/>
        <w:rPr>
          <w:b/>
          <w:bCs/>
        </w:rPr>
      </w:pPr>
      <w:r>
        <w:lastRenderedPageBreak/>
        <w:t xml:space="preserve">Therefore, </w:t>
      </w:r>
      <w:r w:rsidR="0041714C">
        <w:t>the</w:t>
      </w:r>
      <w:r w:rsidR="007E4484">
        <w:t xml:space="preserve"> evidence as to the</w:t>
      </w:r>
      <w:r w:rsidR="0041714C">
        <w:t xml:space="preserve"> </w:t>
      </w:r>
      <w:r w:rsidR="007E4484">
        <w:t xml:space="preserve">representativeness of the applicant is </w:t>
      </w:r>
      <w:r w:rsidR="007E4484" w:rsidRPr="00625348">
        <w:rPr>
          <w:b/>
          <w:bCs/>
          <w:u w:val="single"/>
        </w:rPr>
        <w:t>insufficient</w:t>
      </w:r>
      <w:r w:rsidR="007E4484" w:rsidRPr="00625348">
        <w:rPr>
          <w:b/>
          <w:bCs/>
        </w:rPr>
        <w:t xml:space="preserve"> to justify the initiation of an investigation</w:t>
      </w:r>
      <w:r w:rsidR="007E4484">
        <w:t xml:space="preserve"> regarding UAE imports, and even more so regarding </w:t>
      </w:r>
      <w:r w:rsidRPr="007A141F">
        <w:rPr>
          <w:b/>
          <w:bCs/>
        </w:rPr>
        <w:t>Lithuanian imports</w:t>
      </w:r>
      <w:r w:rsidR="007E4484" w:rsidRPr="007A141F">
        <w:rPr>
          <w:b/>
          <w:bCs/>
        </w:rPr>
        <w:t>.</w:t>
      </w:r>
      <w:r w:rsidR="007E4484">
        <w:t xml:space="preserve"> </w:t>
      </w:r>
      <w:r>
        <w:t xml:space="preserve"> </w:t>
      </w:r>
    </w:p>
    <w:p w14:paraId="522A53A0" w14:textId="77777777" w:rsidR="004729A1" w:rsidRDefault="004729A1" w:rsidP="004729A1">
      <w:pPr>
        <w:jc w:val="both"/>
        <w:rPr>
          <w:rFonts w:ascii="Times New Roman Bold" w:hAnsi="Times New Roman Bold"/>
          <w:b/>
          <w:smallCaps/>
          <w:sz w:val="24"/>
          <w:szCs w:val="24"/>
          <w:lang w:val="en-GB"/>
        </w:rPr>
      </w:pPr>
    </w:p>
    <w:p w14:paraId="77B67EF3" w14:textId="0ACC33E6" w:rsidR="004729A1" w:rsidRPr="00304A69" w:rsidRDefault="004729A1" w:rsidP="00304A69">
      <w:pPr>
        <w:pStyle w:val="ListParagraph"/>
        <w:numPr>
          <w:ilvl w:val="0"/>
          <w:numId w:val="14"/>
        </w:numPr>
        <w:jc w:val="both"/>
        <w:rPr>
          <w:rFonts w:ascii="Times New Roman Bold" w:hAnsi="Times New Roman Bold"/>
          <w:b/>
          <w:smallCaps/>
          <w:sz w:val="24"/>
          <w:szCs w:val="24"/>
          <w:lang w:val="en-GB"/>
        </w:rPr>
      </w:pPr>
      <w:r w:rsidRPr="00304A69">
        <w:rPr>
          <w:rFonts w:ascii="Times New Roman Bold" w:hAnsi="Times New Roman Bold"/>
          <w:b/>
          <w:smallCaps/>
          <w:sz w:val="24"/>
          <w:szCs w:val="24"/>
          <w:lang w:val="en-GB"/>
        </w:rPr>
        <w:t>Evidence at initiation</w:t>
      </w:r>
    </w:p>
    <w:p w14:paraId="5C0FE6E6" w14:textId="77777777" w:rsidR="00B851DC" w:rsidRPr="00A827E1" w:rsidRDefault="00B851DC" w:rsidP="00B851DC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827E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Article 5.2 of the WTO ADA determines that: </w:t>
      </w:r>
      <w:r w:rsidRPr="00A827E1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“An application under paragraph 1 shall include evidence of (a) dumping, (b) injury within the meaning of Article VI of GATT 1994 as interpreted by this Agreement and (c) a causal link between the dumped imports and the alleged injury.  Simple assertion, unsubstantiated by relevant evidence, cannot be considered sufficient to meet the requirements of this paragraph. […]”</w:t>
      </w:r>
    </w:p>
    <w:p w14:paraId="6CB9D4F8" w14:textId="59C9C076" w:rsidR="00B851DC" w:rsidRPr="00B851DC" w:rsidRDefault="00B61C7E" w:rsidP="000E37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 xml:space="preserve">2.1 </w:t>
      </w:r>
      <w:r w:rsidR="00B851DC" w:rsidRPr="00B851DC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Evidence of dumping</w:t>
      </w:r>
    </w:p>
    <w:p w14:paraId="5C1CFD37" w14:textId="0F738449" w:rsidR="000F409A" w:rsidRDefault="00896C42" w:rsidP="000E3765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Concerning the price information provided in the application</w:t>
      </w:r>
      <w:r w:rsidR="000F409A"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B61C7E">
        <w:rPr>
          <w:rFonts w:ascii="Times New Roman" w:eastAsia="Times New Roman" w:hAnsi="Times New Roman" w:cs="Times New Roman"/>
          <w:sz w:val="24"/>
          <w:szCs w:val="20"/>
          <w:lang w:val="en-GB"/>
        </w:rPr>
        <w:t>the complainant submits a series of p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rice offers from </w:t>
      </w:r>
      <w:r w:rsidR="007C1D44">
        <w:rPr>
          <w:rFonts w:ascii="Times New Roman" w:eastAsia="Times New Roman" w:hAnsi="Times New Roman" w:cs="Times New Roman"/>
          <w:sz w:val="24"/>
          <w:szCs w:val="20"/>
          <w:lang w:val="en-GB"/>
        </w:rPr>
        <w:t>a</w:t>
      </w:r>
      <w:r w:rsidR="007C1D44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>UK importer</w:t>
      </w:r>
      <w:r w:rsidR="00CA2F88"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price </w:t>
      </w:r>
      <w:r w:rsidR="00A827E1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offers 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from </w:t>
      </w:r>
      <w:r w:rsid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>Lithuania</w:t>
      </w:r>
      <w:r w:rsidR="00CA2F88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>n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producer to unrelated customers 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and </w:t>
      </w:r>
      <w:r w:rsid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also from one 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>UAE</w:t>
      </w:r>
      <w:r w:rsidR="00A827E1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producer</w:t>
      </w:r>
      <w:r w:rsidR="00B61C7E" w:rsidRPr="00CA2F88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B61C7E">
        <w:rPr>
          <w:rFonts w:ascii="Times New Roman" w:eastAsia="Times New Roman" w:hAnsi="Times New Roman" w:cs="Times New Roman"/>
          <w:sz w:val="24"/>
          <w:szCs w:val="20"/>
          <w:lang w:val="en-GB"/>
        </w:rPr>
        <w:t>With prices taken from th</w:t>
      </w:r>
      <w:r w:rsidR="00A03EB8">
        <w:rPr>
          <w:rFonts w:ascii="Times New Roman" w:eastAsia="Times New Roman" w:hAnsi="Times New Roman" w:cs="Times New Roman"/>
          <w:sz w:val="24"/>
          <w:szCs w:val="20"/>
          <w:lang w:val="en-GB"/>
        </w:rPr>
        <w:t>ese</w:t>
      </w:r>
      <w:r w:rsidR="00B61C7E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offers, the complainant makes a rough dumping calculation for some models. </w:t>
      </w:r>
    </w:p>
    <w:p w14:paraId="1233DB1E" w14:textId="553B76FE" w:rsidR="00014433" w:rsidRDefault="00B61C7E" w:rsidP="00014433">
      <w:pPr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I</w:t>
      </w:r>
      <w:r w:rsidR="00896C4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 is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however </w:t>
      </w:r>
      <w:r w:rsidR="00896C4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not possible to reconcile the data in the dumping calculation with the offers submitted as price evidence. </w:t>
      </w:r>
      <w:r w:rsidR="000F409A">
        <w:rPr>
          <w:rFonts w:ascii="Times New Roman" w:eastAsia="Times New Roman" w:hAnsi="Times New Roman" w:cs="Times New Roman"/>
          <w:sz w:val="24"/>
          <w:szCs w:val="20"/>
          <w:lang w:val="en-GB"/>
        </w:rPr>
        <w:t>In addition</w:t>
      </w:r>
      <w:r w:rsidR="008A3870">
        <w:rPr>
          <w:rFonts w:ascii="Times New Roman" w:eastAsia="Times New Roman" w:hAnsi="Times New Roman" w:cs="Times New Roman"/>
          <w:sz w:val="24"/>
          <w:szCs w:val="20"/>
          <w:lang w:val="en-GB"/>
        </w:rPr>
        <w:t>, e</w:t>
      </w:r>
      <w:r w:rsidR="00896C42">
        <w:rPr>
          <w:rFonts w:ascii="Times New Roman" w:eastAsia="Times New Roman" w:hAnsi="Times New Roman" w:cs="Times New Roman"/>
          <w:sz w:val="24"/>
          <w:szCs w:val="20"/>
          <w:lang w:val="en-GB"/>
        </w:rPr>
        <w:t>vidence of dumping refers to 3 models only and may not</w:t>
      </w:r>
      <w:r w:rsidR="008A387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be</w:t>
      </w:r>
      <w:r w:rsidR="00896C4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representative of the whole product under investigation. In any case, no proper explanation of the calculation is provided in </w:t>
      </w:r>
      <w:r w:rsidR="008A3870">
        <w:rPr>
          <w:rFonts w:ascii="Times New Roman" w:eastAsia="Times New Roman" w:hAnsi="Times New Roman" w:cs="Times New Roman"/>
          <w:sz w:val="24"/>
          <w:szCs w:val="20"/>
          <w:lang w:val="en-GB"/>
        </w:rPr>
        <w:t>A</w:t>
      </w:r>
      <w:r w:rsidR="00896C4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nnex </w:t>
      </w:r>
      <w:r w:rsidR="000F409A">
        <w:rPr>
          <w:rFonts w:ascii="Times New Roman" w:eastAsia="Times New Roman" w:hAnsi="Times New Roman" w:cs="Times New Roman"/>
          <w:sz w:val="24"/>
          <w:szCs w:val="20"/>
          <w:lang w:val="en-GB"/>
        </w:rPr>
        <w:t>2 (Imports &amp; Offers).</w:t>
      </w:r>
      <w:r w:rsidR="00014433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014433" w:rsidRPr="007362FE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Therefore, the evidence regarding alleged dumping from Lithuania is insufficient.</w:t>
      </w:r>
      <w:r w:rsidR="00014433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14:paraId="4C9258EC" w14:textId="63238303" w:rsidR="004C5122" w:rsidRDefault="002D6A21" w:rsidP="000E3765">
      <w:pPr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A</w:t>
      </w:r>
      <w:r w:rsidR="00896C42">
        <w:rPr>
          <w:rFonts w:ascii="Times New Roman" w:eastAsia="Times New Roman" w:hAnsi="Times New Roman" w:cs="Times New Roman"/>
          <w:sz w:val="24"/>
          <w:szCs w:val="20"/>
          <w:lang w:val="en-GB"/>
        </w:rPr>
        <w:t>ddition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ally</w:t>
      </w:r>
      <w:r w:rsidR="00896C4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  <w:r w:rsidR="00014433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UAE export volumes to the UK are substantially higher than Lithuanian exports to the UK (from total imports analysed, UAE represents around 80% of imports and Lithuania 20%); and UAE average prices are considerably lower than Lithuanian prices. Therefore, </w:t>
      </w:r>
      <w:r w:rsidR="007C1D44">
        <w:rPr>
          <w:rFonts w:ascii="Times New Roman" w:eastAsia="Times New Roman" w:hAnsi="Times New Roman" w:cs="Times New Roman"/>
          <w:sz w:val="24"/>
          <w:szCs w:val="20"/>
          <w:lang w:val="en-GB"/>
        </w:rPr>
        <w:t>Lithuanian and UAE imports should be de-cumulated for the purpose of the injury analysis.</w:t>
      </w:r>
      <w:r w:rsidR="007B3E1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14:paraId="7BB7BFDA" w14:textId="5BD96102" w:rsidR="00B851DC" w:rsidRPr="00B851DC" w:rsidRDefault="00901B0F" w:rsidP="000E37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 xml:space="preserve">2.2 </w:t>
      </w:r>
      <w:r w:rsidR="00B851DC" w:rsidRPr="00B851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 xml:space="preserve">Evidence of </w:t>
      </w:r>
      <w:r w:rsidR="00654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 xml:space="preserve">material </w:t>
      </w:r>
      <w:r w:rsidR="00B851DC" w:rsidRPr="00B851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>injury</w:t>
      </w:r>
    </w:p>
    <w:p w14:paraId="51CAFF5D" w14:textId="77777777" w:rsidR="001F414E" w:rsidRPr="001F414E" w:rsidRDefault="001F414E" w:rsidP="001F41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WTO ADA, establishes in Article 5.2, that the application should contain information on the </w:t>
      </w:r>
      <w:r w:rsidRPr="00901B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  <w:lang w:val="en-GB"/>
        </w:rPr>
        <w:t>“impact of the imports on the domestic industry as demonstrated by relevant factors and indices having a bearing on the s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  <w:lang w:val="en-GB"/>
        </w:rPr>
        <w:t xml:space="preserve">tate </w:t>
      </w:r>
      <w:r w:rsidRPr="00901B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  <w:lang w:val="en-GB"/>
        </w:rPr>
        <w:t>of the domestic industry, such as those listed in paragraphs 2 and 4 of Article 3”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  <w:lang w:val="en-GB"/>
        </w:rPr>
        <w:t>.</w:t>
      </w:r>
    </w:p>
    <w:p w14:paraId="7474D55C" w14:textId="77777777" w:rsidR="001F414E" w:rsidRDefault="001F414E" w:rsidP="001F414E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However, injury information in Annex 8 is fully confidential.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In this regard, according to A</w:t>
      </w:r>
      <w:r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rticle 6.5.1 of ‘ADA’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Pr="00A547E0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“The authorities shall require interested parties providing confidential information to furnish non-confidential summaries thereof. These summaries shall be in sufficient detail to permit a reasonable understanding of the substance of the information submitted in confidence […]”.</w:t>
      </w:r>
      <w:r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14:paraId="20118AF8" w14:textId="1026BC92" w:rsidR="001F414E" w:rsidRPr="00CA2F88" w:rsidRDefault="001F414E" w:rsidP="001F414E">
      <w:pPr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Unfortunately</w:t>
      </w:r>
      <w:r w:rsidR="00A03EB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no meaningful summaries have been provided. </w:t>
      </w:r>
      <w:r w:rsidR="00901B0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T</w:t>
      </w:r>
      <w:r w:rsidR="00C92E5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only information available is that </w:t>
      </w:r>
      <w:r w:rsidR="0007454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</w:t>
      </w:r>
      <w:r w:rsidR="00C92E5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UK complainant </w:t>
      </w:r>
      <w:r w:rsidR="00901B0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claims </w:t>
      </w:r>
      <w:r w:rsidR="00C92E5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to operate below expected profit levels of the lubricant manufacturing industry</w:t>
      </w:r>
      <w:r w:rsidR="00901B0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due to imports allegedly </w:t>
      </w:r>
      <w:r w:rsidR="003F13B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made </w:t>
      </w:r>
      <w:r w:rsidR="00901B0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at dumped prices by a particular importer</w:t>
      </w:r>
      <w:r w:rsidR="00C92E5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. </w:t>
      </w:r>
      <w:r w:rsidRPr="006253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 xml:space="preserve">This information is insufficient </w:t>
      </w:r>
      <w:r w:rsidR="003F13B0" w:rsidRPr="006253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 xml:space="preserve">as it </w:t>
      </w:r>
      <w:r w:rsidRPr="006253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 xml:space="preserve">refers only to one company </w:t>
      </w:r>
      <w:r w:rsidR="003F13B0" w:rsidRPr="006253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>who is not representative of the domestic industry, as explained above.</w:t>
      </w:r>
      <w:r w:rsidR="003F13B0" w:rsidRPr="007B3E1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</w:p>
    <w:p w14:paraId="15582CB2" w14:textId="263EB6CD" w:rsidR="008C5746" w:rsidRDefault="001F414E" w:rsidP="000E3765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lastRenderedPageBreak/>
        <w:t>In sum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 w:rsidR="00A86EDC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3F13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regarding </w:t>
      </w:r>
      <w:r w:rsidR="00074546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sufficient evidence of </w:t>
      </w:r>
      <w:r w:rsidR="003F13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material injury, </w:t>
      </w:r>
      <w:r w:rsidR="00A86EDC" w:rsidRPr="00A86EDC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non-confidential version submitted by the </w:t>
      </w:r>
      <w:r w:rsidR="00A86EDC">
        <w:rPr>
          <w:rFonts w:ascii="Times New Roman" w:eastAsia="Times New Roman" w:hAnsi="Times New Roman" w:cs="Times New Roman"/>
          <w:sz w:val="24"/>
          <w:szCs w:val="20"/>
          <w:lang w:val="en-GB"/>
        </w:rPr>
        <w:t>complainant</w:t>
      </w:r>
      <w:r w:rsidR="00A86EDC" w:rsidRPr="00A86EDC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is highly deficient in this </w:t>
      </w:r>
      <w:r w:rsidR="00E130D4" w:rsidRPr="00A86EDC">
        <w:rPr>
          <w:rFonts w:ascii="Times New Roman" w:eastAsia="Times New Roman" w:hAnsi="Times New Roman" w:cs="Times New Roman"/>
          <w:sz w:val="24"/>
          <w:szCs w:val="20"/>
          <w:lang w:val="en-GB"/>
        </w:rPr>
        <w:t>regard,</w:t>
      </w:r>
      <w:r w:rsidR="00A86EDC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as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A86EDC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majority 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of information</w:t>
      </w:r>
      <w:r w:rsidR="00036624" w:rsidRPr="0003662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036624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in the complaint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is </w:t>
      </w:r>
      <w:r w:rsidR="000322C8">
        <w:rPr>
          <w:rFonts w:ascii="Times New Roman" w:eastAsia="Times New Roman" w:hAnsi="Times New Roman" w:cs="Times New Roman"/>
          <w:sz w:val="24"/>
          <w:szCs w:val="20"/>
          <w:lang w:val="en-GB"/>
        </w:rPr>
        <w:t>redacted</w:t>
      </w:r>
      <w:r w:rsidR="00A86EDC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and 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does not allow for a </w:t>
      </w:r>
      <w:r w:rsidR="008C5746" w:rsidRPr="0003662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reasonable understanding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of the substance</w:t>
      </w:r>
      <w:r w:rsidR="00F42715">
        <w:rPr>
          <w:rFonts w:ascii="Times New Roman" w:eastAsia="Times New Roman" w:hAnsi="Times New Roman" w:cs="Times New Roman"/>
          <w:sz w:val="24"/>
          <w:szCs w:val="20"/>
          <w:lang w:val="en-GB"/>
        </w:rPr>
        <w:t>. Thus</w:t>
      </w:r>
      <w:r w:rsidR="00E77E76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  <w:r w:rsidR="00E77E7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interested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parties </w:t>
      </w:r>
      <w:r w:rsidR="00F4271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cannot 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exercise their </w:t>
      </w:r>
      <w:r w:rsidR="008C5746" w:rsidRPr="0030061D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rights of defence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. Therefore, the Commission </w:t>
      </w:r>
      <w:r w:rsidR="00F4271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requests that 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UK 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authorities </w:t>
      </w:r>
      <w:r w:rsidR="008C5746" w:rsidRPr="00E77E76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provide summaries of the information provided in confidence</w:t>
      </w:r>
      <w:r w:rsidR="008C5746" w:rsidRPr="00A547E0">
        <w:rPr>
          <w:rFonts w:ascii="Times New Roman" w:eastAsia="Times New Roman" w:hAnsi="Times New Roman" w:cs="Times New Roman"/>
          <w:sz w:val="24"/>
          <w:szCs w:val="20"/>
          <w:lang w:val="en-GB"/>
        </w:rPr>
        <w:t>, e.g. in the form of indexes or ranges, in particular regarding dumping margins and injury indicators</w:t>
      </w:r>
      <w:r w:rsidR="000322C8">
        <w:rPr>
          <w:rStyle w:val="FootnoteReference"/>
          <w:rFonts w:ascii="Times New Roman" w:eastAsia="Times New Roman" w:hAnsi="Times New Roman" w:cs="Times New Roman"/>
          <w:sz w:val="24"/>
          <w:szCs w:val="20"/>
          <w:lang w:val="en-GB"/>
        </w:rPr>
        <w:footnoteReference w:id="1"/>
      </w:r>
      <w:r w:rsidR="00434E07"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 w:rsidR="00A86EDC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and </w:t>
      </w:r>
      <w:r w:rsidR="00A86EDC" w:rsidRPr="00A86EDC">
        <w:rPr>
          <w:rFonts w:ascii="Times New Roman" w:eastAsia="Times New Roman" w:hAnsi="Times New Roman" w:cs="Times New Roman"/>
          <w:sz w:val="24"/>
          <w:szCs w:val="20"/>
          <w:lang w:val="en-GB"/>
        </w:rPr>
        <w:t>that they are made available on the public file as soon as possible.</w:t>
      </w:r>
    </w:p>
    <w:p w14:paraId="72BD0C9B" w14:textId="751F967C" w:rsidR="001F414E" w:rsidRPr="00B851DC" w:rsidRDefault="001F414E" w:rsidP="001F414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>2.3 Causality</w:t>
      </w:r>
    </w:p>
    <w:p w14:paraId="532E4080" w14:textId="28743B59" w:rsidR="00885AFC" w:rsidRDefault="00751C89" w:rsidP="000E376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C02E8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Unfortunately, no information regarding a causal link is contained in the complaint.</w:t>
      </w:r>
      <w:r w:rsidR="00C02E8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  <w:r w:rsidR="00C239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complainant did not provide any </w:t>
      </w:r>
      <w:r w:rsidR="0061765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information on other factors that may have had an impact on the situation of the domestic industry such as e.g. the </w:t>
      </w:r>
      <w:r w:rsidR="00617658" w:rsidRPr="006253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>important decrease in demand</w:t>
      </w:r>
      <w:r w:rsidR="0061765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. </w:t>
      </w:r>
    </w:p>
    <w:p w14:paraId="306D5F91" w14:textId="1DDA4CF7" w:rsidR="00751C89" w:rsidRDefault="00C02E8F" w:rsidP="000E376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Based on </w:t>
      </w:r>
      <w:r w:rsidR="0061765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above,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it </w:t>
      </w:r>
      <w:r w:rsidR="0061765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appears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that</w:t>
      </w:r>
      <w:r w:rsidR="00C239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the complaint was not complete and therefore </w:t>
      </w:r>
      <w:r w:rsidR="00C23944" w:rsidRPr="00885AF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en-GB"/>
        </w:rPr>
        <w:t>not compliant with the WTO AD</w:t>
      </w:r>
      <w:r w:rsidR="00617658" w:rsidRPr="00885AF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en-GB"/>
        </w:rPr>
        <w:t>A</w:t>
      </w:r>
      <w:r w:rsidR="00C239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and established </w:t>
      </w:r>
      <w:r w:rsidR="0061765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j</w:t>
      </w:r>
      <w:r w:rsidR="00C239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urisprudence</w:t>
      </w:r>
      <w:r w:rsidR="00A03EB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,</w:t>
      </w:r>
      <w:r w:rsidR="00C239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in particular</w:t>
      </w:r>
      <w:r w:rsidR="00A03EB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,</w:t>
      </w:r>
      <w:r w:rsidR="00C239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as the </w:t>
      </w:r>
      <w:r w:rsidR="00C23944" w:rsidRPr="00C23944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val="en-GB"/>
        </w:rPr>
        <w:t>Panel in Guatemala – Cement II</w:t>
      </w:r>
      <w:r w:rsidR="00C239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agreed that </w:t>
      </w:r>
      <w:r w:rsidR="00C23944" w:rsidRPr="00C2394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0"/>
          <w:lang w:val="en-GB"/>
        </w:rPr>
        <w:t>“statements of conclusion unsubstantiated by facts do not constitute evidence of the type required by Article 5.2”</w:t>
      </w:r>
      <w:r w:rsidR="00C23944" w:rsidRPr="00C23944">
        <w:rPr>
          <w:rStyle w:val="FootnoteReference"/>
          <w:rFonts w:ascii="Times New Roman" w:eastAsia="Times New Roman" w:hAnsi="Times New Roman" w:cs="Times New Roman"/>
          <w:b/>
          <w:i/>
          <w:color w:val="000000" w:themeColor="text1"/>
          <w:sz w:val="24"/>
          <w:szCs w:val="20"/>
          <w:lang w:val="en-GB"/>
        </w:rPr>
        <w:footnoteReference w:id="2"/>
      </w:r>
    </w:p>
    <w:p w14:paraId="6EF81B2F" w14:textId="77777777" w:rsidR="00196CA2" w:rsidRDefault="00196CA2" w:rsidP="000E3765">
      <w:pPr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14:paraId="3F37CE4A" w14:textId="6D48A8A2" w:rsidR="009D1147" w:rsidRPr="008F6298" w:rsidRDefault="009D1147" w:rsidP="001F414E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8F6298">
        <w:rPr>
          <w:rFonts w:ascii="Times New Roman Bold" w:hAnsi="Times New Roman Bold"/>
          <w:b/>
          <w:smallCaps/>
          <w:color w:val="000000" w:themeColor="text1"/>
          <w:sz w:val="24"/>
          <w:szCs w:val="24"/>
          <w:lang w:val="en-GB"/>
        </w:rPr>
        <w:t>Conclusion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</w:p>
    <w:p w14:paraId="5AF1BC3B" w14:textId="71B55DF0" w:rsidR="00FF69A4" w:rsidRPr="008F6298" w:rsidRDefault="008C78F5" w:rsidP="000E376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Commission trusts that the </w:t>
      </w:r>
      <w:r w:rsidR="001F414E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TRA 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will take the arguments raised above appropriately into account, in particular:</w:t>
      </w:r>
    </w:p>
    <w:p w14:paraId="05B5D6AC" w14:textId="184E99EE" w:rsidR="001F414E" w:rsidRPr="008F6298" w:rsidRDefault="001F414E" w:rsidP="000E3765">
      <w:pPr>
        <w:pStyle w:val="ListParagraph"/>
        <w:numPr>
          <w:ilvl w:val="0"/>
          <w:numId w:val="10"/>
        </w:numPr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complaint lacks important elements such as those relating to the </w:t>
      </w:r>
      <w:r w:rsidRPr="008F6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>industry standing</w:t>
      </w:r>
      <w:r w:rsidR="00DC6A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>;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  <w:r w:rsidR="00DC6AD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in particular, 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imports from Lithuania, based on the current complaint, should be removed from the </w:t>
      </w:r>
      <w:r w:rsidR="008F6298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scope of the 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investigation.</w:t>
      </w:r>
    </w:p>
    <w:p w14:paraId="03BC5A8E" w14:textId="77777777" w:rsidR="00CA2F88" w:rsidRDefault="008F6298" w:rsidP="000E3765">
      <w:pPr>
        <w:pStyle w:val="ListParagraph"/>
        <w:numPr>
          <w:ilvl w:val="0"/>
          <w:numId w:val="10"/>
        </w:numPr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Evidence of dumping is not clear enough and calculations should be further explained. </w:t>
      </w:r>
    </w:p>
    <w:p w14:paraId="50A288C0" w14:textId="5B763DA3" w:rsidR="008F6298" w:rsidRPr="008F6298" w:rsidRDefault="008F6298" w:rsidP="000E3765">
      <w:pPr>
        <w:pStyle w:val="ListParagraph"/>
        <w:numPr>
          <w:ilvl w:val="0"/>
          <w:numId w:val="10"/>
        </w:numPr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Evidence of injury is vague and relates to one company only. On that basis, </w:t>
      </w:r>
      <w:r w:rsidRPr="008F6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>the current analysis is not representative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and therefore not sufficient to initiate </w:t>
      </w:r>
      <w:r w:rsidR="00DC6AD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an</w:t>
      </w:r>
      <w:r w:rsidR="00DC6AD9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investigation.</w:t>
      </w:r>
    </w:p>
    <w:p w14:paraId="06CF0AFD" w14:textId="521E9D3F" w:rsidR="00EE65F9" w:rsidRPr="008F6298" w:rsidRDefault="008C78F5" w:rsidP="000E3765">
      <w:pPr>
        <w:pStyle w:val="ListParagraph"/>
        <w:numPr>
          <w:ilvl w:val="0"/>
          <w:numId w:val="10"/>
        </w:numPr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complainant makes </w:t>
      </w:r>
      <w:r w:rsidRPr="008F6298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en-GB"/>
        </w:rPr>
        <w:t>excessive use of confidentiality</w:t>
      </w:r>
      <w:r w:rsidR="00617658" w:rsidRPr="008F6298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en-GB"/>
        </w:rPr>
        <w:t xml:space="preserve">, </w:t>
      </w:r>
      <w:r w:rsidR="00617658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thus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  <w:r w:rsidR="00FF1551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depriving the parties of their 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right</w:t>
      </w:r>
      <w:r w:rsidR="00617658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s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of defence</w:t>
      </w:r>
      <w:r w:rsidR="00FF1551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.</w:t>
      </w:r>
      <w:r w:rsidR="00617658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</w:p>
    <w:p w14:paraId="4FE5406F" w14:textId="77777777" w:rsidR="008C78F5" w:rsidRPr="008F6298" w:rsidRDefault="008C78F5" w:rsidP="000E3765">
      <w:pPr>
        <w:pStyle w:val="ListParagraph"/>
        <w:numPr>
          <w:ilvl w:val="0"/>
          <w:numId w:val="10"/>
        </w:numPr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</w:pP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The complaint is </w:t>
      </w:r>
      <w:r w:rsidRPr="008F6298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en-GB"/>
        </w:rPr>
        <w:t xml:space="preserve">not compliant with the WTO </w:t>
      </w:r>
      <w:r w:rsidR="002A3AB9" w:rsidRPr="008F6298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en-GB"/>
        </w:rPr>
        <w:t>requirements</w:t>
      </w:r>
      <w:r w:rsidR="00115C15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and established </w:t>
      </w:r>
      <w:r w:rsidR="00FF1551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j</w:t>
      </w:r>
      <w:r w:rsidR="00115C15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>urisprudence</w:t>
      </w:r>
      <w:r w:rsidR="002A3AB9"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 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since it does not contain a </w:t>
      </w:r>
      <w:r w:rsidRPr="008F6298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en-GB"/>
        </w:rPr>
        <w:t>causality analysis</w:t>
      </w:r>
      <w:r w:rsidRPr="008F629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. </w:t>
      </w:r>
    </w:p>
    <w:p w14:paraId="12563314" w14:textId="3DE253B6" w:rsidR="00036624" w:rsidRPr="00F127B8" w:rsidRDefault="00F127B8" w:rsidP="000E37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/>
        </w:rPr>
        <w:t xml:space="preserve">In view of the above, it appears that </w:t>
      </w:r>
      <w:r w:rsidRPr="00F12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val="en-GB"/>
        </w:rPr>
        <w:t xml:space="preserve">the evidence provided was insufficient in many respects to justify the initiation of an investigation and thus it should be terminated without further delay. </w:t>
      </w:r>
    </w:p>
    <w:sectPr w:rsidR="00036624" w:rsidRPr="00F127B8" w:rsidSect="000E37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68775" w14:textId="77777777" w:rsidR="0095591B" w:rsidRDefault="0095591B" w:rsidP="00B264F6">
      <w:pPr>
        <w:spacing w:after="0" w:line="240" w:lineRule="auto"/>
      </w:pPr>
      <w:r>
        <w:separator/>
      </w:r>
    </w:p>
  </w:endnote>
  <w:endnote w:type="continuationSeparator" w:id="0">
    <w:p w14:paraId="6DF05EB5" w14:textId="77777777" w:rsidR="0095591B" w:rsidRDefault="0095591B" w:rsidP="00B2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7B422" w14:textId="77777777" w:rsidR="00715F06" w:rsidRDefault="00715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944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34DB" w14:textId="3477F4FD" w:rsidR="00715F06" w:rsidRDefault="00715F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5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46B5B" w14:textId="77777777" w:rsidR="00715F06" w:rsidRDefault="00715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2C60" w14:textId="77777777" w:rsidR="00715F06" w:rsidRDefault="00715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D6617" w14:textId="77777777" w:rsidR="0095591B" w:rsidRDefault="0095591B" w:rsidP="00B264F6">
      <w:pPr>
        <w:spacing w:after="0" w:line="240" w:lineRule="auto"/>
      </w:pPr>
      <w:r>
        <w:separator/>
      </w:r>
    </w:p>
  </w:footnote>
  <w:footnote w:type="continuationSeparator" w:id="0">
    <w:p w14:paraId="20B9D952" w14:textId="77777777" w:rsidR="0095591B" w:rsidRDefault="0095591B" w:rsidP="00B264F6">
      <w:pPr>
        <w:spacing w:after="0" w:line="240" w:lineRule="auto"/>
      </w:pPr>
      <w:r>
        <w:continuationSeparator/>
      </w:r>
    </w:p>
  </w:footnote>
  <w:footnote w:id="1">
    <w:p w14:paraId="1392C5AB" w14:textId="77777777" w:rsidR="000322C8" w:rsidRPr="000322C8" w:rsidRDefault="000322C8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322C8">
        <w:rPr>
          <w:rFonts w:ascii="Times New Roman" w:hAnsi="Times New Roman" w:cs="Times New Roman"/>
          <w:sz w:val="18"/>
          <w:szCs w:val="18"/>
        </w:rPr>
        <w:t>Panel Report,</w:t>
      </w:r>
      <w:r w:rsidR="00434E07">
        <w:rPr>
          <w:rFonts w:ascii="Times New Roman" w:hAnsi="Times New Roman" w:cs="Times New Roman"/>
          <w:sz w:val="18"/>
          <w:szCs w:val="18"/>
        </w:rPr>
        <w:t xml:space="preserve"> </w:t>
      </w:r>
      <w:r w:rsidRPr="000322C8">
        <w:rPr>
          <w:rFonts w:ascii="Times New Roman" w:hAnsi="Times New Roman" w:cs="Times New Roman"/>
          <w:sz w:val="18"/>
          <w:szCs w:val="18"/>
        </w:rPr>
        <w:t>Mexico –Steel Pipes and Tubes, para. 7.380.</w:t>
      </w:r>
    </w:p>
  </w:footnote>
  <w:footnote w:id="2">
    <w:p w14:paraId="135B8D6E" w14:textId="77777777" w:rsidR="00C23944" w:rsidRPr="00C23944" w:rsidRDefault="00C2394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23944">
        <w:rPr>
          <w:rFonts w:ascii="Times New Roman" w:hAnsi="Times New Roman" w:cs="Times New Roman"/>
          <w:sz w:val="18"/>
          <w:szCs w:val="18"/>
        </w:rPr>
        <w:t>PanelReport, Guatemala –Cement II, para. 8.53.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C63E" w14:textId="77777777" w:rsidR="00715F06" w:rsidRDefault="00715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9A9D5" w14:textId="77777777" w:rsidR="00715F06" w:rsidRDefault="00715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7CA0" w14:textId="77777777" w:rsidR="00715F06" w:rsidRDefault="00715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25EA"/>
    <w:multiLevelType w:val="hybridMultilevel"/>
    <w:tmpl w:val="F20EB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60A5"/>
    <w:multiLevelType w:val="hybridMultilevel"/>
    <w:tmpl w:val="B2E0CB42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12748"/>
    <w:multiLevelType w:val="hybridMultilevel"/>
    <w:tmpl w:val="B33CA052"/>
    <w:lvl w:ilvl="0" w:tplc="0152FC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F5B76"/>
    <w:multiLevelType w:val="hybridMultilevel"/>
    <w:tmpl w:val="058AE51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7350D"/>
    <w:multiLevelType w:val="hybridMultilevel"/>
    <w:tmpl w:val="FA3C56CE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C86C14"/>
    <w:multiLevelType w:val="hybridMultilevel"/>
    <w:tmpl w:val="886645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D1F27"/>
    <w:multiLevelType w:val="hybridMultilevel"/>
    <w:tmpl w:val="ADEE130C"/>
    <w:lvl w:ilvl="0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30119F"/>
    <w:multiLevelType w:val="hybridMultilevel"/>
    <w:tmpl w:val="F2D0C67A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790BF2"/>
    <w:multiLevelType w:val="hybridMultilevel"/>
    <w:tmpl w:val="8626F2B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88A46">
      <w:start w:val="3"/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678A5B04"/>
    <w:multiLevelType w:val="hybridMultilevel"/>
    <w:tmpl w:val="3BA82FE4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006673B"/>
    <w:multiLevelType w:val="hybridMultilevel"/>
    <w:tmpl w:val="6B4A639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36FF9"/>
    <w:multiLevelType w:val="hybridMultilevel"/>
    <w:tmpl w:val="F1BAFE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C61F5"/>
    <w:multiLevelType w:val="hybridMultilevel"/>
    <w:tmpl w:val="DA1AB89A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52EB5"/>
    <w:rsid w:val="00013C34"/>
    <w:rsid w:val="00014433"/>
    <w:rsid w:val="00016B9F"/>
    <w:rsid w:val="000322C8"/>
    <w:rsid w:val="00036624"/>
    <w:rsid w:val="0004721B"/>
    <w:rsid w:val="00071B02"/>
    <w:rsid w:val="00074546"/>
    <w:rsid w:val="00077383"/>
    <w:rsid w:val="00081C0C"/>
    <w:rsid w:val="000828B1"/>
    <w:rsid w:val="0008606A"/>
    <w:rsid w:val="000B0AC1"/>
    <w:rsid w:val="000C19F5"/>
    <w:rsid w:val="000D0855"/>
    <w:rsid w:val="000D6965"/>
    <w:rsid w:val="000E3765"/>
    <w:rsid w:val="000F409A"/>
    <w:rsid w:val="000F7634"/>
    <w:rsid w:val="00115C15"/>
    <w:rsid w:val="00116B7D"/>
    <w:rsid w:val="001173A7"/>
    <w:rsid w:val="001230C9"/>
    <w:rsid w:val="00140E04"/>
    <w:rsid w:val="00165082"/>
    <w:rsid w:val="00196CA2"/>
    <w:rsid w:val="001C4F5A"/>
    <w:rsid w:val="001D6654"/>
    <w:rsid w:val="001E340C"/>
    <w:rsid w:val="001F414E"/>
    <w:rsid w:val="002030FD"/>
    <w:rsid w:val="00215309"/>
    <w:rsid w:val="00221C5B"/>
    <w:rsid w:val="00233E49"/>
    <w:rsid w:val="00240391"/>
    <w:rsid w:val="00241743"/>
    <w:rsid w:val="002608BB"/>
    <w:rsid w:val="00270F6F"/>
    <w:rsid w:val="00277FB4"/>
    <w:rsid w:val="00280F13"/>
    <w:rsid w:val="0029651B"/>
    <w:rsid w:val="002A3AB9"/>
    <w:rsid w:val="002B3F69"/>
    <w:rsid w:val="002D37BD"/>
    <w:rsid w:val="002D6A21"/>
    <w:rsid w:val="002E1B4A"/>
    <w:rsid w:val="002E4652"/>
    <w:rsid w:val="002E736F"/>
    <w:rsid w:val="002F404B"/>
    <w:rsid w:val="0030061D"/>
    <w:rsid w:val="00304A69"/>
    <w:rsid w:val="00354CB0"/>
    <w:rsid w:val="00362960"/>
    <w:rsid w:val="003B507C"/>
    <w:rsid w:val="003F13B0"/>
    <w:rsid w:val="00402ABC"/>
    <w:rsid w:val="004044AA"/>
    <w:rsid w:val="004113FD"/>
    <w:rsid w:val="0041714C"/>
    <w:rsid w:val="004274DF"/>
    <w:rsid w:val="00434E07"/>
    <w:rsid w:val="00452EB5"/>
    <w:rsid w:val="0045545D"/>
    <w:rsid w:val="004704E5"/>
    <w:rsid w:val="004705EB"/>
    <w:rsid w:val="004729A1"/>
    <w:rsid w:val="0048537D"/>
    <w:rsid w:val="004C45B3"/>
    <w:rsid w:val="004C5122"/>
    <w:rsid w:val="00515AC4"/>
    <w:rsid w:val="005249E9"/>
    <w:rsid w:val="00525891"/>
    <w:rsid w:val="005931F2"/>
    <w:rsid w:val="005A3200"/>
    <w:rsid w:val="005A7B7B"/>
    <w:rsid w:val="005B6D47"/>
    <w:rsid w:val="005C7F90"/>
    <w:rsid w:val="005D58DB"/>
    <w:rsid w:val="005E44E7"/>
    <w:rsid w:val="005F0597"/>
    <w:rsid w:val="00617658"/>
    <w:rsid w:val="00625348"/>
    <w:rsid w:val="0064721D"/>
    <w:rsid w:val="0065389B"/>
    <w:rsid w:val="00654AD6"/>
    <w:rsid w:val="00654D75"/>
    <w:rsid w:val="0067143A"/>
    <w:rsid w:val="006805D9"/>
    <w:rsid w:val="006817D4"/>
    <w:rsid w:val="00682C1C"/>
    <w:rsid w:val="006B3680"/>
    <w:rsid w:val="006C59C8"/>
    <w:rsid w:val="006D0EB1"/>
    <w:rsid w:val="00705DE3"/>
    <w:rsid w:val="007072BC"/>
    <w:rsid w:val="00715F06"/>
    <w:rsid w:val="007229CE"/>
    <w:rsid w:val="007236DF"/>
    <w:rsid w:val="00733AB1"/>
    <w:rsid w:val="007362FE"/>
    <w:rsid w:val="00740302"/>
    <w:rsid w:val="00751C89"/>
    <w:rsid w:val="007611F4"/>
    <w:rsid w:val="007807C3"/>
    <w:rsid w:val="007A141F"/>
    <w:rsid w:val="007A78C3"/>
    <w:rsid w:val="007B147F"/>
    <w:rsid w:val="007B3E14"/>
    <w:rsid w:val="007C1D44"/>
    <w:rsid w:val="007E4484"/>
    <w:rsid w:val="007F2AAE"/>
    <w:rsid w:val="007F68A9"/>
    <w:rsid w:val="00832FEF"/>
    <w:rsid w:val="008453E4"/>
    <w:rsid w:val="00860506"/>
    <w:rsid w:val="00876501"/>
    <w:rsid w:val="00885AFC"/>
    <w:rsid w:val="00896C42"/>
    <w:rsid w:val="008A3870"/>
    <w:rsid w:val="008A43EC"/>
    <w:rsid w:val="008A5327"/>
    <w:rsid w:val="008B73D3"/>
    <w:rsid w:val="008C5746"/>
    <w:rsid w:val="008C5FF7"/>
    <w:rsid w:val="008C78F5"/>
    <w:rsid w:val="008D3D08"/>
    <w:rsid w:val="008F0F64"/>
    <w:rsid w:val="008F6298"/>
    <w:rsid w:val="00901B0F"/>
    <w:rsid w:val="00916982"/>
    <w:rsid w:val="00924342"/>
    <w:rsid w:val="00947EF0"/>
    <w:rsid w:val="0095591B"/>
    <w:rsid w:val="009771F1"/>
    <w:rsid w:val="009A6965"/>
    <w:rsid w:val="009A71E5"/>
    <w:rsid w:val="009B4194"/>
    <w:rsid w:val="009B4969"/>
    <w:rsid w:val="009B5422"/>
    <w:rsid w:val="009D1147"/>
    <w:rsid w:val="009D6F6F"/>
    <w:rsid w:val="009D750D"/>
    <w:rsid w:val="009F604A"/>
    <w:rsid w:val="00A03EB8"/>
    <w:rsid w:val="00A2020F"/>
    <w:rsid w:val="00A547E0"/>
    <w:rsid w:val="00A61DD4"/>
    <w:rsid w:val="00A70615"/>
    <w:rsid w:val="00A81FD4"/>
    <w:rsid w:val="00A827E1"/>
    <w:rsid w:val="00A84713"/>
    <w:rsid w:val="00A86EDC"/>
    <w:rsid w:val="00A94F06"/>
    <w:rsid w:val="00AC5FD0"/>
    <w:rsid w:val="00AF0F16"/>
    <w:rsid w:val="00B05ECE"/>
    <w:rsid w:val="00B264F6"/>
    <w:rsid w:val="00B32620"/>
    <w:rsid w:val="00B341CD"/>
    <w:rsid w:val="00B57CD7"/>
    <w:rsid w:val="00B61C7E"/>
    <w:rsid w:val="00B66043"/>
    <w:rsid w:val="00B851DC"/>
    <w:rsid w:val="00BA1DF6"/>
    <w:rsid w:val="00BC31F2"/>
    <w:rsid w:val="00BD5127"/>
    <w:rsid w:val="00BE1739"/>
    <w:rsid w:val="00BF0D10"/>
    <w:rsid w:val="00BF5EF8"/>
    <w:rsid w:val="00BF748C"/>
    <w:rsid w:val="00C02E8F"/>
    <w:rsid w:val="00C04A1B"/>
    <w:rsid w:val="00C23944"/>
    <w:rsid w:val="00C449FD"/>
    <w:rsid w:val="00C454A6"/>
    <w:rsid w:val="00C55521"/>
    <w:rsid w:val="00C86926"/>
    <w:rsid w:val="00C91394"/>
    <w:rsid w:val="00C92A40"/>
    <w:rsid w:val="00C92E5D"/>
    <w:rsid w:val="00CA2F88"/>
    <w:rsid w:val="00CA7810"/>
    <w:rsid w:val="00CC712B"/>
    <w:rsid w:val="00CE03D6"/>
    <w:rsid w:val="00D13C6C"/>
    <w:rsid w:val="00D15CF2"/>
    <w:rsid w:val="00D646A7"/>
    <w:rsid w:val="00D7311C"/>
    <w:rsid w:val="00D908AC"/>
    <w:rsid w:val="00D9651E"/>
    <w:rsid w:val="00DC140A"/>
    <w:rsid w:val="00DC50AA"/>
    <w:rsid w:val="00DC6AD9"/>
    <w:rsid w:val="00DD1BE3"/>
    <w:rsid w:val="00DD4BE8"/>
    <w:rsid w:val="00E0486A"/>
    <w:rsid w:val="00E05982"/>
    <w:rsid w:val="00E130D4"/>
    <w:rsid w:val="00E1318E"/>
    <w:rsid w:val="00E15E47"/>
    <w:rsid w:val="00E27BA8"/>
    <w:rsid w:val="00E300AD"/>
    <w:rsid w:val="00E41049"/>
    <w:rsid w:val="00E45B7E"/>
    <w:rsid w:val="00E6077D"/>
    <w:rsid w:val="00E77E76"/>
    <w:rsid w:val="00E901C4"/>
    <w:rsid w:val="00E947D1"/>
    <w:rsid w:val="00E965E8"/>
    <w:rsid w:val="00EB0772"/>
    <w:rsid w:val="00EB2D86"/>
    <w:rsid w:val="00EE06F3"/>
    <w:rsid w:val="00EE65F9"/>
    <w:rsid w:val="00EF1B4C"/>
    <w:rsid w:val="00EF41CC"/>
    <w:rsid w:val="00F127B8"/>
    <w:rsid w:val="00F233E3"/>
    <w:rsid w:val="00F24BC6"/>
    <w:rsid w:val="00F313E8"/>
    <w:rsid w:val="00F372EC"/>
    <w:rsid w:val="00F42715"/>
    <w:rsid w:val="00F84EC2"/>
    <w:rsid w:val="00FF1551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D094"/>
  <w15:chartTrackingRefBased/>
  <w15:docId w15:val="{787D2AA8-75A7-4A50-9287-902F920E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4E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References"/>
    <w:link w:val="DateChar"/>
    <w:uiPriority w:val="99"/>
    <w:rsid w:val="00452EB5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DateChar">
    <w:name w:val="Date Char"/>
    <w:basedOn w:val="DefaultParagraphFont"/>
    <w:link w:val="Date"/>
    <w:uiPriority w:val="99"/>
    <w:rsid w:val="00452EB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References">
    <w:name w:val="References"/>
    <w:basedOn w:val="Normal"/>
    <w:next w:val="Normal"/>
    <w:rsid w:val="00452EB5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Com">
    <w:name w:val="Z_Com"/>
    <w:basedOn w:val="Normal"/>
    <w:next w:val="ZDGName"/>
    <w:uiPriority w:val="99"/>
    <w:rsid w:val="00452EB5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452EB5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196CA2"/>
    <w:pPr>
      <w:ind w:left="720"/>
      <w:contextualSpacing/>
    </w:pPr>
  </w:style>
  <w:style w:type="paragraph" w:customStyle="1" w:styleId="Body">
    <w:name w:val="Body"/>
    <w:rsid w:val="00B264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customStyle="1" w:styleId="BodyA">
    <w:name w:val="Body A"/>
    <w:rsid w:val="00B264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0F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634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0F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634"/>
    <w:rPr>
      <w:lang w:val="tr-TR"/>
    </w:rPr>
  </w:style>
  <w:style w:type="paragraph" w:styleId="NormalWeb">
    <w:name w:val="Normal (Web)"/>
    <w:basedOn w:val="Normal"/>
    <w:uiPriority w:val="99"/>
    <w:semiHidden/>
    <w:unhideWhenUsed/>
    <w:rsid w:val="00CC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FootnoteText">
    <w:name w:val="footnote text"/>
    <w:basedOn w:val="Normal"/>
    <w:link w:val="FootnoteTextChar"/>
    <w:semiHidden/>
    <w:unhideWhenUsed/>
    <w:rsid w:val="006C59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9C8"/>
    <w:rPr>
      <w:sz w:val="20"/>
      <w:szCs w:val="20"/>
      <w:lang w:val="tr-TR"/>
    </w:rPr>
  </w:style>
  <w:style w:type="character" w:styleId="FootnoteReference">
    <w:name w:val="footnote reference"/>
    <w:basedOn w:val="DefaultParagraphFont"/>
    <w:semiHidden/>
    <w:unhideWhenUsed/>
    <w:rsid w:val="006C59C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B2D86"/>
    <w:rPr>
      <w:color w:val="0563C1"/>
      <w:u w:val="single"/>
    </w:rPr>
  </w:style>
  <w:style w:type="paragraph" w:customStyle="1" w:styleId="tocindent4">
    <w:name w:val="tocindent4"/>
    <w:basedOn w:val="Normal"/>
    <w:rsid w:val="00BF5EF8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65"/>
    <w:rPr>
      <w:rFonts w:ascii="Segoe UI" w:hAnsi="Segoe UI" w:cs="Segoe UI"/>
      <w:sz w:val="18"/>
      <w:szCs w:val="18"/>
      <w:lang w:val="tr-TR"/>
    </w:rPr>
  </w:style>
  <w:style w:type="paragraph" w:customStyle="1" w:styleId="ListDash">
    <w:name w:val="List Dash"/>
    <w:basedOn w:val="Normal"/>
    <w:rsid w:val="009B4969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86926"/>
    <w:rPr>
      <w:color w:val="808080"/>
    </w:rPr>
  </w:style>
  <w:style w:type="paragraph" w:styleId="Revision">
    <w:name w:val="Revision"/>
    <w:hidden/>
    <w:uiPriority w:val="99"/>
    <w:semiHidden/>
    <w:rsid w:val="00BF748C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DC671AA-3571-4386-B656-AF2CC2032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1EF82-1CCD-4775-B763-C4193ED6DBAB}"/>
</file>

<file path=customXml/itemProps3.xml><?xml version="1.0" encoding="utf-8"?>
<ds:datastoreItem xmlns:ds="http://schemas.openxmlformats.org/officeDocument/2006/customXml" ds:itemID="{0D3CFC60-DF88-4178-BF9D-0D235C35759E}"/>
</file>

<file path=customXml/itemProps4.xml><?xml version="1.0" encoding="utf-8"?>
<ds:datastoreItem xmlns:ds="http://schemas.openxmlformats.org/officeDocument/2006/customXml" ds:itemID="{0CE77697-EA0E-431E-8526-F762789E4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6632</Characters>
  <Application>Microsoft Office Word</Application>
  <DocSecurity>4</DocSecurity>
  <Lines>114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BLASCO Gemma (TRADE)</dc:creator>
  <cp:keywords/>
  <dc:description/>
  <cp:lastModifiedBy>LAWNICZAK Justyna (EEAS-LONDON)</cp:lastModifiedBy>
  <cp:revision>2</cp:revision>
  <cp:lastPrinted>2024-07-05T13:40:00Z</cp:lastPrinted>
  <dcterms:created xsi:type="dcterms:W3CDTF">2024-07-09T12:21:00Z</dcterms:created>
  <dcterms:modified xsi:type="dcterms:W3CDTF">2024-07-09T12:21:00Z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2024-07-04T13:13:32Z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39214046-2586-4352-bb47-efbfe8e79839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0x010100C9280E48E807ED4AA4BA7BE40CA69573</vt:lpwstr>
  </property>
</Properties>
</file>