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2.0 -->
  <w:body>
    <w:p w:rsidR="00610C61" w:rsidRPr="00AF60E2" w14:paraId="2368DA62" w14:textId="77777777">
      <w:pPr>
        <w:rPr>
          <w:rFonts w:ascii="Arial" w:hAnsi="Arial" w:cs="Arial"/>
          <w:b/>
          <w:bCs/>
          <w:sz w:val="24"/>
          <w:szCs w:val="24"/>
          <w:u w:val="single"/>
        </w:rPr>
      </w:pPr>
      <w:r w:rsidRPr="00AF60E2">
        <w:rPr>
          <w:rFonts w:ascii="Arial" w:hAnsi="Arial" w:cs="Arial"/>
          <w:b/>
          <w:bCs/>
          <w:sz w:val="24"/>
          <w:szCs w:val="24"/>
          <w:u w:val="single"/>
        </w:rPr>
        <w:t>TRADE REMEDIES AUTHORITY</w:t>
      </w:r>
    </w:p>
    <w:p w:rsidR="00C02EFC" w:rsidRPr="00AF60E2" w14:paraId="088EB35A" w14:textId="77777777">
      <w:pPr>
        <w:rPr>
          <w:rFonts w:ascii="Arial" w:hAnsi="Arial" w:cs="Arial"/>
          <w:b/>
          <w:bCs/>
          <w:sz w:val="24"/>
          <w:szCs w:val="24"/>
          <w:u w:val="single"/>
        </w:rPr>
      </w:pPr>
      <w:r w:rsidRPr="00AF60E2">
        <w:rPr>
          <w:rFonts w:ascii="Arial" w:hAnsi="Arial" w:cs="Arial"/>
          <w:b/>
          <w:bCs/>
          <w:sz w:val="24"/>
          <w:szCs w:val="24"/>
          <w:u w:val="single"/>
        </w:rPr>
        <w:t>INVESTIGATION NO: AD0059</w:t>
      </w:r>
    </w:p>
    <w:p w:rsidR="007F5C44" w:rsidRPr="00AF60E2" w14:paraId="65833DB0" w14:textId="77777777">
      <w:pPr>
        <w:rPr>
          <w:rFonts w:ascii="Arial" w:hAnsi="Arial" w:cs="Arial"/>
          <w:b/>
          <w:bCs/>
          <w:sz w:val="24"/>
          <w:szCs w:val="24"/>
          <w:u w:val="single"/>
        </w:rPr>
      </w:pPr>
    </w:p>
    <w:p w:rsidR="00610C61" w:rsidRPr="00AF60E2" w:rsidP="00610C61" w14:paraId="76E27967" w14:textId="77777777">
      <w:pPr>
        <w:jc w:val="center"/>
        <w:rPr>
          <w:rFonts w:ascii="Arial" w:hAnsi="Arial" w:cs="Arial"/>
          <w:b/>
          <w:bCs/>
          <w:sz w:val="24"/>
          <w:szCs w:val="24"/>
        </w:rPr>
      </w:pPr>
      <w:r w:rsidRPr="00AF60E2">
        <w:rPr>
          <w:rFonts w:ascii="Arial" w:hAnsi="Arial" w:cs="Arial"/>
          <w:b/>
          <w:bCs/>
          <w:sz w:val="24"/>
          <w:szCs w:val="24"/>
        </w:rPr>
        <w:t xml:space="preserve">_______________________________________________________ </w:t>
      </w:r>
    </w:p>
    <w:p w:rsidR="00610C61" w:rsidRPr="00AF60E2" w:rsidP="00610C61" w14:paraId="695856E8" w14:textId="77777777">
      <w:pPr>
        <w:jc w:val="center"/>
        <w:rPr>
          <w:rFonts w:ascii="Arial" w:hAnsi="Arial" w:cs="Arial"/>
          <w:b/>
          <w:bCs/>
          <w:sz w:val="24"/>
          <w:szCs w:val="24"/>
        </w:rPr>
      </w:pPr>
      <w:r w:rsidRPr="00AF60E2">
        <w:rPr>
          <w:rFonts w:ascii="Arial" w:hAnsi="Arial" w:cs="Arial"/>
          <w:b/>
          <w:bCs/>
          <w:sz w:val="24"/>
          <w:szCs w:val="24"/>
        </w:rPr>
        <w:t>SUBMISSIONS</w:t>
      </w:r>
      <w:r w:rsidRPr="00AF60E2" w:rsidR="007F5C44">
        <w:rPr>
          <w:rFonts w:ascii="Arial" w:hAnsi="Arial" w:cs="Arial"/>
          <w:b/>
          <w:bCs/>
          <w:sz w:val="24"/>
          <w:szCs w:val="24"/>
        </w:rPr>
        <w:t xml:space="preserve"> BY LUBRIAGE LTD</w:t>
      </w:r>
      <w:r w:rsidRPr="00AF60E2">
        <w:rPr>
          <w:rFonts w:ascii="Arial" w:hAnsi="Arial" w:cs="Arial"/>
          <w:b/>
          <w:bCs/>
          <w:sz w:val="24"/>
          <w:szCs w:val="24"/>
        </w:rPr>
        <w:t xml:space="preserve"> IN RESPONSE TO THE </w:t>
      </w:r>
    </w:p>
    <w:p w:rsidR="00610C61" w:rsidRPr="00AF60E2" w:rsidP="00610C61" w14:paraId="7D0AF119" w14:textId="77777777">
      <w:pPr>
        <w:jc w:val="center"/>
        <w:rPr>
          <w:rFonts w:ascii="Arial" w:hAnsi="Arial" w:cs="Arial"/>
          <w:b/>
          <w:bCs/>
          <w:sz w:val="24"/>
          <w:szCs w:val="24"/>
        </w:rPr>
      </w:pPr>
      <w:r w:rsidRPr="00AF60E2">
        <w:rPr>
          <w:rFonts w:ascii="Arial" w:hAnsi="Arial" w:cs="Arial"/>
          <w:b/>
          <w:bCs/>
          <w:sz w:val="24"/>
          <w:szCs w:val="24"/>
        </w:rPr>
        <w:t xml:space="preserve">PROVISIONAL AFFIRMATIVE DETERMINATION AND RECOMMENDATION </w:t>
      </w:r>
    </w:p>
    <w:p w:rsidR="00610C61" w:rsidRPr="00AF60E2" w:rsidP="00610C61" w14:paraId="27D03EB9" w14:textId="77777777">
      <w:pPr>
        <w:jc w:val="center"/>
        <w:rPr>
          <w:rFonts w:ascii="Arial" w:hAnsi="Arial" w:cs="Arial"/>
          <w:b/>
          <w:bCs/>
          <w:sz w:val="24"/>
          <w:szCs w:val="24"/>
        </w:rPr>
      </w:pPr>
      <w:r w:rsidRPr="00AF60E2">
        <w:rPr>
          <w:rFonts w:ascii="Arial" w:hAnsi="Arial" w:cs="Arial"/>
          <w:b/>
          <w:bCs/>
          <w:sz w:val="24"/>
          <w:szCs w:val="24"/>
        </w:rPr>
        <w:t>DATED 16 APRIL 2025</w:t>
      </w:r>
    </w:p>
    <w:p w:rsidR="00610C61" w:rsidRPr="00AF60E2" w:rsidP="00610C61" w14:paraId="7B0315BF" w14:textId="77777777">
      <w:pPr>
        <w:jc w:val="center"/>
        <w:rPr>
          <w:rFonts w:ascii="Arial" w:hAnsi="Arial" w:cs="Arial"/>
          <w:b/>
          <w:bCs/>
          <w:sz w:val="24"/>
          <w:szCs w:val="24"/>
        </w:rPr>
      </w:pPr>
      <w:r w:rsidRPr="00AF60E2">
        <w:rPr>
          <w:rFonts w:ascii="Arial" w:hAnsi="Arial" w:cs="Arial"/>
          <w:b/>
          <w:bCs/>
          <w:sz w:val="24"/>
          <w:szCs w:val="24"/>
        </w:rPr>
        <w:t>_________________________________________________________</w:t>
      </w:r>
    </w:p>
    <w:p w:rsidR="00610C61" w:rsidRPr="00AF60E2" w14:paraId="406638B9" w14:textId="77777777">
      <w:pPr>
        <w:rPr>
          <w:rFonts w:ascii="Arial" w:hAnsi="Arial" w:cs="Arial"/>
          <w:b/>
          <w:bCs/>
          <w:sz w:val="24"/>
          <w:szCs w:val="24"/>
        </w:rPr>
      </w:pPr>
    </w:p>
    <w:p w:rsidR="00610C61" w:rsidRPr="00AF60E2" w:rsidP="00BB4417" w14:paraId="2C9AE042"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 xml:space="preserve">These submissions are made </w:t>
      </w:r>
      <w:r w:rsidRPr="00AF60E2" w:rsidR="00B84301">
        <w:rPr>
          <w:rFonts w:ascii="Arial" w:hAnsi="Arial" w:cs="Arial"/>
          <w:sz w:val="24"/>
          <w:szCs w:val="24"/>
        </w:rPr>
        <w:t xml:space="preserve">by </w:t>
      </w:r>
      <w:r w:rsidRPr="00AF60E2" w:rsidR="00B84301">
        <w:rPr>
          <w:rFonts w:ascii="Arial" w:hAnsi="Arial" w:cs="Arial"/>
          <w:sz w:val="24"/>
          <w:szCs w:val="24"/>
        </w:rPr>
        <w:t>Lubriage</w:t>
      </w:r>
      <w:r w:rsidRPr="00AF60E2" w:rsidR="00B84301">
        <w:rPr>
          <w:rFonts w:ascii="Arial" w:hAnsi="Arial" w:cs="Arial"/>
          <w:sz w:val="24"/>
          <w:szCs w:val="24"/>
        </w:rPr>
        <w:t xml:space="preserve"> Ltd </w:t>
      </w:r>
      <w:r w:rsidRPr="00AF60E2">
        <w:rPr>
          <w:rFonts w:ascii="Arial" w:hAnsi="Arial" w:cs="Arial"/>
          <w:sz w:val="24"/>
          <w:szCs w:val="24"/>
        </w:rPr>
        <w:t>in response to the Provisional Affirmative Determination</w:t>
      </w:r>
      <w:r w:rsidRPr="00AF60E2" w:rsidR="00844751">
        <w:rPr>
          <w:rFonts w:ascii="Arial" w:hAnsi="Arial" w:cs="Arial"/>
          <w:sz w:val="24"/>
          <w:szCs w:val="24"/>
        </w:rPr>
        <w:t xml:space="preserve"> (“PAD”) dated 16 April 2025 </w:t>
      </w:r>
      <w:r w:rsidRPr="00AF60E2" w:rsidR="007F5C44">
        <w:rPr>
          <w:rFonts w:ascii="Arial" w:hAnsi="Arial" w:cs="Arial"/>
          <w:sz w:val="24"/>
          <w:szCs w:val="24"/>
        </w:rPr>
        <w:t xml:space="preserve">that import duties be imposed </w:t>
      </w:r>
      <w:r w:rsidRPr="00AF60E2" w:rsidR="00F9271F">
        <w:rPr>
          <w:rFonts w:ascii="Arial" w:hAnsi="Arial" w:cs="Arial"/>
          <w:sz w:val="24"/>
          <w:szCs w:val="24"/>
        </w:rPr>
        <w:t xml:space="preserve">and a </w:t>
      </w:r>
      <w:r w:rsidRPr="00AF60E2" w:rsidR="00844751">
        <w:rPr>
          <w:rFonts w:ascii="Arial" w:hAnsi="Arial" w:cs="Arial"/>
          <w:sz w:val="24"/>
          <w:szCs w:val="24"/>
        </w:rPr>
        <w:t>guarantee</w:t>
      </w:r>
      <w:r w:rsidRPr="00AF60E2" w:rsidR="00F9271F">
        <w:rPr>
          <w:rFonts w:ascii="Arial" w:hAnsi="Arial" w:cs="Arial"/>
          <w:sz w:val="24"/>
          <w:szCs w:val="24"/>
        </w:rPr>
        <w:t xml:space="preserve"> </w:t>
      </w:r>
      <w:r w:rsidRPr="00AF60E2" w:rsidR="00A1706F">
        <w:rPr>
          <w:rFonts w:ascii="Arial" w:hAnsi="Arial" w:cs="Arial"/>
          <w:sz w:val="24"/>
          <w:szCs w:val="24"/>
        </w:rPr>
        <w:t xml:space="preserve">given </w:t>
      </w:r>
      <w:r w:rsidRPr="00AF60E2" w:rsidR="00F9271F">
        <w:rPr>
          <w:rFonts w:ascii="Arial" w:hAnsi="Arial" w:cs="Arial"/>
          <w:sz w:val="24"/>
          <w:szCs w:val="24"/>
        </w:rPr>
        <w:t>in respect of the payment of the suggested duties</w:t>
      </w:r>
      <w:r w:rsidRPr="00AF60E2" w:rsidR="00844751">
        <w:rPr>
          <w:rFonts w:ascii="Arial" w:hAnsi="Arial" w:cs="Arial"/>
          <w:sz w:val="24"/>
          <w:szCs w:val="24"/>
        </w:rPr>
        <w:t xml:space="preserve"> pursuant to paragraphs 11(3), 13(3)(a) and 13(8A) of schedule 4 to the Taxation (Cross-border Trade) Act 2018</w:t>
      </w:r>
      <w:r w:rsidRPr="00AF60E2" w:rsidR="006D5579">
        <w:rPr>
          <w:rFonts w:ascii="Arial" w:hAnsi="Arial" w:cs="Arial"/>
          <w:sz w:val="24"/>
          <w:szCs w:val="24"/>
        </w:rPr>
        <w:t>.</w:t>
      </w:r>
    </w:p>
    <w:p w:rsidR="00A35DB6" w:rsidRPr="00AF60E2" w:rsidP="00A35DB6" w14:paraId="4C9A0FA7" w14:textId="77777777">
      <w:pPr>
        <w:pStyle w:val="ListParagraph"/>
        <w:rPr>
          <w:rFonts w:ascii="Arial" w:hAnsi="Arial" w:cs="Arial"/>
          <w:sz w:val="24"/>
          <w:szCs w:val="24"/>
        </w:rPr>
      </w:pPr>
    </w:p>
    <w:p w:rsidR="00245268" w:rsidRPr="00AF60E2" w:rsidP="00245268" w14:paraId="4D57650A" w14:textId="77777777">
      <w:pPr>
        <w:pStyle w:val="ListParagraph"/>
        <w:numPr>
          <w:ilvl w:val="0"/>
          <w:numId w:val="1"/>
        </w:numPr>
        <w:rPr>
          <w:rFonts w:ascii="Arial" w:hAnsi="Arial" w:cs="Arial"/>
          <w:sz w:val="24"/>
          <w:szCs w:val="24"/>
        </w:rPr>
      </w:pPr>
      <w:r w:rsidRPr="00AF60E2">
        <w:rPr>
          <w:rFonts w:ascii="Arial" w:hAnsi="Arial" w:cs="Arial"/>
          <w:sz w:val="24"/>
          <w:szCs w:val="24"/>
        </w:rPr>
        <w:t xml:space="preserve">The public file indicates that responses by Interested parties and contributors </w:t>
      </w:r>
      <w:r w:rsidRPr="00AF60E2" w:rsidR="007F5C44">
        <w:rPr>
          <w:rFonts w:ascii="Arial" w:hAnsi="Arial" w:cs="Arial"/>
          <w:sz w:val="24"/>
          <w:szCs w:val="24"/>
        </w:rPr>
        <w:t xml:space="preserve">should be submitted </w:t>
      </w:r>
      <w:r w:rsidRPr="00AF60E2">
        <w:rPr>
          <w:rFonts w:ascii="Arial" w:hAnsi="Arial" w:cs="Arial"/>
          <w:sz w:val="24"/>
          <w:szCs w:val="24"/>
        </w:rPr>
        <w:t xml:space="preserve">by 23:59 UK time on 1 May 2025. </w:t>
      </w:r>
    </w:p>
    <w:p w:rsidR="00245268" w:rsidRPr="00AF60E2" w:rsidP="00245268" w14:paraId="2CCC15A3" w14:textId="77777777">
      <w:pPr>
        <w:pStyle w:val="ListParagraph"/>
        <w:rPr>
          <w:rFonts w:ascii="Arial" w:hAnsi="Arial" w:cs="Arial"/>
          <w:sz w:val="24"/>
          <w:szCs w:val="24"/>
        </w:rPr>
      </w:pPr>
    </w:p>
    <w:p w:rsidR="00245268" w:rsidRPr="00AF60E2" w:rsidP="00245268" w14:paraId="2C66E25C" w14:textId="77777777">
      <w:pPr>
        <w:pStyle w:val="ListParagraph"/>
        <w:numPr>
          <w:ilvl w:val="0"/>
          <w:numId w:val="1"/>
        </w:numPr>
        <w:rPr>
          <w:rFonts w:ascii="Arial" w:hAnsi="Arial" w:cs="Arial"/>
          <w:sz w:val="24"/>
          <w:szCs w:val="24"/>
        </w:rPr>
      </w:pPr>
      <w:r w:rsidRPr="00AF60E2">
        <w:rPr>
          <w:rFonts w:ascii="Arial" w:hAnsi="Arial" w:cs="Arial"/>
          <w:sz w:val="24"/>
          <w:szCs w:val="24"/>
        </w:rPr>
        <w:t>The goods concerned are passenger car motor oils, heavy duty commercial vehicle oils and hydraulic oils, grades: 5W-30, 5W-40, 0W-16, 0W-20, 0W-30, 10W-40, 10W-30, 20W-50, SAE40, SAE50, 15W-40, ISO32, ISO46, ISO68, HV32, HV46 and HV68. These goods are imported into the UK under the following UK Global Tariff commodity codes: - 2710198120 - 2710198130 - 2710198140 - 2710198190 – 2710198300.</w:t>
      </w:r>
      <w:r w:rsidRPr="00AF60E2" w:rsidR="00FA3880">
        <w:rPr>
          <w:rFonts w:ascii="Arial" w:hAnsi="Arial" w:cs="Arial"/>
          <w:sz w:val="24"/>
          <w:szCs w:val="24"/>
        </w:rPr>
        <w:t xml:space="preserve"> The period of investigation(“POI”) in respect of the importation of these products is stated to be 1 April 2023-31 March 2024.</w:t>
      </w:r>
    </w:p>
    <w:p w:rsidR="00D838BF" w:rsidRPr="00AF60E2" w:rsidP="00D838BF" w14:paraId="0206BC97" w14:textId="77777777">
      <w:pPr>
        <w:pStyle w:val="ListParagraph"/>
        <w:rPr>
          <w:rFonts w:ascii="Arial" w:hAnsi="Arial" w:cs="Arial"/>
          <w:sz w:val="24"/>
          <w:szCs w:val="24"/>
        </w:rPr>
      </w:pPr>
    </w:p>
    <w:p w:rsidR="00D838BF" w:rsidRPr="00AF60E2" w:rsidP="001B2971" w14:paraId="577DA62D" w14:textId="77777777">
      <w:pPr>
        <w:pStyle w:val="ListParagraph"/>
        <w:numPr>
          <w:ilvl w:val="0"/>
          <w:numId w:val="1"/>
        </w:numPr>
        <w:rPr>
          <w:rFonts w:ascii="Arial" w:hAnsi="Arial" w:cs="Arial"/>
          <w:sz w:val="24"/>
          <w:szCs w:val="24"/>
        </w:rPr>
      </w:pPr>
      <w:r w:rsidRPr="00AF60E2">
        <w:rPr>
          <w:rFonts w:ascii="Arial" w:hAnsi="Arial" w:cs="Arial"/>
          <w:sz w:val="24"/>
          <w:szCs w:val="24"/>
        </w:rPr>
        <w:t xml:space="preserve">The PAD </w:t>
      </w:r>
      <w:r w:rsidRPr="00AF60E2" w:rsidR="00F9271F">
        <w:rPr>
          <w:rFonts w:ascii="Arial" w:hAnsi="Arial" w:cs="Arial"/>
          <w:sz w:val="24"/>
          <w:szCs w:val="24"/>
        </w:rPr>
        <w:t xml:space="preserve">has </w:t>
      </w:r>
      <w:r w:rsidRPr="00AF60E2">
        <w:rPr>
          <w:rFonts w:ascii="Arial" w:hAnsi="Arial" w:cs="Arial"/>
          <w:sz w:val="24"/>
          <w:szCs w:val="24"/>
        </w:rPr>
        <w:t>concluded that Tariffs should be imposed on overseas prod</w:t>
      </w:r>
      <w:r w:rsidRPr="00AF60E2" w:rsidR="00DB2598">
        <w:rPr>
          <w:rFonts w:ascii="Arial" w:hAnsi="Arial" w:cs="Arial"/>
          <w:sz w:val="24"/>
          <w:szCs w:val="24"/>
        </w:rPr>
        <w:t>u</w:t>
      </w:r>
      <w:r w:rsidRPr="00AF60E2">
        <w:rPr>
          <w:rFonts w:ascii="Arial" w:hAnsi="Arial" w:cs="Arial"/>
          <w:sz w:val="24"/>
          <w:szCs w:val="24"/>
        </w:rPr>
        <w:t xml:space="preserve">cers and exporters as set out in the </w:t>
      </w:r>
      <w:r w:rsidRPr="00AF60E2" w:rsidR="00245268">
        <w:rPr>
          <w:rFonts w:ascii="Arial" w:hAnsi="Arial" w:cs="Arial"/>
          <w:sz w:val="24"/>
          <w:szCs w:val="24"/>
        </w:rPr>
        <w:t>following table</w:t>
      </w:r>
      <w:r w:rsidRPr="00AF60E2">
        <w:rPr>
          <w:rFonts w:ascii="Arial" w:hAnsi="Arial" w:cs="Arial"/>
          <w:sz w:val="24"/>
          <w:szCs w:val="24"/>
        </w:rPr>
        <w:t>:</w:t>
      </w:r>
    </w:p>
    <w:p w:rsidR="00D838BF" w:rsidRPr="00AF60E2" w:rsidP="00D838BF" w14:paraId="0A5CE478" w14:textId="77777777">
      <w:pPr>
        <w:pStyle w:val="ListParagraph"/>
        <w:rPr>
          <w:rFonts w:ascii="Arial" w:hAnsi="Arial" w:cs="Arial"/>
          <w:sz w:val="24"/>
          <w:szCs w:val="24"/>
        </w:rPr>
      </w:pPr>
    </w:p>
    <w:p w:rsidR="00D838BF" w:rsidRPr="00AF60E2" w:rsidP="00D838BF" w14:paraId="28B58B17" w14:textId="77777777">
      <w:pPr>
        <w:pStyle w:val="ListParagraph"/>
        <w:rPr>
          <w:rFonts w:ascii="Arial" w:hAnsi="Arial" w:cs="Arial"/>
          <w:sz w:val="24"/>
          <w:szCs w:val="24"/>
        </w:rPr>
      </w:pPr>
      <w:r w:rsidRPr="00AF60E2">
        <w:rPr>
          <w:rFonts w:ascii="Arial" w:hAnsi="Arial" w:cs="Arial"/>
          <w:noProof/>
          <w:sz w:val="24"/>
          <w:szCs w:val="24"/>
        </w:rPr>
        <w:drawing>
          <wp:inline distT="0" distB="0" distL="0" distR="0">
            <wp:extent cx="5731510" cy="1813560"/>
            <wp:effectExtent l="0" t="0" r="0" b="0"/>
            <wp:docPr id="2054797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97695" name=""/>
                    <pic:cNvPicPr/>
                  </pic:nvPicPr>
                  <pic:blipFill>
                    <a:blip xmlns:r="http://schemas.openxmlformats.org/officeDocument/2006/relationships" r:embed="rId4"/>
                    <a:stretch>
                      <a:fillRect/>
                    </a:stretch>
                  </pic:blipFill>
                  <pic:spPr>
                    <a:xfrm>
                      <a:off x="0" y="0"/>
                      <a:ext cx="5731510" cy="1813560"/>
                    </a:xfrm>
                    <a:prstGeom prst="rect">
                      <a:avLst/>
                    </a:prstGeom>
                  </pic:spPr>
                </pic:pic>
              </a:graphicData>
            </a:graphic>
          </wp:inline>
        </w:drawing>
      </w:r>
    </w:p>
    <w:p w:rsidR="00E13D1E" w:rsidRPr="00AF60E2" w:rsidP="00E13D1E" w14:paraId="57A5AD5F" w14:textId="77777777">
      <w:pPr>
        <w:pStyle w:val="ListParagraph"/>
        <w:rPr>
          <w:rFonts w:ascii="Arial" w:hAnsi="Arial" w:cs="Arial"/>
          <w:sz w:val="24"/>
          <w:szCs w:val="24"/>
        </w:rPr>
      </w:pPr>
    </w:p>
    <w:p w:rsidR="001B2971" w:rsidRPr="00AF60E2" w:rsidP="001B2971" w14:paraId="09F90250" w14:textId="77777777">
      <w:pPr>
        <w:pStyle w:val="ListParagraph"/>
        <w:rPr>
          <w:rFonts w:ascii="Arial" w:hAnsi="Arial" w:cs="Arial"/>
          <w:sz w:val="24"/>
          <w:szCs w:val="24"/>
        </w:rPr>
      </w:pPr>
    </w:p>
    <w:p w:rsidR="00DB2598" w:rsidRPr="00AF60E2" w:rsidP="001B2971" w14:paraId="30DA60A6" w14:textId="77777777">
      <w:pPr>
        <w:pStyle w:val="ListParagraph"/>
        <w:numPr>
          <w:ilvl w:val="0"/>
          <w:numId w:val="1"/>
        </w:numPr>
        <w:rPr>
          <w:rFonts w:ascii="Arial" w:hAnsi="Arial" w:cs="Arial"/>
          <w:sz w:val="24"/>
          <w:szCs w:val="24"/>
        </w:rPr>
      </w:pPr>
      <w:r w:rsidRPr="00AF60E2">
        <w:rPr>
          <w:rFonts w:ascii="Arial" w:hAnsi="Arial" w:cs="Arial"/>
          <w:sz w:val="24"/>
          <w:szCs w:val="24"/>
        </w:rPr>
        <w:t>Lubriage</w:t>
      </w:r>
      <w:r w:rsidRPr="00AF60E2">
        <w:rPr>
          <w:rFonts w:ascii="Arial" w:hAnsi="Arial" w:cs="Arial"/>
          <w:sz w:val="24"/>
          <w:szCs w:val="24"/>
        </w:rPr>
        <w:t xml:space="preserve"> Ltd</w:t>
      </w:r>
      <w:r w:rsidRPr="00AF60E2" w:rsidR="001B2971">
        <w:rPr>
          <w:rFonts w:ascii="Arial" w:hAnsi="Arial" w:cs="Arial"/>
          <w:sz w:val="24"/>
          <w:szCs w:val="24"/>
        </w:rPr>
        <w:t xml:space="preserve"> is</w:t>
      </w:r>
      <w:r w:rsidRPr="00AF60E2">
        <w:rPr>
          <w:rFonts w:ascii="Arial" w:hAnsi="Arial" w:cs="Arial"/>
          <w:sz w:val="24"/>
          <w:szCs w:val="24"/>
        </w:rPr>
        <w:t xml:space="preserve"> a UK based importer employing 57 staff from its headquarters in Kettering, Northamptonshire. There is a clear potential to provide additional employment prospects as its business grows</w:t>
      </w:r>
      <w:r w:rsidRPr="00AF60E2" w:rsidR="00A84EDD">
        <w:rPr>
          <w:rFonts w:ascii="Arial" w:hAnsi="Arial" w:cs="Arial"/>
          <w:sz w:val="24"/>
          <w:szCs w:val="24"/>
        </w:rPr>
        <w:t xml:space="preserve">. </w:t>
      </w:r>
    </w:p>
    <w:p w:rsidR="00245268" w:rsidRPr="00AF60E2" w:rsidP="00245268" w14:paraId="44BA92E0" w14:textId="77777777">
      <w:pPr>
        <w:pStyle w:val="ListParagraph"/>
        <w:rPr>
          <w:rFonts w:ascii="Arial" w:hAnsi="Arial" w:cs="Arial"/>
          <w:sz w:val="24"/>
          <w:szCs w:val="24"/>
        </w:rPr>
      </w:pPr>
    </w:p>
    <w:p w:rsidR="007E71A8" w:rsidRPr="00AF60E2" w:rsidP="007E71A8" w14:paraId="44A17BA8" w14:textId="77777777">
      <w:pPr>
        <w:pStyle w:val="ListParagraph"/>
        <w:numPr>
          <w:ilvl w:val="0"/>
          <w:numId w:val="1"/>
        </w:numPr>
        <w:rPr>
          <w:rFonts w:ascii="Arial" w:hAnsi="Arial" w:cs="Arial"/>
          <w:sz w:val="24"/>
          <w:szCs w:val="24"/>
        </w:rPr>
      </w:pPr>
      <w:r w:rsidRPr="00AF60E2">
        <w:rPr>
          <w:rFonts w:ascii="Arial" w:hAnsi="Arial" w:cs="Arial"/>
          <w:sz w:val="24"/>
          <w:szCs w:val="24"/>
        </w:rPr>
        <w:t>This growth and the associated</w:t>
      </w:r>
      <w:r w:rsidRPr="00AF60E2" w:rsidR="007F5C44">
        <w:rPr>
          <w:rFonts w:ascii="Arial" w:hAnsi="Arial" w:cs="Arial"/>
          <w:sz w:val="24"/>
          <w:szCs w:val="24"/>
        </w:rPr>
        <w:t xml:space="preserve"> employment prospects in the locality </w:t>
      </w:r>
      <w:r w:rsidRPr="00AF60E2" w:rsidR="001B2971">
        <w:rPr>
          <w:rFonts w:ascii="Arial" w:hAnsi="Arial" w:cs="Arial"/>
          <w:sz w:val="24"/>
          <w:szCs w:val="24"/>
        </w:rPr>
        <w:t>are</w:t>
      </w:r>
      <w:r w:rsidRPr="00AF60E2">
        <w:rPr>
          <w:rFonts w:ascii="Arial" w:hAnsi="Arial" w:cs="Arial"/>
          <w:sz w:val="24"/>
          <w:szCs w:val="24"/>
        </w:rPr>
        <w:t xml:space="preserve"> threatened by the </w:t>
      </w:r>
      <w:r w:rsidRPr="00AF60E2" w:rsidR="007F5C44">
        <w:rPr>
          <w:rFonts w:ascii="Arial" w:hAnsi="Arial" w:cs="Arial"/>
          <w:sz w:val="24"/>
          <w:szCs w:val="24"/>
        </w:rPr>
        <w:t xml:space="preserve">Preliminary </w:t>
      </w:r>
      <w:r w:rsidRPr="00AF60E2" w:rsidR="00026D67">
        <w:rPr>
          <w:rFonts w:ascii="Arial" w:hAnsi="Arial" w:cs="Arial"/>
          <w:sz w:val="24"/>
          <w:szCs w:val="24"/>
        </w:rPr>
        <w:t>D</w:t>
      </w:r>
      <w:r w:rsidRPr="00AF60E2" w:rsidR="007F5C44">
        <w:rPr>
          <w:rFonts w:ascii="Arial" w:hAnsi="Arial" w:cs="Arial"/>
          <w:sz w:val="24"/>
          <w:szCs w:val="24"/>
        </w:rPr>
        <w:t xml:space="preserve">etermination </w:t>
      </w:r>
      <w:r w:rsidRPr="00AF60E2" w:rsidR="00026D67">
        <w:rPr>
          <w:rFonts w:ascii="Arial" w:hAnsi="Arial" w:cs="Arial"/>
          <w:sz w:val="24"/>
          <w:szCs w:val="24"/>
        </w:rPr>
        <w:t xml:space="preserve">of Tariffs </w:t>
      </w:r>
      <w:r w:rsidRPr="00AF60E2" w:rsidR="007F5C44">
        <w:rPr>
          <w:rFonts w:ascii="Arial" w:hAnsi="Arial" w:cs="Arial"/>
          <w:sz w:val="24"/>
          <w:szCs w:val="24"/>
        </w:rPr>
        <w:t>and Recommended guarantee set out in section B of the PAD at p6-7</w:t>
      </w:r>
      <w:r w:rsidRPr="00AF60E2" w:rsidR="00DB2598">
        <w:rPr>
          <w:rFonts w:ascii="Arial" w:hAnsi="Arial" w:cs="Arial"/>
          <w:sz w:val="24"/>
          <w:szCs w:val="24"/>
        </w:rPr>
        <w:t>.</w:t>
      </w:r>
    </w:p>
    <w:p w:rsidR="001B2971" w:rsidRPr="00AF60E2" w:rsidP="001B2971" w14:paraId="0211C589" w14:textId="77777777">
      <w:pPr>
        <w:pStyle w:val="ListParagraph"/>
        <w:rPr>
          <w:rFonts w:ascii="Arial" w:hAnsi="Arial" w:cs="Arial"/>
          <w:sz w:val="24"/>
          <w:szCs w:val="24"/>
        </w:rPr>
      </w:pPr>
    </w:p>
    <w:p w:rsidR="001B2971" w:rsidRPr="00AF60E2" w:rsidP="001B2971" w14:paraId="7ED3C2A7" w14:textId="77777777">
      <w:pPr>
        <w:pStyle w:val="ListParagraph"/>
        <w:numPr>
          <w:ilvl w:val="0"/>
          <w:numId w:val="1"/>
        </w:numPr>
        <w:rPr>
          <w:rFonts w:ascii="Arial" w:hAnsi="Arial" w:cs="Arial"/>
          <w:sz w:val="24"/>
          <w:szCs w:val="24"/>
        </w:rPr>
      </w:pPr>
      <w:r w:rsidRPr="00AF60E2">
        <w:rPr>
          <w:rFonts w:ascii="Arial" w:hAnsi="Arial" w:cs="Arial"/>
          <w:sz w:val="24"/>
          <w:szCs w:val="24"/>
        </w:rPr>
        <w:t xml:space="preserve">The preliminary findings are </w:t>
      </w:r>
      <w:r w:rsidRPr="00AF60E2" w:rsidR="004F0C8E">
        <w:rPr>
          <w:rFonts w:ascii="Arial" w:hAnsi="Arial" w:cs="Arial"/>
          <w:sz w:val="24"/>
          <w:szCs w:val="24"/>
        </w:rPr>
        <w:t xml:space="preserve">fundamentally </w:t>
      </w:r>
      <w:r w:rsidRPr="00AF60E2">
        <w:rPr>
          <w:rFonts w:ascii="Arial" w:hAnsi="Arial" w:cs="Arial"/>
          <w:sz w:val="24"/>
          <w:szCs w:val="24"/>
        </w:rPr>
        <w:t xml:space="preserve">anti-competitive and present a real risk that UK Jobs </w:t>
      </w:r>
      <w:r w:rsidRPr="00AF60E2" w:rsidR="00DB2598">
        <w:rPr>
          <w:rFonts w:ascii="Arial" w:hAnsi="Arial" w:cs="Arial"/>
          <w:sz w:val="24"/>
          <w:szCs w:val="24"/>
        </w:rPr>
        <w:t>are</w:t>
      </w:r>
      <w:r w:rsidRPr="00AF60E2">
        <w:rPr>
          <w:rFonts w:ascii="Arial" w:hAnsi="Arial" w:cs="Arial"/>
          <w:sz w:val="24"/>
          <w:szCs w:val="24"/>
        </w:rPr>
        <w:t xml:space="preserve"> threatened and that there is a loss to the </w:t>
      </w:r>
      <w:r w:rsidRPr="00AF60E2" w:rsidR="00DB2598">
        <w:rPr>
          <w:rFonts w:ascii="Arial" w:hAnsi="Arial" w:cs="Arial"/>
          <w:sz w:val="24"/>
          <w:szCs w:val="24"/>
        </w:rPr>
        <w:t xml:space="preserve">national </w:t>
      </w:r>
      <w:r w:rsidRPr="00AF60E2">
        <w:rPr>
          <w:rFonts w:ascii="Arial" w:hAnsi="Arial" w:cs="Arial"/>
          <w:sz w:val="24"/>
          <w:szCs w:val="24"/>
        </w:rPr>
        <w:t xml:space="preserve">economy caused by capital flight and the relocation of business from UK. Further, downstream interests of industries reliant on the </w:t>
      </w:r>
      <w:r w:rsidRPr="00AF60E2" w:rsidR="00ED39B9">
        <w:rPr>
          <w:rFonts w:ascii="Arial" w:hAnsi="Arial" w:cs="Arial"/>
          <w:sz w:val="24"/>
          <w:szCs w:val="24"/>
        </w:rPr>
        <w:t>goods in question</w:t>
      </w:r>
      <w:r w:rsidRPr="00AF60E2">
        <w:rPr>
          <w:rFonts w:ascii="Arial" w:hAnsi="Arial" w:cs="Arial"/>
          <w:sz w:val="24"/>
          <w:szCs w:val="24"/>
        </w:rPr>
        <w:t xml:space="preserve"> such as the farming secto</w:t>
      </w:r>
      <w:r w:rsidRPr="00AF60E2" w:rsidR="00973AF2">
        <w:rPr>
          <w:rFonts w:ascii="Arial" w:hAnsi="Arial" w:cs="Arial"/>
          <w:sz w:val="24"/>
          <w:szCs w:val="24"/>
        </w:rPr>
        <w:t xml:space="preserve">r and </w:t>
      </w:r>
      <w:r w:rsidRPr="00AF60E2" w:rsidR="009656FE">
        <w:rPr>
          <w:rFonts w:ascii="Arial" w:hAnsi="Arial" w:cs="Arial"/>
          <w:sz w:val="24"/>
          <w:szCs w:val="24"/>
        </w:rPr>
        <w:t>logistics operat</w:t>
      </w:r>
      <w:r w:rsidRPr="00AF60E2" w:rsidR="006318BE">
        <w:rPr>
          <w:rFonts w:ascii="Arial" w:hAnsi="Arial" w:cs="Arial"/>
          <w:sz w:val="24"/>
          <w:szCs w:val="24"/>
        </w:rPr>
        <w:t>ions</w:t>
      </w:r>
      <w:r w:rsidRPr="00AF60E2">
        <w:rPr>
          <w:rFonts w:ascii="Arial" w:hAnsi="Arial" w:cs="Arial"/>
          <w:sz w:val="24"/>
          <w:szCs w:val="24"/>
        </w:rPr>
        <w:t xml:space="preserve"> will be adversely impacted and the low</w:t>
      </w:r>
      <w:r w:rsidRPr="00AF60E2" w:rsidR="00F1323B">
        <w:rPr>
          <w:rFonts w:ascii="Arial" w:hAnsi="Arial" w:cs="Arial"/>
          <w:sz w:val="24"/>
          <w:szCs w:val="24"/>
        </w:rPr>
        <w:t>-</w:t>
      </w:r>
      <w:r w:rsidRPr="00AF60E2">
        <w:rPr>
          <w:rFonts w:ascii="Arial" w:hAnsi="Arial" w:cs="Arial"/>
          <w:sz w:val="24"/>
          <w:szCs w:val="24"/>
        </w:rPr>
        <w:t xml:space="preserve">cost </w:t>
      </w:r>
      <w:r w:rsidRPr="00AF60E2" w:rsidR="00051A0A">
        <w:rPr>
          <w:rFonts w:ascii="Arial" w:hAnsi="Arial" w:cs="Arial"/>
          <w:sz w:val="24"/>
          <w:szCs w:val="24"/>
        </w:rPr>
        <w:t xml:space="preserve">provision of the </w:t>
      </w:r>
      <w:r w:rsidRPr="00AF60E2" w:rsidR="00ED39B9">
        <w:rPr>
          <w:rFonts w:ascii="Arial" w:hAnsi="Arial" w:cs="Arial"/>
          <w:sz w:val="24"/>
          <w:szCs w:val="24"/>
        </w:rPr>
        <w:t>goods</w:t>
      </w:r>
      <w:r w:rsidRPr="00AF60E2">
        <w:rPr>
          <w:rFonts w:ascii="Arial" w:hAnsi="Arial" w:cs="Arial"/>
          <w:sz w:val="24"/>
          <w:szCs w:val="24"/>
        </w:rPr>
        <w:t xml:space="preserve"> to the UK consumer will be unnecessarily </w:t>
      </w:r>
      <w:r w:rsidRPr="00AF60E2" w:rsidR="00DB2598">
        <w:rPr>
          <w:rFonts w:ascii="Arial" w:hAnsi="Arial" w:cs="Arial"/>
          <w:sz w:val="24"/>
          <w:szCs w:val="24"/>
        </w:rPr>
        <w:t>impaired.</w:t>
      </w:r>
    </w:p>
    <w:p w:rsidR="00973AF2" w:rsidRPr="00AF60E2" w:rsidP="00973AF2" w14:paraId="1CDF6F1E" w14:textId="77777777">
      <w:pPr>
        <w:pStyle w:val="ListParagraph"/>
        <w:rPr>
          <w:rFonts w:ascii="Arial" w:hAnsi="Arial" w:cs="Arial"/>
          <w:sz w:val="24"/>
          <w:szCs w:val="24"/>
        </w:rPr>
      </w:pPr>
    </w:p>
    <w:p w:rsidR="000F2E62" w:rsidRPr="00AF60E2" w:rsidP="003D4F51" w14:paraId="42B69269" w14:textId="77777777">
      <w:pPr>
        <w:pStyle w:val="ListParagraph"/>
        <w:numPr>
          <w:ilvl w:val="0"/>
          <w:numId w:val="1"/>
        </w:numPr>
        <w:rPr>
          <w:rFonts w:ascii="Arial" w:hAnsi="Arial" w:cs="Arial"/>
          <w:sz w:val="24"/>
          <w:szCs w:val="24"/>
        </w:rPr>
      </w:pPr>
      <w:r w:rsidRPr="00AF60E2">
        <w:rPr>
          <w:rFonts w:ascii="Arial" w:hAnsi="Arial" w:cs="Arial"/>
          <w:sz w:val="24"/>
          <w:szCs w:val="24"/>
        </w:rPr>
        <w:t>The response to the PAD concentrates on the following issues:</w:t>
      </w:r>
    </w:p>
    <w:p w:rsidR="003D4F51" w:rsidRPr="00AF60E2" w:rsidP="003D4F51" w14:paraId="711BAF0B" w14:textId="77777777">
      <w:pPr>
        <w:pStyle w:val="ListParagraph"/>
        <w:rPr>
          <w:rFonts w:ascii="Arial" w:hAnsi="Arial" w:cs="Arial"/>
          <w:sz w:val="24"/>
          <w:szCs w:val="24"/>
        </w:rPr>
      </w:pPr>
    </w:p>
    <w:p w:rsidR="003D4F51" w:rsidRPr="00AF60E2" w:rsidP="003D4F51" w14:paraId="4E171E39" w14:textId="77777777">
      <w:pPr>
        <w:pStyle w:val="ListParagraph"/>
        <w:numPr>
          <w:ilvl w:val="0"/>
          <w:numId w:val="6"/>
        </w:numPr>
        <w:rPr>
          <w:rFonts w:ascii="Arial" w:hAnsi="Arial" w:cs="Arial"/>
          <w:sz w:val="24"/>
          <w:szCs w:val="24"/>
        </w:rPr>
      </w:pPr>
      <w:bookmarkStart w:id="0" w:name="_Hlk196912360"/>
      <w:r w:rsidRPr="00AF60E2">
        <w:rPr>
          <w:rFonts w:ascii="Arial" w:hAnsi="Arial" w:cs="Arial"/>
          <w:sz w:val="24"/>
          <w:szCs w:val="24"/>
        </w:rPr>
        <w:t xml:space="preserve">The provisional findings on dumping </w:t>
      </w:r>
    </w:p>
    <w:p w:rsidR="00136F6C" w:rsidRPr="00AF60E2" w:rsidP="003D4F51" w14:paraId="67EF59D4" w14:textId="77777777">
      <w:pPr>
        <w:pStyle w:val="ListParagraph"/>
        <w:numPr>
          <w:ilvl w:val="0"/>
          <w:numId w:val="6"/>
        </w:numPr>
        <w:rPr>
          <w:rFonts w:ascii="Arial" w:hAnsi="Arial" w:cs="Arial"/>
          <w:sz w:val="24"/>
          <w:szCs w:val="24"/>
        </w:rPr>
      </w:pPr>
      <w:r w:rsidRPr="00AF60E2">
        <w:rPr>
          <w:rFonts w:ascii="Arial" w:hAnsi="Arial" w:cs="Arial"/>
          <w:sz w:val="24"/>
          <w:szCs w:val="24"/>
        </w:rPr>
        <w:t xml:space="preserve">The provisional findings on </w:t>
      </w:r>
      <w:r w:rsidRPr="00AF60E2" w:rsidR="00B009A5">
        <w:rPr>
          <w:rFonts w:ascii="Arial" w:hAnsi="Arial" w:cs="Arial"/>
          <w:sz w:val="24"/>
          <w:szCs w:val="24"/>
        </w:rPr>
        <w:t xml:space="preserve">injury </w:t>
      </w:r>
    </w:p>
    <w:p w:rsidR="00017397" w:rsidRPr="00AF60E2" w:rsidP="003D4F51" w14:paraId="64561426" w14:textId="77777777">
      <w:pPr>
        <w:pStyle w:val="ListParagraph"/>
        <w:numPr>
          <w:ilvl w:val="0"/>
          <w:numId w:val="6"/>
        </w:numPr>
        <w:rPr>
          <w:rFonts w:ascii="Arial" w:hAnsi="Arial" w:cs="Arial"/>
          <w:sz w:val="24"/>
          <w:szCs w:val="24"/>
        </w:rPr>
      </w:pPr>
      <w:r w:rsidRPr="00AF60E2">
        <w:rPr>
          <w:rFonts w:ascii="Arial" w:hAnsi="Arial" w:cs="Arial"/>
          <w:sz w:val="24"/>
          <w:szCs w:val="24"/>
        </w:rPr>
        <w:t>The economic interests test</w:t>
      </w:r>
    </w:p>
    <w:p w:rsidR="00017397" w:rsidRPr="00AF60E2" w:rsidP="003D4F51" w14:paraId="554FD27D" w14:textId="77777777">
      <w:pPr>
        <w:pStyle w:val="ListParagraph"/>
        <w:numPr>
          <w:ilvl w:val="0"/>
          <w:numId w:val="6"/>
        </w:numPr>
        <w:rPr>
          <w:rFonts w:ascii="Arial" w:hAnsi="Arial" w:cs="Arial"/>
          <w:sz w:val="24"/>
          <w:szCs w:val="24"/>
        </w:rPr>
      </w:pPr>
      <w:r w:rsidRPr="00AF60E2">
        <w:rPr>
          <w:rFonts w:ascii="Arial" w:hAnsi="Arial" w:cs="Arial"/>
          <w:sz w:val="24"/>
          <w:szCs w:val="24"/>
        </w:rPr>
        <w:t xml:space="preserve">The anti-competitive nature of the </w:t>
      </w:r>
      <w:r w:rsidR="008B55D7">
        <w:rPr>
          <w:rFonts w:ascii="Arial" w:hAnsi="Arial" w:cs="Arial"/>
          <w:sz w:val="24"/>
          <w:szCs w:val="24"/>
        </w:rPr>
        <w:t>recommedations</w:t>
      </w:r>
    </w:p>
    <w:bookmarkEnd w:id="0"/>
    <w:p w:rsidR="00DA492E" w:rsidRPr="00AF60E2" w:rsidP="00DA492E" w14:paraId="724AF9B2" w14:textId="77777777">
      <w:pPr>
        <w:pStyle w:val="ListParagraph"/>
        <w:rPr>
          <w:rFonts w:ascii="Arial" w:hAnsi="Arial" w:cs="Arial"/>
          <w:sz w:val="24"/>
          <w:szCs w:val="24"/>
        </w:rPr>
      </w:pPr>
    </w:p>
    <w:p w:rsidR="000343F8" w:rsidRPr="00AF60E2" w:rsidP="000343F8" w14:paraId="415A1E45" w14:textId="77777777">
      <w:pPr>
        <w:pStyle w:val="ListParagraph"/>
        <w:numPr>
          <w:ilvl w:val="0"/>
          <w:numId w:val="1"/>
        </w:numPr>
        <w:rPr>
          <w:rFonts w:ascii="Arial" w:hAnsi="Arial" w:cs="Arial"/>
          <w:sz w:val="24"/>
          <w:szCs w:val="24"/>
        </w:rPr>
      </w:pPr>
      <w:r w:rsidRPr="00AF60E2">
        <w:rPr>
          <w:rFonts w:ascii="Arial" w:hAnsi="Arial" w:cs="Arial"/>
          <w:sz w:val="24"/>
          <w:szCs w:val="24"/>
        </w:rPr>
        <w:t>It is suggested that the approach of the</w:t>
      </w:r>
      <w:r w:rsidRPr="00AF60E2" w:rsidR="00B53AD9">
        <w:rPr>
          <w:rFonts w:ascii="Arial" w:hAnsi="Arial" w:cs="Arial"/>
          <w:sz w:val="24"/>
          <w:szCs w:val="24"/>
        </w:rPr>
        <w:t xml:space="preserve"> </w:t>
      </w:r>
      <w:r w:rsidRPr="00AF60E2" w:rsidR="00293172">
        <w:rPr>
          <w:rFonts w:ascii="Arial" w:hAnsi="Arial" w:cs="Arial"/>
          <w:sz w:val="24"/>
          <w:szCs w:val="24"/>
        </w:rPr>
        <w:t>Trade Remedies Authority (“</w:t>
      </w:r>
      <w:r w:rsidRPr="00AF60E2">
        <w:rPr>
          <w:rFonts w:ascii="Arial" w:hAnsi="Arial" w:cs="Arial"/>
          <w:sz w:val="24"/>
          <w:szCs w:val="24"/>
        </w:rPr>
        <w:t>TRA</w:t>
      </w:r>
      <w:r w:rsidRPr="00AF60E2" w:rsidR="00335B5E">
        <w:rPr>
          <w:rFonts w:ascii="Arial" w:hAnsi="Arial" w:cs="Arial"/>
          <w:sz w:val="24"/>
          <w:szCs w:val="24"/>
        </w:rPr>
        <w:t xml:space="preserve">”) </w:t>
      </w:r>
      <w:r w:rsidRPr="00AF60E2" w:rsidR="005031FB">
        <w:rPr>
          <w:rFonts w:ascii="Arial" w:hAnsi="Arial" w:cs="Arial"/>
          <w:sz w:val="24"/>
          <w:szCs w:val="24"/>
        </w:rPr>
        <w:t xml:space="preserve">to these issues has been </w:t>
      </w:r>
      <w:r w:rsidRPr="00AF60E2" w:rsidR="00F94651">
        <w:rPr>
          <w:rFonts w:ascii="Arial" w:hAnsi="Arial" w:cs="Arial"/>
          <w:sz w:val="24"/>
          <w:szCs w:val="24"/>
        </w:rPr>
        <w:t>a</w:t>
      </w:r>
      <w:r w:rsidRPr="00AF60E2" w:rsidR="004609CE">
        <w:rPr>
          <w:rFonts w:ascii="Arial" w:hAnsi="Arial" w:cs="Arial"/>
          <w:sz w:val="24"/>
          <w:szCs w:val="24"/>
        </w:rPr>
        <w:t>ffected by a mistaken approach to its analysis of the UK market</w:t>
      </w:r>
    </w:p>
    <w:p w:rsidR="0004112D" w:rsidRPr="00AF60E2" w:rsidP="0004112D" w14:paraId="3948199B" w14:textId="77777777">
      <w:pPr>
        <w:pStyle w:val="ListParagraph"/>
        <w:rPr>
          <w:rFonts w:ascii="Arial" w:hAnsi="Arial" w:cs="Arial"/>
          <w:sz w:val="24"/>
          <w:szCs w:val="24"/>
        </w:rPr>
      </w:pPr>
    </w:p>
    <w:p w:rsidR="0004112D" w:rsidRPr="00AF60E2" w:rsidP="0004112D" w14:paraId="1E0B0F4D" w14:textId="77777777">
      <w:pPr>
        <w:pStyle w:val="ListParagraph"/>
        <w:rPr>
          <w:rFonts w:ascii="Arial" w:hAnsi="Arial" w:cs="Arial"/>
          <w:b/>
          <w:bCs/>
          <w:sz w:val="24"/>
          <w:szCs w:val="24"/>
        </w:rPr>
      </w:pPr>
      <w:r w:rsidRPr="00AF60E2">
        <w:rPr>
          <w:rFonts w:ascii="Arial" w:hAnsi="Arial" w:cs="Arial"/>
          <w:b/>
          <w:bCs/>
          <w:sz w:val="24"/>
          <w:szCs w:val="24"/>
        </w:rPr>
        <w:t>Analysis of UK Market</w:t>
      </w:r>
    </w:p>
    <w:p w:rsidR="001B2971" w:rsidRPr="00AF60E2" w:rsidP="001B2971" w14:paraId="2956B518" w14:textId="77777777">
      <w:pPr>
        <w:pStyle w:val="ListParagraph"/>
        <w:rPr>
          <w:rFonts w:ascii="Arial" w:hAnsi="Arial" w:cs="Arial"/>
          <w:b/>
          <w:bCs/>
          <w:sz w:val="24"/>
          <w:szCs w:val="24"/>
        </w:rPr>
      </w:pPr>
    </w:p>
    <w:p w:rsidR="0004112D" w:rsidRPr="00AF60E2" w:rsidP="001B2971" w14:paraId="7E6E356D" w14:textId="77777777">
      <w:pPr>
        <w:pStyle w:val="ListParagraph"/>
        <w:numPr>
          <w:ilvl w:val="0"/>
          <w:numId w:val="1"/>
        </w:numPr>
        <w:rPr>
          <w:rFonts w:ascii="Arial" w:hAnsi="Arial" w:cs="Arial"/>
          <w:sz w:val="24"/>
          <w:szCs w:val="24"/>
        </w:rPr>
      </w:pPr>
      <w:r w:rsidRPr="00AF60E2">
        <w:rPr>
          <w:rFonts w:ascii="Arial" w:hAnsi="Arial" w:cs="Arial"/>
          <w:sz w:val="24"/>
          <w:szCs w:val="24"/>
        </w:rPr>
        <w:t xml:space="preserve">It is submitted that the </w:t>
      </w:r>
      <w:r w:rsidRPr="00AF60E2" w:rsidR="0064570F">
        <w:rPr>
          <w:rFonts w:ascii="Arial" w:hAnsi="Arial" w:cs="Arial"/>
          <w:sz w:val="24"/>
          <w:szCs w:val="24"/>
        </w:rPr>
        <w:t>analysis of the UK market is flawed and this has resulted in recommendations which are unnecessary</w:t>
      </w:r>
      <w:r w:rsidRPr="00AF60E2" w:rsidR="00DA492E">
        <w:rPr>
          <w:rFonts w:ascii="Arial" w:hAnsi="Arial" w:cs="Arial"/>
          <w:sz w:val="24"/>
          <w:szCs w:val="24"/>
        </w:rPr>
        <w:t xml:space="preserve">, </w:t>
      </w:r>
      <w:r w:rsidRPr="00AF60E2" w:rsidR="0064570F">
        <w:rPr>
          <w:rFonts w:ascii="Arial" w:hAnsi="Arial" w:cs="Arial"/>
          <w:sz w:val="24"/>
          <w:szCs w:val="24"/>
        </w:rPr>
        <w:t>disp</w:t>
      </w:r>
      <w:r w:rsidRPr="00AF60E2" w:rsidR="003772C6">
        <w:rPr>
          <w:rFonts w:ascii="Arial" w:hAnsi="Arial" w:cs="Arial"/>
          <w:sz w:val="24"/>
          <w:szCs w:val="24"/>
        </w:rPr>
        <w:t>roportionate</w:t>
      </w:r>
      <w:r w:rsidRPr="00AF60E2" w:rsidR="00DA492E">
        <w:rPr>
          <w:rFonts w:ascii="Arial" w:hAnsi="Arial" w:cs="Arial"/>
          <w:sz w:val="24"/>
          <w:szCs w:val="24"/>
        </w:rPr>
        <w:t xml:space="preserve"> and </w:t>
      </w:r>
      <w:r w:rsidRPr="00AF60E2" w:rsidR="00335B5E">
        <w:rPr>
          <w:rFonts w:ascii="Arial" w:hAnsi="Arial" w:cs="Arial"/>
          <w:sz w:val="24"/>
          <w:szCs w:val="24"/>
        </w:rPr>
        <w:t xml:space="preserve">ultra vires </w:t>
      </w:r>
      <w:r w:rsidRPr="00AF60E2" w:rsidR="009B186F">
        <w:rPr>
          <w:rFonts w:ascii="Arial" w:hAnsi="Arial" w:cs="Arial"/>
          <w:sz w:val="24"/>
          <w:szCs w:val="24"/>
        </w:rPr>
        <w:t xml:space="preserve">the provisions of the </w:t>
      </w:r>
      <w:r w:rsidRPr="00AF60E2" w:rsidR="00277D1B">
        <w:rPr>
          <w:rFonts w:ascii="Arial" w:hAnsi="Arial" w:cs="Arial"/>
          <w:sz w:val="24"/>
          <w:szCs w:val="24"/>
        </w:rPr>
        <w:t>primary and secondary legislation</w:t>
      </w:r>
      <w:r w:rsidRPr="00AF60E2" w:rsidR="00D13C25">
        <w:rPr>
          <w:rFonts w:ascii="Arial" w:hAnsi="Arial" w:cs="Arial"/>
          <w:sz w:val="24"/>
          <w:szCs w:val="24"/>
        </w:rPr>
        <w:t xml:space="preserve"> </w:t>
      </w:r>
      <w:r w:rsidRPr="00AF60E2" w:rsidR="004B056D">
        <w:rPr>
          <w:rFonts w:ascii="Arial" w:hAnsi="Arial" w:cs="Arial"/>
          <w:sz w:val="24"/>
          <w:szCs w:val="24"/>
        </w:rPr>
        <w:t xml:space="preserve">as </w:t>
      </w:r>
      <w:r w:rsidRPr="00AF60E2" w:rsidR="00D13C25">
        <w:rPr>
          <w:rFonts w:ascii="Arial" w:hAnsi="Arial" w:cs="Arial"/>
          <w:sz w:val="24"/>
          <w:szCs w:val="24"/>
        </w:rPr>
        <w:t xml:space="preserve">they promote the interests of </w:t>
      </w:r>
      <w:r w:rsidRPr="00AF60E2" w:rsidR="00E2030E">
        <w:rPr>
          <w:rFonts w:ascii="Arial" w:hAnsi="Arial" w:cs="Arial"/>
          <w:sz w:val="24"/>
          <w:szCs w:val="24"/>
        </w:rPr>
        <w:t>Aztec Oils Ltd</w:t>
      </w:r>
      <w:r w:rsidRPr="00AF60E2" w:rsidR="004B056D">
        <w:rPr>
          <w:rFonts w:ascii="Arial" w:hAnsi="Arial" w:cs="Arial"/>
          <w:sz w:val="24"/>
          <w:szCs w:val="24"/>
        </w:rPr>
        <w:t xml:space="preserve"> as</w:t>
      </w:r>
      <w:r w:rsidRPr="00AF60E2" w:rsidR="00E2030E">
        <w:rPr>
          <w:rFonts w:ascii="Arial" w:hAnsi="Arial" w:cs="Arial"/>
          <w:sz w:val="24"/>
          <w:szCs w:val="24"/>
        </w:rPr>
        <w:t xml:space="preserve"> </w:t>
      </w:r>
      <w:r w:rsidRPr="00AF60E2" w:rsidR="00D13C25">
        <w:rPr>
          <w:rFonts w:ascii="Arial" w:hAnsi="Arial" w:cs="Arial"/>
          <w:sz w:val="24"/>
          <w:szCs w:val="24"/>
        </w:rPr>
        <w:t xml:space="preserve">a single “Producer” over the national interests of other producers and </w:t>
      </w:r>
      <w:r w:rsidRPr="00AF60E2" w:rsidR="00AB6D70">
        <w:rPr>
          <w:rFonts w:ascii="Arial" w:hAnsi="Arial" w:cs="Arial"/>
          <w:sz w:val="24"/>
          <w:szCs w:val="24"/>
        </w:rPr>
        <w:t xml:space="preserve">UK </w:t>
      </w:r>
      <w:r w:rsidRPr="00AF60E2" w:rsidR="00D13C25">
        <w:rPr>
          <w:rFonts w:ascii="Arial" w:hAnsi="Arial" w:cs="Arial"/>
          <w:sz w:val="24"/>
          <w:szCs w:val="24"/>
        </w:rPr>
        <w:t>importers</w:t>
      </w:r>
      <w:r w:rsidRPr="00AF60E2" w:rsidR="00AC033A">
        <w:rPr>
          <w:rFonts w:ascii="Arial" w:hAnsi="Arial" w:cs="Arial"/>
          <w:sz w:val="24"/>
          <w:szCs w:val="24"/>
        </w:rPr>
        <w:t xml:space="preserve"> as a whole.</w:t>
      </w:r>
    </w:p>
    <w:p w:rsidR="003772C6" w:rsidRPr="00AF60E2" w:rsidP="003772C6" w14:paraId="6504A363" w14:textId="77777777">
      <w:pPr>
        <w:pStyle w:val="ListParagraph"/>
        <w:rPr>
          <w:rFonts w:ascii="Arial" w:hAnsi="Arial" w:cs="Arial"/>
          <w:sz w:val="24"/>
          <w:szCs w:val="24"/>
        </w:rPr>
      </w:pPr>
    </w:p>
    <w:p w:rsidR="003E1066" w:rsidRPr="00AF60E2" w:rsidP="003E1066" w14:paraId="7DFCF27D" w14:textId="77777777">
      <w:pPr>
        <w:pStyle w:val="ListParagraph"/>
        <w:numPr>
          <w:ilvl w:val="0"/>
          <w:numId w:val="1"/>
        </w:numPr>
        <w:rPr>
          <w:rFonts w:ascii="Arial" w:hAnsi="Arial" w:cs="Arial"/>
          <w:sz w:val="24"/>
          <w:szCs w:val="24"/>
        </w:rPr>
      </w:pPr>
      <w:r w:rsidRPr="00AF60E2">
        <w:rPr>
          <w:rFonts w:ascii="Arial" w:hAnsi="Arial" w:cs="Arial"/>
          <w:sz w:val="24"/>
          <w:szCs w:val="24"/>
        </w:rPr>
        <w:t>The TRA summarises the UK market in the supply chain diagram at paragraph 67 of the PAD</w:t>
      </w:r>
      <w:r w:rsidRPr="00AF60E2" w:rsidR="00AC033A">
        <w:rPr>
          <w:rFonts w:ascii="Arial" w:hAnsi="Arial" w:cs="Arial"/>
          <w:sz w:val="24"/>
          <w:szCs w:val="24"/>
        </w:rPr>
        <w:t>.</w:t>
      </w:r>
    </w:p>
    <w:p w:rsidR="003E1066" w:rsidRPr="00AF60E2" w:rsidP="003E1066" w14:paraId="6BEFAA55" w14:textId="77777777">
      <w:pPr>
        <w:pStyle w:val="ListParagraph"/>
        <w:rPr>
          <w:rFonts w:ascii="Arial" w:hAnsi="Arial" w:cs="Arial"/>
          <w:sz w:val="24"/>
          <w:szCs w:val="24"/>
        </w:rPr>
      </w:pPr>
    </w:p>
    <w:p w:rsidR="003E1066" w:rsidRPr="00AF60E2" w:rsidP="003E1066" w14:paraId="646661B5" w14:textId="77777777">
      <w:pPr>
        <w:pStyle w:val="ListParagraph"/>
        <w:rPr>
          <w:rFonts w:ascii="Arial" w:hAnsi="Arial" w:cs="Arial"/>
          <w:sz w:val="24"/>
          <w:szCs w:val="24"/>
        </w:rPr>
      </w:pPr>
      <w:r w:rsidRPr="00AF60E2">
        <w:rPr>
          <w:rFonts w:ascii="Arial" w:hAnsi="Arial" w:cs="Arial"/>
          <w:noProof/>
          <w:sz w:val="24"/>
          <w:szCs w:val="24"/>
        </w:rPr>
        <w:drawing>
          <wp:inline distT="0" distB="0" distL="0" distR="0">
            <wp:extent cx="5731510" cy="2353310"/>
            <wp:effectExtent l="0" t="0" r="0" b="0"/>
            <wp:docPr id="765631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1219" name=""/>
                    <pic:cNvPicPr/>
                  </pic:nvPicPr>
                  <pic:blipFill>
                    <a:blip xmlns:r="http://schemas.openxmlformats.org/officeDocument/2006/relationships" r:embed="rId5"/>
                    <a:stretch>
                      <a:fillRect/>
                    </a:stretch>
                  </pic:blipFill>
                  <pic:spPr>
                    <a:xfrm>
                      <a:off x="0" y="0"/>
                      <a:ext cx="5731510" cy="2353310"/>
                    </a:xfrm>
                    <a:prstGeom prst="rect">
                      <a:avLst/>
                    </a:prstGeom>
                  </pic:spPr>
                </pic:pic>
              </a:graphicData>
            </a:graphic>
          </wp:inline>
        </w:drawing>
      </w:r>
    </w:p>
    <w:p w:rsidR="003E1066" w:rsidRPr="00AF60E2" w:rsidP="003E1066" w14:paraId="46BF4D12" w14:textId="77777777">
      <w:pPr>
        <w:pStyle w:val="ListParagraph"/>
        <w:rPr>
          <w:rFonts w:ascii="Arial" w:hAnsi="Arial" w:cs="Arial"/>
          <w:sz w:val="24"/>
          <w:szCs w:val="24"/>
        </w:rPr>
      </w:pPr>
    </w:p>
    <w:p w:rsidR="002D2F06" w:rsidRPr="00AF60E2" w:rsidP="002D2F06" w14:paraId="33FC9018" w14:textId="77777777">
      <w:pPr>
        <w:pStyle w:val="ListParagraph"/>
        <w:numPr>
          <w:ilvl w:val="0"/>
          <w:numId w:val="1"/>
        </w:numPr>
        <w:rPr>
          <w:rFonts w:ascii="Arial" w:hAnsi="Arial" w:cs="Arial"/>
          <w:sz w:val="24"/>
          <w:szCs w:val="24"/>
        </w:rPr>
      </w:pPr>
      <w:r w:rsidRPr="00AF60E2">
        <w:rPr>
          <w:rFonts w:ascii="Arial" w:hAnsi="Arial" w:cs="Arial"/>
          <w:sz w:val="24"/>
          <w:szCs w:val="24"/>
        </w:rPr>
        <w:t xml:space="preserve">The distinction given by the </w:t>
      </w:r>
      <w:r w:rsidRPr="00AF60E2" w:rsidR="00C95CE5">
        <w:rPr>
          <w:rFonts w:ascii="Arial" w:hAnsi="Arial" w:cs="Arial"/>
          <w:sz w:val="24"/>
          <w:szCs w:val="24"/>
        </w:rPr>
        <w:t>TRA between “</w:t>
      </w:r>
      <w:r w:rsidRPr="00AF60E2">
        <w:rPr>
          <w:rFonts w:ascii="Arial" w:hAnsi="Arial" w:cs="Arial"/>
          <w:sz w:val="24"/>
          <w:szCs w:val="24"/>
        </w:rPr>
        <w:t>UK P</w:t>
      </w:r>
      <w:r w:rsidRPr="00AF60E2" w:rsidR="00C95CE5">
        <w:rPr>
          <w:rFonts w:ascii="Arial" w:hAnsi="Arial" w:cs="Arial"/>
          <w:sz w:val="24"/>
          <w:szCs w:val="24"/>
        </w:rPr>
        <w:t>roducers” and “</w:t>
      </w:r>
      <w:r w:rsidRPr="00AF60E2" w:rsidR="00752573">
        <w:rPr>
          <w:rFonts w:ascii="Arial" w:hAnsi="Arial" w:cs="Arial"/>
          <w:sz w:val="24"/>
          <w:szCs w:val="24"/>
        </w:rPr>
        <w:t>Im</w:t>
      </w:r>
      <w:r w:rsidRPr="00AF60E2" w:rsidR="00C95CE5">
        <w:rPr>
          <w:rFonts w:ascii="Arial" w:hAnsi="Arial" w:cs="Arial"/>
          <w:sz w:val="24"/>
          <w:szCs w:val="24"/>
        </w:rPr>
        <w:t xml:space="preserve">porters” </w:t>
      </w:r>
      <w:r w:rsidRPr="00AF60E2" w:rsidR="00D85138">
        <w:rPr>
          <w:rFonts w:ascii="Arial" w:hAnsi="Arial" w:cs="Arial"/>
          <w:sz w:val="24"/>
          <w:szCs w:val="24"/>
        </w:rPr>
        <w:t>in the investigation is somewhat artificial</w:t>
      </w:r>
      <w:r w:rsidRPr="00AF60E2">
        <w:rPr>
          <w:rFonts w:ascii="Arial" w:hAnsi="Arial" w:cs="Arial"/>
          <w:sz w:val="24"/>
          <w:szCs w:val="24"/>
        </w:rPr>
        <w:t>. For example</w:t>
      </w:r>
      <w:r w:rsidRPr="00AF60E2" w:rsidR="004B056D">
        <w:rPr>
          <w:rFonts w:ascii="Arial" w:hAnsi="Arial" w:cs="Arial"/>
          <w:sz w:val="24"/>
          <w:szCs w:val="24"/>
        </w:rPr>
        <w:t>,</w:t>
      </w:r>
      <w:r w:rsidRPr="00AF60E2" w:rsidR="00D85138">
        <w:rPr>
          <w:rFonts w:ascii="Arial" w:hAnsi="Arial" w:cs="Arial"/>
          <w:sz w:val="24"/>
          <w:szCs w:val="24"/>
        </w:rPr>
        <w:t xml:space="preserve"> </w:t>
      </w:r>
      <w:r w:rsidRPr="00AF60E2" w:rsidR="00D85138">
        <w:rPr>
          <w:rFonts w:ascii="Arial" w:hAnsi="Arial" w:cs="Arial"/>
          <w:sz w:val="24"/>
          <w:szCs w:val="24"/>
        </w:rPr>
        <w:t>Lubriage</w:t>
      </w:r>
      <w:r w:rsidRPr="00AF60E2" w:rsidR="00D85138">
        <w:rPr>
          <w:rFonts w:ascii="Arial" w:hAnsi="Arial" w:cs="Arial"/>
          <w:sz w:val="24"/>
          <w:szCs w:val="24"/>
        </w:rPr>
        <w:t xml:space="preserve"> </w:t>
      </w:r>
      <w:r w:rsidRPr="00AF60E2" w:rsidR="00EE1B47">
        <w:rPr>
          <w:rFonts w:ascii="Arial" w:hAnsi="Arial" w:cs="Arial"/>
          <w:sz w:val="24"/>
          <w:szCs w:val="24"/>
        </w:rPr>
        <w:t xml:space="preserve">Ltd imports the </w:t>
      </w:r>
      <w:r w:rsidRPr="00AF60E2" w:rsidR="00BA56C7">
        <w:rPr>
          <w:rFonts w:ascii="Arial" w:hAnsi="Arial" w:cs="Arial"/>
          <w:sz w:val="24"/>
          <w:szCs w:val="24"/>
        </w:rPr>
        <w:t xml:space="preserve">finally blended and packaged products whilst the identified domestic </w:t>
      </w:r>
      <w:r w:rsidRPr="00AF60E2" w:rsidR="00EF4651">
        <w:rPr>
          <w:rFonts w:ascii="Arial" w:hAnsi="Arial" w:cs="Arial"/>
          <w:sz w:val="24"/>
          <w:szCs w:val="24"/>
        </w:rPr>
        <w:t>“</w:t>
      </w:r>
      <w:r w:rsidRPr="00AF60E2" w:rsidR="00BA56C7">
        <w:rPr>
          <w:rFonts w:ascii="Arial" w:hAnsi="Arial" w:cs="Arial"/>
          <w:sz w:val="24"/>
          <w:szCs w:val="24"/>
        </w:rPr>
        <w:t>producers</w:t>
      </w:r>
      <w:r w:rsidRPr="00AF60E2" w:rsidR="00EF4651">
        <w:rPr>
          <w:rFonts w:ascii="Arial" w:hAnsi="Arial" w:cs="Arial"/>
          <w:sz w:val="24"/>
          <w:szCs w:val="24"/>
        </w:rPr>
        <w:t>”</w:t>
      </w:r>
      <w:r w:rsidRPr="00AF60E2" w:rsidR="00BA56C7">
        <w:rPr>
          <w:rFonts w:ascii="Arial" w:hAnsi="Arial" w:cs="Arial"/>
          <w:sz w:val="24"/>
          <w:szCs w:val="24"/>
        </w:rPr>
        <w:t xml:space="preserve"> </w:t>
      </w:r>
      <w:r w:rsidRPr="00AF60E2" w:rsidR="00D072B3">
        <w:rPr>
          <w:rFonts w:ascii="Arial" w:hAnsi="Arial" w:cs="Arial"/>
          <w:sz w:val="24"/>
          <w:szCs w:val="24"/>
        </w:rPr>
        <w:t xml:space="preserve">blend and package the product in the UK. Both </w:t>
      </w:r>
      <w:r w:rsidRPr="00AF60E2" w:rsidR="007C0E49">
        <w:rPr>
          <w:rFonts w:ascii="Arial" w:hAnsi="Arial" w:cs="Arial"/>
          <w:sz w:val="24"/>
          <w:szCs w:val="24"/>
        </w:rPr>
        <w:t xml:space="preserve">are </w:t>
      </w:r>
      <w:r w:rsidRPr="00AF60E2" w:rsidR="00EF4651">
        <w:rPr>
          <w:rFonts w:ascii="Arial" w:hAnsi="Arial" w:cs="Arial"/>
          <w:sz w:val="24"/>
          <w:szCs w:val="24"/>
        </w:rPr>
        <w:t xml:space="preserve">fundamentally </w:t>
      </w:r>
      <w:r w:rsidRPr="00AF60E2" w:rsidR="007C0E49">
        <w:rPr>
          <w:rFonts w:ascii="Arial" w:hAnsi="Arial" w:cs="Arial"/>
          <w:sz w:val="24"/>
          <w:szCs w:val="24"/>
        </w:rPr>
        <w:t xml:space="preserve">reliant </w:t>
      </w:r>
      <w:r w:rsidRPr="00AF60E2" w:rsidR="00CD012D">
        <w:rPr>
          <w:rFonts w:ascii="Arial" w:hAnsi="Arial" w:cs="Arial"/>
          <w:sz w:val="24"/>
          <w:szCs w:val="24"/>
        </w:rPr>
        <w:t xml:space="preserve">on the availability and pricing of the base oil </w:t>
      </w:r>
      <w:r w:rsidRPr="00AF60E2" w:rsidR="00953336">
        <w:rPr>
          <w:rFonts w:ascii="Arial" w:hAnsi="Arial" w:cs="Arial"/>
          <w:sz w:val="24"/>
          <w:szCs w:val="24"/>
        </w:rPr>
        <w:t>and add</w:t>
      </w:r>
      <w:r w:rsidRPr="00AF60E2" w:rsidR="00D22582">
        <w:rPr>
          <w:rFonts w:ascii="Arial" w:hAnsi="Arial" w:cs="Arial"/>
          <w:sz w:val="24"/>
          <w:szCs w:val="24"/>
        </w:rPr>
        <w:t xml:space="preserve">itives </w:t>
      </w:r>
      <w:r w:rsidRPr="00AF60E2" w:rsidR="00CD012D">
        <w:rPr>
          <w:rFonts w:ascii="Arial" w:hAnsi="Arial" w:cs="Arial"/>
          <w:sz w:val="24"/>
          <w:szCs w:val="24"/>
        </w:rPr>
        <w:t xml:space="preserve">obtained </w:t>
      </w:r>
      <w:r w:rsidRPr="00AF60E2" w:rsidR="004B056D">
        <w:rPr>
          <w:rFonts w:ascii="Arial" w:hAnsi="Arial" w:cs="Arial"/>
          <w:sz w:val="24"/>
          <w:szCs w:val="24"/>
        </w:rPr>
        <w:t xml:space="preserve">upstream </w:t>
      </w:r>
      <w:r w:rsidRPr="00AF60E2" w:rsidR="00CD012D">
        <w:rPr>
          <w:rFonts w:ascii="Arial" w:hAnsi="Arial" w:cs="Arial"/>
          <w:sz w:val="24"/>
          <w:szCs w:val="24"/>
        </w:rPr>
        <w:t xml:space="preserve">from </w:t>
      </w:r>
      <w:r w:rsidRPr="00AF60E2" w:rsidR="00565CC4">
        <w:rPr>
          <w:rFonts w:ascii="Arial" w:hAnsi="Arial" w:cs="Arial"/>
          <w:sz w:val="24"/>
          <w:szCs w:val="24"/>
        </w:rPr>
        <w:t>the overseas market</w:t>
      </w:r>
      <w:r w:rsidRPr="00AF60E2" w:rsidR="005D43DD">
        <w:rPr>
          <w:rFonts w:ascii="Arial" w:hAnsi="Arial" w:cs="Arial"/>
          <w:sz w:val="24"/>
          <w:szCs w:val="24"/>
        </w:rPr>
        <w:t>.</w:t>
      </w:r>
    </w:p>
    <w:p w:rsidR="002D2F06" w:rsidRPr="00AF60E2" w:rsidP="002D2F06" w14:paraId="7B30B96A" w14:textId="77777777">
      <w:pPr>
        <w:pStyle w:val="ListParagraph"/>
        <w:rPr>
          <w:rFonts w:ascii="Arial" w:hAnsi="Arial" w:cs="Arial"/>
          <w:sz w:val="24"/>
          <w:szCs w:val="24"/>
        </w:rPr>
      </w:pPr>
    </w:p>
    <w:p w:rsidR="0097482A" w:rsidRPr="00AF60E2" w:rsidP="0097482A" w14:paraId="17460967" w14:textId="77777777">
      <w:pPr>
        <w:pStyle w:val="ListParagraph"/>
        <w:numPr>
          <w:ilvl w:val="0"/>
          <w:numId w:val="1"/>
        </w:numPr>
        <w:rPr>
          <w:rFonts w:ascii="Arial" w:hAnsi="Arial" w:cs="Arial"/>
          <w:sz w:val="24"/>
          <w:szCs w:val="24"/>
        </w:rPr>
      </w:pPr>
      <w:r w:rsidRPr="00AF60E2">
        <w:rPr>
          <w:rFonts w:ascii="Arial" w:hAnsi="Arial" w:cs="Arial"/>
          <w:sz w:val="24"/>
          <w:szCs w:val="24"/>
        </w:rPr>
        <w:t xml:space="preserve"> The ability of </w:t>
      </w:r>
      <w:r w:rsidRPr="00AF60E2" w:rsidR="005C353C">
        <w:rPr>
          <w:rFonts w:ascii="Arial" w:hAnsi="Arial" w:cs="Arial"/>
          <w:sz w:val="24"/>
          <w:szCs w:val="24"/>
        </w:rPr>
        <w:t>p</w:t>
      </w:r>
      <w:r w:rsidRPr="00AF60E2">
        <w:rPr>
          <w:rFonts w:ascii="Arial" w:hAnsi="Arial" w:cs="Arial"/>
          <w:sz w:val="24"/>
          <w:szCs w:val="24"/>
        </w:rPr>
        <w:t xml:space="preserve">roducers to “pivot” to an importing </w:t>
      </w:r>
      <w:r w:rsidRPr="00AF60E2" w:rsidR="00D22582">
        <w:rPr>
          <w:rFonts w:ascii="Arial" w:hAnsi="Arial" w:cs="Arial"/>
          <w:sz w:val="24"/>
          <w:szCs w:val="24"/>
        </w:rPr>
        <w:t xml:space="preserve">or hybrid </w:t>
      </w:r>
      <w:r w:rsidRPr="00AF60E2">
        <w:rPr>
          <w:rFonts w:ascii="Arial" w:hAnsi="Arial" w:cs="Arial"/>
          <w:sz w:val="24"/>
          <w:szCs w:val="24"/>
        </w:rPr>
        <w:t>model in response to the need to increase costs efficiencies</w:t>
      </w:r>
      <w:r w:rsidRPr="00AF60E2" w:rsidR="002D2F06">
        <w:rPr>
          <w:rFonts w:ascii="Arial" w:hAnsi="Arial" w:cs="Arial"/>
          <w:sz w:val="24"/>
          <w:szCs w:val="24"/>
        </w:rPr>
        <w:t xml:space="preserve"> demanded by market forces such as </w:t>
      </w:r>
      <w:r w:rsidRPr="00AF60E2" w:rsidR="009B1297">
        <w:rPr>
          <w:rFonts w:ascii="Arial" w:hAnsi="Arial" w:cs="Arial"/>
          <w:sz w:val="24"/>
          <w:szCs w:val="24"/>
        </w:rPr>
        <w:t xml:space="preserve">the </w:t>
      </w:r>
      <w:r w:rsidRPr="00AF60E2" w:rsidR="00583008">
        <w:rPr>
          <w:rFonts w:ascii="Arial" w:hAnsi="Arial" w:cs="Arial"/>
          <w:sz w:val="24"/>
          <w:szCs w:val="24"/>
        </w:rPr>
        <w:t xml:space="preserve">downward pressure of base oil pricing and </w:t>
      </w:r>
      <w:r w:rsidRPr="00AF60E2">
        <w:rPr>
          <w:rFonts w:ascii="Arial" w:hAnsi="Arial" w:cs="Arial"/>
          <w:sz w:val="24"/>
          <w:szCs w:val="24"/>
        </w:rPr>
        <w:t xml:space="preserve">reducing </w:t>
      </w:r>
      <w:r w:rsidRPr="00AF60E2" w:rsidR="006F71E0">
        <w:rPr>
          <w:rFonts w:ascii="Arial" w:hAnsi="Arial" w:cs="Arial"/>
          <w:sz w:val="24"/>
          <w:szCs w:val="24"/>
        </w:rPr>
        <w:t xml:space="preserve">blending and </w:t>
      </w:r>
      <w:r w:rsidRPr="00AF60E2">
        <w:rPr>
          <w:rFonts w:ascii="Arial" w:hAnsi="Arial" w:cs="Arial"/>
          <w:sz w:val="24"/>
          <w:szCs w:val="24"/>
        </w:rPr>
        <w:t>packaging costs has</w:t>
      </w:r>
      <w:r w:rsidRPr="00AF60E2" w:rsidR="002D2F06">
        <w:rPr>
          <w:rFonts w:ascii="Arial" w:hAnsi="Arial" w:cs="Arial"/>
          <w:sz w:val="24"/>
          <w:szCs w:val="24"/>
        </w:rPr>
        <w:t xml:space="preserve"> not been taken into sufficient consideration. </w:t>
      </w:r>
    </w:p>
    <w:p w:rsidR="002D2F06" w:rsidRPr="00AF60E2" w:rsidP="002D2F06" w14:paraId="74E36B7D" w14:textId="77777777">
      <w:pPr>
        <w:pStyle w:val="ListParagraph"/>
        <w:rPr>
          <w:rFonts w:ascii="Arial" w:hAnsi="Arial" w:cs="Arial"/>
          <w:sz w:val="24"/>
          <w:szCs w:val="24"/>
        </w:rPr>
      </w:pPr>
    </w:p>
    <w:p w:rsidR="002D2F06" w:rsidRPr="00AF60E2" w:rsidP="001B2971" w14:paraId="539F87A8" w14:textId="77777777">
      <w:pPr>
        <w:pStyle w:val="ListParagraph"/>
        <w:numPr>
          <w:ilvl w:val="0"/>
          <w:numId w:val="1"/>
        </w:numPr>
        <w:rPr>
          <w:rFonts w:ascii="Arial" w:hAnsi="Arial" w:cs="Arial"/>
          <w:sz w:val="24"/>
          <w:szCs w:val="24"/>
        </w:rPr>
      </w:pPr>
      <w:r w:rsidRPr="00AF60E2">
        <w:rPr>
          <w:rFonts w:ascii="Arial" w:hAnsi="Arial" w:cs="Arial"/>
          <w:sz w:val="24"/>
          <w:szCs w:val="24"/>
        </w:rPr>
        <w:t xml:space="preserve">Further, </w:t>
      </w:r>
      <w:r w:rsidRPr="00AF60E2" w:rsidR="004B056D">
        <w:rPr>
          <w:rFonts w:ascii="Arial" w:hAnsi="Arial" w:cs="Arial"/>
          <w:sz w:val="24"/>
          <w:szCs w:val="24"/>
        </w:rPr>
        <w:t xml:space="preserve">and fundamentally, </w:t>
      </w:r>
      <w:r w:rsidRPr="00AF60E2">
        <w:rPr>
          <w:rFonts w:ascii="Arial" w:hAnsi="Arial" w:cs="Arial"/>
          <w:sz w:val="24"/>
          <w:szCs w:val="24"/>
        </w:rPr>
        <w:t xml:space="preserve">the analysis of the UK market is based on insufficient data to be reliable and is applied and relied upon in an inconsistent way. </w:t>
      </w:r>
    </w:p>
    <w:p w:rsidR="002D2F06" w:rsidRPr="00AF60E2" w:rsidP="002D2F06" w14:paraId="2A240B94" w14:textId="77777777">
      <w:pPr>
        <w:pStyle w:val="ListParagraph"/>
        <w:rPr>
          <w:rFonts w:ascii="Arial" w:hAnsi="Arial" w:cs="Arial"/>
          <w:sz w:val="24"/>
          <w:szCs w:val="24"/>
        </w:rPr>
      </w:pPr>
    </w:p>
    <w:p w:rsidR="0097482A" w:rsidRPr="00AF60E2" w:rsidP="001B2971" w14:paraId="43DCF48C" w14:textId="77777777">
      <w:pPr>
        <w:pStyle w:val="ListParagraph"/>
        <w:numPr>
          <w:ilvl w:val="0"/>
          <w:numId w:val="1"/>
        </w:numPr>
        <w:rPr>
          <w:rFonts w:ascii="Arial" w:hAnsi="Arial" w:cs="Arial"/>
          <w:sz w:val="24"/>
          <w:szCs w:val="24"/>
        </w:rPr>
      </w:pPr>
      <w:r w:rsidRPr="00AF60E2">
        <w:rPr>
          <w:rFonts w:ascii="Arial" w:hAnsi="Arial" w:cs="Arial"/>
          <w:sz w:val="24"/>
          <w:szCs w:val="24"/>
        </w:rPr>
        <w:t xml:space="preserve">The following interested parties submitted </w:t>
      </w:r>
      <w:r w:rsidRPr="00AF60E2" w:rsidR="004E4956">
        <w:rPr>
          <w:rFonts w:ascii="Arial" w:hAnsi="Arial" w:cs="Arial"/>
          <w:sz w:val="24"/>
          <w:szCs w:val="24"/>
        </w:rPr>
        <w:t>full questionnaires which are found on the public file:</w:t>
      </w:r>
    </w:p>
    <w:p w:rsidR="004E4956" w:rsidRPr="00AF60E2" w:rsidP="004E4956" w14:paraId="0E9E7927" w14:textId="77777777">
      <w:pPr>
        <w:pStyle w:val="ListParagraph"/>
        <w:rPr>
          <w:rFonts w:ascii="Arial" w:hAnsi="Arial" w:cs="Arial"/>
          <w:sz w:val="24"/>
          <w:szCs w:val="24"/>
        </w:rPr>
      </w:pPr>
    </w:p>
    <w:p w:rsidR="00E5328D" w:rsidRPr="00AF60E2" w:rsidP="004A3852" w14:paraId="709A7BEC" w14:textId="77777777">
      <w:pPr>
        <w:pStyle w:val="ListParagraph"/>
        <w:numPr>
          <w:ilvl w:val="0"/>
          <w:numId w:val="2"/>
        </w:numPr>
        <w:rPr>
          <w:rFonts w:ascii="Arial" w:hAnsi="Arial" w:cs="Arial"/>
          <w:sz w:val="24"/>
          <w:szCs w:val="24"/>
        </w:rPr>
      </w:pPr>
      <w:r w:rsidRPr="00AF60E2">
        <w:rPr>
          <w:rFonts w:ascii="Arial" w:hAnsi="Arial" w:cs="Arial"/>
          <w:sz w:val="24"/>
          <w:szCs w:val="24"/>
        </w:rPr>
        <w:t>Domestic Producers</w:t>
      </w:r>
      <w:r w:rsidRPr="00AF60E2" w:rsidR="004A3852">
        <w:rPr>
          <w:rFonts w:ascii="Arial" w:hAnsi="Arial" w:cs="Arial"/>
          <w:sz w:val="24"/>
          <w:szCs w:val="24"/>
        </w:rPr>
        <w:t xml:space="preserve">: </w:t>
      </w:r>
      <w:r w:rsidRPr="00AF60E2">
        <w:rPr>
          <w:rFonts w:ascii="Arial" w:hAnsi="Arial" w:cs="Arial"/>
          <w:sz w:val="24"/>
          <w:szCs w:val="24"/>
        </w:rPr>
        <w:t xml:space="preserve"> </w:t>
      </w:r>
    </w:p>
    <w:p w:rsidR="00E5328D" w:rsidRPr="00AF60E2" w:rsidP="00E5328D" w14:paraId="7190F3C2" w14:textId="77777777">
      <w:pPr>
        <w:pStyle w:val="ListParagraph"/>
        <w:ind w:left="1440"/>
        <w:rPr>
          <w:rFonts w:ascii="Arial" w:hAnsi="Arial" w:cs="Arial"/>
          <w:sz w:val="24"/>
          <w:szCs w:val="24"/>
        </w:rPr>
      </w:pPr>
      <w:r w:rsidRPr="00AF60E2">
        <w:rPr>
          <w:rFonts w:ascii="Arial" w:hAnsi="Arial" w:cs="Arial"/>
          <w:sz w:val="24"/>
          <w:szCs w:val="24"/>
        </w:rPr>
        <w:t>Aztec Oils Ltd</w:t>
      </w:r>
    </w:p>
    <w:p w:rsidR="004A3852" w:rsidRPr="00AF60E2" w:rsidP="00E5328D" w14:paraId="60E45063" w14:textId="77777777">
      <w:pPr>
        <w:pStyle w:val="ListParagraph"/>
        <w:ind w:left="1440"/>
        <w:rPr>
          <w:rFonts w:ascii="Arial" w:hAnsi="Arial" w:cs="Arial"/>
          <w:sz w:val="24"/>
          <w:szCs w:val="24"/>
        </w:rPr>
      </w:pPr>
      <w:r w:rsidRPr="00AF60E2">
        <w:rPr>
          <w:rFonts w:ascii="Arial" w:hAnsi="Arial" w:cs="Arial"/>
          <w:sz w:val="24"/>
          <w:szCs w:val="24"/>
        </w:rPr>
        <w:t xml:space="preserve"> Paterson Enterprises Ltd </w:t>
      </w:r>
    </w:p>
    <w:p w:rsidR="00E5328D" w:rsidRPr="00AF60E2" w:rsidP="004A3852" w14:paraId="31ECC9FF" w14:textId="77777777">
      <w:pPr>
        <w:pStyle w:val="ListParagraph"/>
        <w:numPr>
          <w:ilvl w:val="0"/>
          <w:numId w:val="2"/>
        </w:numPr>
        <w:rPr>
          <w:rFonts w:ascii="Arial" w:hAnsi="Arial" w:cs="Arial"/>
          <w:sz w:val="24"/>
          <w:szCs w:val="24"/>
        </w:rPr>
      </w:pPr>
      <w:r w:rsidRPr="00AF60E2">
        <w:rPr>
          <w:rFonts w:ascii="Arial" w:hAnsi="Arial" w:cs="Arial"/>
          <w:sz w:val="24"/>
          <w:szCs w:val="24"/>
        </w:rPr>
        <w:t>Importers:</w:t>
      </w:r>
    </w:p>
    <w:p w:rsidR="004A3852" w:rsidRPr="00AF60E2" w:rsidP="00E5328D" w14:paraId="640E01EB" w14:textId="77777777">
      <w:pPr>
        <w:pStyle w:val="ListParagraph"/>
        <w:ind w:left="1440"/>
        <w:rPr>
          <w:rFonts w:ascii="Arial" w:hAnsi="Arial" w:cs="Arial"/>
          <w:sz w:val="24"/>
          <w:szCs w:val="24"/>
        </w:rPr>
      </w:pPr>
      <w:r w:rsidRPr="00AF60E2">
        <w:rPr>
          <w:rFonts w:ascii="Arial" w:hAnsi="Arial" w:cs="Arial"/>
          <w:sz w:val="24"/>
          <w:szCs w:val="24"/>
        </w:rPr>
        <w:t xml:space="preserve"> </w:t>
      </w:r>
      <w:r w:rsidRPr="00AF60E2">
        <w:rPr>
          <w:rFonts w:ascii="Arial" w:hAnsi="Arial" w:cs="Arial"/>
          <w:sz w:val="24"/>
          <w:szCs w:val="24"/>
        </w:rPr>
        <w:t>Lubriage</w:t>
      </w:r>
      <w:r w:rsidRPr="00AF60E2">
        <w:rPr>
          <w:rFonts w:ascii="Arial" w:hAnsi="Arial" w:cs="Arial"/>
          <w:sz w:val="24"/>
          <w:szCs w:val="24"/>
        </w:rPr>
        <w:t xml:space="preserve"> Ltd </w:t>
      </w:r>
    </w:p>
    <w:p w:rsidR="00E5328D" w:rsidRPr="00AF60E2" w:rsidP="004A3852" w14:paraId="086C7CC0" w14:textId="77777777">
      <w:pPr>
        <w:pStyle w:val="ListParagraph"/>
        <w:numPr>
          <w:ilvl w:val="0"/>
          <w:numId w:val="2"/>
        </w:numPr>
        <w:rPr>
          <w:rFonts w:ascii="Arial" w:hAnsi="Arial" w:cs="Arial"/>
          <w:sz w:val="24"/>
          <w:szCs w:val="24"/>
        </w:rPr>
      </w:pPr>
      <w:r w:rsidRPr="00AF60E2">
        <w:rPr>
          <w:rFonts w:ascii="Arial" w:hAnsi="Arial" w:cs="Arial"/>
          <w:sz w:val="24"/>
          <w:szCs w:val="24"/>
        </w:rPr>
        <w:t>Exporters / Overseas Producers</w:t>
      </w:r>
    </w:p>
    <w:p w:rsidR="006B1FA8" w:rsidRPr="00AF60E2" w:rsidP="006B1FA8" w14:paraId="44FA8633" w14:textId="77777777">
      <w:pPr>
        <w:pStyle w:val="ListParagraph"/>
        <w:ind w:left="1440"/>
        <w:rPr>
          <w:rFonts w:ascii="Arial" w:hAnsi="Arial" w:cs="Arial"/>
          <w:sz w:val="24"/>
          <w:szCs w:val="24"/>
        </w:rPr>
      </w:pPr>
      <w:r w:rsidRPr="00AF60E2">
        <w:rPr>
          <w:rFonts w:ascii="Arial" w:hAnsi="Arial" w:cs="Arial"/>
          <w:sz w:val="24"/>
          <w:szCs w:val="24"/>
        </w:rPr>
        <w:t xml:space="preserve"> UAB SCT Lubricants</w:t>
      </w:r>
      <w:r w:rsidRPr="00AF60E2" w:rsidR="004A3852">
        <w:rPr>
          <w:rFonts w:ascii="Arial" w:hAnsi="Arial" w:cs="Arial"/>
          <w:sz w:val="24"/>
          <w:szCs w:val="24"/>
        </w:rPr>
        <w:t xml:space="preserve"> (Lithuania)</w:t>
      </w:r>
      <w:r w:rsidRPr="00AF60E2">
        <w:rPr>
          <w:rFonts w:ascii="Arial" w:hAnsi="Arial" w:cs="Arial"/>
          <w:sz w:val="24"/>
          <w:szCs w:val="24"/>
        </w:rPr>
        <w:t xml:space="preserve"> </w:t>
      </w:r>
    </w:p>
    <w:p w:rsidR="006B1FA8" w:rsidRPr="00AF60E2" w:rsidP="006B1FA8" w14:paraId="59FB320F" w14:textId="77777777">
      <w:pPr>
        <w:pStyle w:val="ListParagraph"/>
        <w:ind w:left="1440"/>
        <w:rPr>
          <w:rFonts w:ascii="Arial" w:hAnsi="Arial" w:cs="Arial"/>
          <w:sz w:val="24"/>
          <w:szCs w:val="24"/>
        </w:rPr>
      </w:pPr>
      <w:r w:rsidRPr="00AF60E2">
        <w:rPr>
          <w:rFonts w:ascii="Arial" w:hAnsi="Arial" w:cs="Arial"/>
          <w:sz w:val="24"/>
          <w:szCs w:val="24"/>
        </w:rPr>
        <w:t>Chempioil</w:t>
      </w:r>
      <w:r w:rsidRPr="00AF60E2">
        <w:rPr>
          <w:rFonts w:ascii="Arial" w:hAnsi="Arial" w:cs="Arial"/>
          <w:sz w:val="24"/>
          <w:szCs w:val="24"/>
        </w:rPr>
        <w:t xml:space="preserve"> (UAE)</w:t>
      </w:r>
    </w:p>
    <w:p w:rsidR="00C22737" w:rsidRPr="00AF60E2" w:rsidP="00C22737" w14:paraId="14BC59FF" w14:textId="77777777">
      <w:pPr>
        <w:pStyle w:val="ListParagraph"/>
        <w:ind w:left="1440"/>
        <w:rPr>
          <w:rFonts w:ascii="Arial" w:hAnsi="Arial" w:cs="Arial"/>
          <w:sz w:val="24"/>
          <w:szCs w:val="24"/>
        </w:rPr>
      </w:pPr>
      <w:bookmarkStart w:id="1" w:name="_Hlk196985628"/>
      <w:r w:rsidRPr="00AF60E2">
        <w:rPr>
          <w:rFonts w:ascii="Arial" w:hAnsi="Arial" w:cs="Arial"/>
          <w:sz w:val="24"/>
          <w:szCs w:val="24"/>
        </w:rPr>
        <w:t xml:space="preserve">SCT Chemicals FZE </w:t>
      </w:r>
      <w:r w:rsidRPr="00AF60E2" w:rsidR="006B1FA8">
        <w:rPr>
          <w:rFonts w:ascii="Arial" w:hAnsi="Arial" w:cs="Arial"/>
          <w:sz w:val="24"/>
          <w:szCs w:val="24"/>
        </w:rPr>
        <w:t xml:space="preserve">(UAE) </w:t>
      </w:r>
    </w:p>
    <w:bookmarkEnd w:id="1"/>
    <w:p w:rsidR="00B84301" w:rsidRPr="00AF60E2" w:rsidP="00C22737" w14:paraId="18D5385F" w14:textId="77777777">
      <w:pPr>
        <w:ind w:left="720"/>
        <w:rPr>
          <w:rFonts w:ascii="Arial" w:hAnsi="Arial" w:cs="Arial"/>
          <w:sz w:val="24"/>
          <w:szCs w:val="24"/>
        </w:rPr>
      </w:pPr>
      <w:r w:rsidRPr="00AF60E2">
        <w:rPr>
          <w:rFonts w:ascii="Arial" w:hAnsi="Arial" w:cs="Arial"/>
          <w:sz w:val="24"/>
          <w:szCs w:val="24"/>
        </w:rPr>
        <w:t xml:space="preserve">       </w:t>
      </w:r>
      <w:r w:rsidRPr="00AF60E2" w:rsidR="00D65B67">
        <w:rPr>
          <w:rFonts w:ascii="Arial" w:hAnsi="Arial" w:cs="Arial"/>
          <w:sz w:val="24"/>
          <w:szCs w:val="24"/>
        </w:rPr>
        <w:t>•Trade Bodies</w:t>
      </w:r>
      <w:r w:rsidRPr="00AF60E2">
        <w:rPr>
          <w:rFonts w:ascii="Arial" w:hAnsi="Arial" w:cs="Arial"/>
          <w:sz w:val="24"/>
          <w:szCs w:val="24"/>
        </w:rPr>
        <w:t>:</w:t>
      </w:r>
    </w:p>
    <w:p w:rsidR="004E4956" w:rsidRPr="00AF60E2" w:rsidP="00B84301" w14:paraId="46E058D9" w14:textId="77777777">
      <w:pPr>
        <w:ind w:left="720" w:firstLine="720"/>
        <w:rPr>
          <w:rFonts w:ascii="Arial" w:hAnsi="Arial" w:cs="Arial"/>
          <w:sz w:val="24"/>
          <w:szCs w:val="24"/>
        </w:rPr>
      </w:pPr>
      <w:r w:rsidRPr="00AF60E2">
        <w:rPr>
          <w:rFonts w:ascii="Arial" w:hAnsi="Arial" w:cs="Arial"/>
          <w:sz w:val="24"/>
          <w:szCs w:val="24"/>
        </w:rPr>
        <w:t xml:space="preserve"> United Kingdom Lubricants Association</w:t>
      </w:r>
    </w:p>
    <w:p w:rsidR="007F5C44" w:rsidRPr="00AF60E2" w:rsidP="007F5C44" w14:paraId="27BD497C" w14:textId="77777777">
      <w:pPr>
        <w:pStyle w:val="ListParagraph"/>
        <w:rPr>
          <w:rFonts w:ascii="Arial" w:hAnsi="Arial" w:cs="Arial"/>
          <w:sz w:val="24"/>
          <w:szCs w:val="24"/>
        </w:rPr>
      </w:pPr>
    </w:p>
    <w:p w:rsidR="00FB5C37" w:rsidRPr="00AF60E2" w:rsidP="007F5C44" w14:paraId="23B8ECEB" w14:textId="77777777">
      <w:pPr>
        <w:pStyle w:val="ListParagraph"/>
        <w:numPr>
          <w:ilvl w:val="0"/>
          <w:numId w:val="1"/>
        </w:numPr>
        <w:rPr>
          <w:rFonts w:ascii="Arial" w:hAnsi="Arial" w:cs="Arial"/>
          <w:sz w:val="24"/>
          <w:szCs w:val="24"/>
        </w:rPr>
      </w:pPr>
      <w:r w:rsidRPr="00AF60E2">
        <w:rPr>
          <w:rFonts w:ascii="Arial" w:hAnsi="Arial" w:cs="Arial"/>
          <w:sz w:val="24"/>
          <w:szCs w:val="24"/>
        </w:rPr>
        <w:t xml:space="preserve">In </w:t>
      </w:r>
      <w:r w:rsidRPr="00AF60E2" w:rsidR="002666FB">
        <w:rPr>
          <w:rFonts w:ascii="Arial" w:hAnsi="Arial" w:cs="Arial"/>
          <w:sz w:val="24"/>
          <w:szCs w:val="24"/>
        </w:rPr>
        <w:t>paragraph</w:t>
      </w:r>
      <w:r w:rsidRPr="00AF60E2" w:rsidR="00563089">
        <w:rPr>
          <w:rFonts w:ascii="Arial" w:hAnsi="Arial" w:cs="Arial"/>
          <w:sz w:val="24"/>
          <w:szCs w:val="24"/>
        </w:rPr>
        <w:t>s</w:t>
      </w:r>
      <w:r w:rsidRPr="00AF60E2" w:rsidR="006B7EDB">
        <w:rPr>
          <w:rFonts w:ascii="Arial" w:hAnsi="Arial" w:cs="Arial"/>
          <w:sz w:val="24"/>
          <w:szCs w:val="24"/>
        </w:rPr>
        <w:t xml:space="preserve"> 64</w:t>
      </w:r>
      <w:r w:rsidRPr="00AF60E2" w:rsidR="00411A2E">
        <w:rPr>
          <w:rFonts w:ascii="Arial" w:hAnsi="Arial" w:cs="Arial"/>
          <w:sz w:val="24"/>
          <w:szCs w:val="24"/>
        </w:rPr>
        <w:t>,</w:t>
      </w:r>
      <w:r w:rsidRPr="00AF60E2" w:rsidR="0067050A">
        <w:rPr>
          <w:rFonts w:ascii="Arial" w:hAnsi="Arial" w:cs="Arial"/>
          <w:sz w:val="24"/>
          <w:szCs w:val="24"/>
        </w:rPr>
        <w:t xml:space="preserve"> 65,</w:t>
      </w:r>
      <w:r w:rsidRPr="00AF60E2" w:rsidR="00411A2E">
        <w:rPr>
          <w:rFonts w:ascii="Arial" w:hAnsi="Arial" w:cs="Arial"/>
          <w:sz w:val="24"/>
          <w:szCs w:val="24"/>
        </w:rPr>
        <w:t xml:space="preserve"> 66</w:t>
      </w:r>
      <w:r w:rsidRPr="00AF60E2" w:rsidR="00CC422C">
        <w:rPr>
          <w:rFonts w:ascii="Arial" w:hAnsi="Arial" w:cs="Arial"/>
          <w:sz w:val="24"/>
          <w:szCs w:val="24"/>
        </w:rPr>
        <w:t xml:space="preserve"> </w:t>
      </w:r>
      <w:r w:rsidRPr="00AF60E2" w:rsidR="00563089">
        <w:rPr>
          <w:rFonts w:ascii="Arial" w:hAnsi="Arial" w:cs="Arial"/>
          <w:sz w:val="24"/>
          <w:szCs w:val="24"/>
        </w:rPr>
        <w:t xml:space="preserve"> and 68 </w:t>
      </w:r>
      <w:r w:rsidRPr="00AF60E2" w:rsidR="00CC422C">
        <w:rPr>
          <w:rFonts w:ascii="Arial" w:hAnsi="Arial" w:cs="Arial"/>
          <w:sz w:val="24"/>
          <w:szCs w:val="24"/>
        </w:rPr>
        <w:t xml:space="preserve">of the PAD </w:t>
      </w:r>
      <w:r w:rsidRPr="00AF60E2">
        <w:rPr>
          <w:rFonts w:ascii="Arial" w:hAnsi="Arial" w:cs="Arial"/>
          <w:sz w:val="24"/>
          <w:szCs w:val="24"/>
        </w:rPr>
        <w:t xml:space="preserve">the TRA records that: </w:t>
      </w:r>
    </w:p>
    <w:p w:rsidR="00FB5C37" w:rsidRPr="00AF60E2" w:rsidP="00FB5C37" w14:paraId="0865C92B" w14:textId="77777777">
      <w:pPr>
        <w:pStyle w:val="ListParagraph"/>
        <w:rPr>
          <w:rFonts w:ascii="Arial" w:hAnsi="Arial" w:cs="Arial"/>
          <w:sz w:val="24"/>
          <w:szCs w:val="24"/>
        </w:rPr>
      </w:pPr>
    </w:p>
    <w:p w:rsidR="006B7EDB" w:rsidRPr="00AF60E2" w:rsidP="00FB5C37" w14:paraId="43E32946" w14:textId="77777777">
      <w:pPr>
        <w:pStyle w:val="ListParagraph"/>
        <w:rPr>
          <w:rFonts w:ascii="Arial" w:hAnsi="Arial" w:cs="Arial"/>
          <w:i/>
          <w:iCs/>
          <w:sz w:val="24"/>
          <w:szCs w:val="24"/>
        </w:rPr>
      </w:pPr>
      <w:r w:rsidRPr="00AF60E2">
        <w:rPr>
          <w:rFonts w:ascii="Arial" w:hAnsi="Arial" w:cs="Arial"/>
          <w:i/>
          <w:iCs/>
          <w:sz w:val="24"/>
          <w:szCs w:val="24"/>
        </w:rPr>
        <w:t xml:space="preserve">“64. </w:t>
      </w:r>
      <w:r w:rsidRPr="00AF60E2" w:rsidR="0019102E">
        <w:rPr>
          <w:rFonts w:ascii="Arial" w:hAnsi="Arial" w:cs="Arial"/>
          <w:i/>
          <w:iCs/>
          <w:sz w:val="24"/>
          <w:szCs w:val="24"/>
        </w:rPr>
        <w:t>UK producers are located across the UK, a selection of which are shown in figure 3 below, and not concentrated in any particular area. Most producers are small businesses employing less than 100 people on average.</w:t>
      </w:r>
      <w:r w:rsidRPr="00AF60E2" w:rsidR="00411A2E">
        <w:rPr>
          <w:rFonts w:ascii="Arial" w:hAnsi="Arial" w:cs="Arial"/>
          <w:i/>
          <w:iCs/>
          <w:sz w:val="24"/>
          <w:szCs w:val="24"/>
        </w:rPr>
        <w:t>”</w:t>
      </w:r>
    </w:p>
    <w:p w:rsidR="00411A2E" w:rsidRPr="00AF60E2" w:rsidP="00FB5C37" w14:paraId="7CB3342C" w14:textId="77777777">
      <w:pPr>
        <w:pStyle w:val="ListParagraph"/>
        <w:rPr>
          <w:rFonts w:ascii="Arial" w:hAnsi="Arial" w:cs="Arial"/>
          <w:i/>
          <w:iCs/>
          <w:sz w:val="24"/>
          <w:szCs w:val="24"/>
        </w:rPr>
      </w:pPr>
    </w:p>
    <w:p w:rsidR="00B17E66" w:rsidRPr="00AF60E2" w:rsidP="00FB5C37" w14:paraId="01E582B6" w14:textId="77777777">
      <w:pPr>
        <w:pStyle w:val="ListParagraph"/>
        <w:rPr>
          <w:rFonts w:ascii="Arial" w:hAnsi="Arial" w:cs="Arial"/>
          <w:i/>
          <w:iCs/>
          <w:sz w:val="24"/>
          <w:szCs w:val="24"/>
          <w:u w:val="single"/>
        </w:rPr>
      </w:pPr>
      <w:r w:rsidRPr="00AF60E2">
        <w:rPr>
          <w:rFonts w:ascii="Arial" w:hAnsi="Arial" w:cs="Arial"/>
          <w:i/>
          <w:iCs/>
          <w:sz w:val="24"/>
          <w:szCs w:val="24"/>
        </w:rPr>
        <w:t>“6</w:t>
      </w:r>
      <w:r w:rsidRPr="00AF60E2" w:rsidR="0067050A">
        <w:rPr>
          <w:rFonts w:ascii="Arial" w:hAnsi="Arial" w:cs="Arial"/>
          <w:i/>
          <w:iCs/>
          <w:sz w:val="24"/>
          <w:szCs w:val="24"/>
        </w:rPr>
        <w:t xml:space="preserve">5. </w:t>
      </w:r>
      <w:r w:rsidRPr="00AF60E2" w:rsidR="00CE58E7">
        <w:rPr>
          <w:rFonts w:ascii="Arial" w:hAnsi="Arial" w:cs="Arial"/>
          <w:i/>
          <w:iCs/>
          <w:sz w:val="24"/>
          <w:szCs w:val="24"/>
        </w:rPr>
        <w:t xml:space="preserve">For the purposes of this investigation, we have defined UK industry </w:t>
      </w:r>
      <w:r w:rsidRPr="00AF60E2" w:rsidR="00CE58E7">
        <w:rPr>
          <w:rFonts w:ascii="Arial" w:hAnsi="Arial" w:cs="Arial"/>
          <w:b/>
          <w:bCs/>
          <w:i/>
          <w:iCs/>
          <w:sz w:val="24"/>
          <w:szCs w:val="24"/>
          <w:u w:val="single"/>
        </w:rPr>
        <w:t>as all the producers in the UK of the like goods</w:t>
      </w:r>
      <w:r w:rsidRPr="00AF60E2" w:rsidR="00CE58E7">
        <w:rPr>
          <w:rFonts w:ascii="Arial" w:hAnsi="Arial" w:cs="Arial"/>
          <w:i/>
          <w:iCs/>
          <w:sz w:val="24"/>
          <w:szCs w:val="24"/>
        </w:rPr>
        <w:t xml:space="preserve">. The TRA considered whether it would be appropriate to define UK industry as only the two, cooperating domestic producers. </w:t>
      </w:r>
      <w:r w:rsidRPr="00AF60E2" w:rsidR="00CE58E7">
        <w:rPr>
          <w:rFonts w:ascii="Arial" w:hAnsi="Arial" w:cs="Arial"/>
          <w:b/>
          <w:bCs/>
          <w:i/>
          <w:iCs/>
          <w:sz w:val="24"/>
          <w:szCs w:val="24"/>
          <w:u w:val="single"/>
        </w:rPr>
        <w:t>However, the TRA concluded that such an approach could mean that the TRA is overly focussed on the two domestic producers who are cooperating with the investigation</w:t>
      </w:r>
      <w:r w:rsidRPr="00AF60E2" w:rsidR="00CE58E7">
        <w:rPr>
          <w:rFonts w:ascii="Arial" w:hAnsi="Arial" w:cs="Arial"/>
          <w:i/>
          <w:iCs/>
          <w:sz w:val="24"/>
          <w:szCs w:val="24"/>
          <w:u w:val="single"/>
        </w:rPr>
        <w:t xml:space="preserve">. </w:t>
      </w:r>
    </w:p>
    <w:p w:rsidR="00B17E66" w:rsidRPr="00AF60E2" w:rsidP="00FB5C37" w14:paraId="5CD42402" w14:textId="77777777">
      <w:pPr>
        <w:pStyle w:val="ListParagraph"/>
        <w:rPr>
          <w:rFonts w:ascii="Arial" w:hAnsi="Arial" w:cs="Arial"/>
          <w:i/>
          <w:iCs/>
          <w:sz w:val="24"/>
          <w:szCs w:val="24"/>
        </w:rPr>
      </w:pPr>
    </w:p>
    <w:p w:rsidR="00411A2E" w:rsidRPr="00AF60E2" w:rsidP="00FB5C37" w14:paraId="51763ACB" w14:textId="77777777">
      <w:pPr>
        <w:pStyle w:val="ListParagraph"/>
        <w:rPr>
          <w:rFonts w:ascii="Arial" w:hAnsi="Arial" w:cs="Arial"/>
          <w:b/>
          <w:bCs/>
          <w:i/>
          <w:iCs/>
          <w:sz w:val="24"/>
          <w:szCs w:val="24"/>
          <w:u w:val="single"/>
        </w:rPr>
      </w:pPr>
      <w:r w:rsidRPr="00AF60E2">
        <w:rPr>
          <w:rFonts w:ascii="Arial" w:hAnsi="Arial" w:cs="Arial"/>
          <w:i/>
          <w:iCs/>
          <w:sz w:val="24"/>
          <w:szCs w:val="24"/>
        </w:rPr>
        <w:t>“</w:t>
      </w:r>
      <w:r w:rsidRPr="00AF60E2" w:rsidR="00CE58E7">
        <w:rPr>
          <w:rFonts w:ascii="Arial" w:hAnsi="Arial" w:cs="Arial"/>
          <w:i/>
          <w:iCs/>
          <w:sz w:val="24"/>
          <w:szCs w:val="24"/>
        </w:rPr>
        <w:t>66. Based on the information we have received in the response to our questionnaires and publicly available sources, the TRA has therefore concluded that in accordance with paragraph 6(1)(a) of Schedule 4 of the Act</w:t>
      </w:r>
      <w:r w:rsidRPr="00AF60E2" w:rsidR="00CE58E7">
        <w:rPr>
          <w:rFonts w:ascii="Arial" w:hAnsi="Arial" w:cs="Arial"/>
          <w:b/>
          <w:bCs/>
          <w:i/>
          <w:iCs/>
          <w:sz w:val="24"/>
          <w:szCs w:val="24"/>
        </w:rPr>
        <w:t xml:space="preserve">, </w:t>
      </w:r>
      <w:r w:rsidRPr="00AF60E2" w:rsidR="00CE58E7">
        <w:rPr>
          <w:rFonts w:ascii="Arial" w:hAnsi="Arial" w:cs="Arial"/>
          <w:b/>
          <w:bCs/>
          <w:i/>
          <w:iCs/>
          <w:sz w:val="24"/>
          <w:szCs w:val="24"/>
          <w:u w:val="single"/>
        </w:rPr>
        <w:t>the TRA considers UK industry to be all of the producers in the UK of like goods.</w:t>
      </w:r>
      <w:r w:rsidRPr="00AF60E2">
        <w:rPr>
          <w:rFonts w:ascii="Arial" w:hAnsi="Arial" w:cs="Arial"/>
          <w:b/>
          <w:bCs/>
          <w:i/>
          <w:iCs/>
          <w:sz w:val="24"/>
          <w:szCs w:val="24"/>
          <w:u w:val="single"/>
        </w:rPr>
        <w:t>”</w:t>
      </w:r>
    </w:p>
    <w:p w:rsidR="006B7EDB" w:rsidRPr="00AF60E2" w:rsidP="00FB5C37" w14:paraId="3FBA54F7" w14:textId="77777777">
      <w:pPr>
        <w:pStyle w:val="ListParagraph"/>
        <w:rPr>
          <w:rFonts w:ascii="Arial" w:hAnsi="Arial" w:cs="Arial"/>
          <w:b/>
          <w:bCs/>
          <w:i/>
          <w:iCs/>
          <w:sz w:val="24"/>
          <w:szCs w:val="24"/>
          <w:u w:val="single"/>
        </w:rPr>
      </w:pPr>
    </w:p>
    <w:p w:rsidR="00254405" w:rsidRPr="00AF60E2" w:rsidP="00FB5C37" w14:paraId="6A5A4BB0" w14:textId="77777777">
      <w:pPr>
        <w:pStyle w:val="ListParagraph"/>
        <w:rPr>
          <w:rFonts w:ascii="Arial" w:hAnsi="Arial" w:cs="Arial"/>
          <w:b/>
          <w:bCs/>
          <w:i/>
          <w:iCs/>
          <w:sz w:val="24"/>
          <w:szCs w:val="24"/>
        </w:rPr>
      </w:pPr>
      <w:r w:rsidRPr="00AF60E2">
        <w:rPr>
          <w:rFonts w:ascii="Arial" w:hAnsi="Arial" w:cs="Arial"/>
          <w:i/>
          <w:iCs/>
          <w:sz w:val="24"/>
          <w:szCs w:val="24"/>
        </w:rPr>
        <w:t xml:space="preserve">“68. </w:t>
      </w:r>
      <w:r w:rsidRPr="00AF60E2" w:rsidR="006C0422">
        <w:rPr>
          <w:rFonts w:ascii="Arial" w:hAnsi="Arial" w:cs="Arial"/>
          <w:i/>
          <w:iCs/>
          <w:sz w:val="24"/>
          <w:szCs w:val="24"/>
        </w:rPr>
        <w:t xml:space="preserve">In addition to 21 known UK producers, the TRA identified 425 importers from HMRC’s trader search who imported goods under the two commodity codes during 2023. The TRA estimates that </w:t>
      </w:r>
      <w:r w:rsidRPr="00AF60E2" w:rsidR="006C0422">
        <w:rPr>
          <w:rFonts w:ascii="Arial" w:hAnsi="Arial" w:cs="Arial"/>
          <w:b/>
          <w:bCs/>
          <w:i/>
          <w:iCs/>
          <w:sz w:val="24"/>
          <w:szCs w:val="24"/>
          <w:u w:val="single"/>
        </w:rPr>
        <w:t>more than half of the UK demand of CEOHF</w:t>
      </w:r>
      <w:r w:rsidRPr="00AF60E2" w:rsidR="006C0422">
        <w:rPr>
          <w:rFonts w:ascii="Arial" w:hAnsi="Arial" w:cs="Arial"/>
          <w:b/>
          <w:bCs/>
          <w:i/>
          <w:iCs/>
          <w:sz w:val="24"/>
          <w:szCs w:val="24"/>
        </w:rPr>
        <w:t xml:space="preserve"> are supplied by imports</w:t>
      </w:r>
      <w:r w:rsidRPr="00AF60E2">
        <w:rPr>
          <w:rFonts w:ascii="Arial" w:hAnsi="Arial" w:cs="Arial"/>
          <w:b/>
          <w:bCs/>
          <w:i/>
          <w:iCs/>
          <w:sz w:val="24"/>
          <w:szCs w:val="24"/>
        </w:rPr>
        <w:t>”</w:t>
      </w:r>
    </w:p>
    <w:p w:rsidR="00254405" w:rsidRPr="00AF60E2" w:rsidP="00FB5C37" w14:paraId="2516957A" w14:textId="77777777">
      <w:pPr>
        <w:pStyle w:val="ListParagraph"/>
        <w:rPr>
          <w:rFonts w:ascii="Arial" w:hAnsi="Arial" w:cs="Arial"/>
          <w:sz w:val="24"/>
          <w:szCs w:val="24"/>
        </w:rPr>
      </w:pPr>
    </w:p>
    <w:p w:rsidR="00417FDC" w:rsidRPr="00AF60E2" w:rsidP="00BB4417" w14:paraId="6E712A6E"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 xml:space="preserve">In paragraph </w:t>
      </w:r>
      <w:r w:rsidRPr="00AF60E2" w:rsidR="00A65260">
        <w:rPr>
          <w:rFonts w:ascii="Arial" w:hAnsi="Arial" w:cs="Arial"/>
          <w:sz w:val="24"/>
          <w:szCs w:val="24"/>
        </w:rPr>
        <w:t>65 the TRA confirm</w:t>
      </w:r>
      <w:r w:rsidRPr="00AF60E2">
        <w:rPr>
          <w:rFonts w:ascii="Arial" w:hAnsi="Arial" w:cs="Arial"/>
          <w:sz w:val="24"/>
          <w:szCs w:val="24"/>
        </w:rPr>
        <w:t>ed</w:t>
      </w:r>
      <w:r w:rsidRPr="00AF60E2" w:rsidR="00A65260">
        <w:rPr>
          <w:rFonts w:ascii="Arial" w:hAnsi="Arial" w:cs="Arial"/>
          <w:sz w:val="24"/>
          <w:szCs w:val="24"/>
        </w:rPr>
        <w:t xml:space="preserve"> that it was not appropriate to define UK industry as only the two co-operating domestic producers. Clearly this is correct</w:t>
      </w:r>
      <w:r w:rsidRPr="00AF60E2" w:rsidR="005C353C">
        <w:rPr>
          <w:rFonts w:ascii="Arial" w:hAnsi="Arial" w:cs="Arial"/>
          <w:sz w:val="24"/>
          <w:szCs w:val="24"/>
        </w:rPr>
        <w:t>,</w:t>
      </w:r>
      <w:r w:rsidRPr="00AF60E2" w:rsidR="00A65260">
        <w:rPr>
          <w:rFonts w:ascii="Arial" w:hAnsi="Arial" w:cs="Arial"/>
          <w:sz w:val="24"/>
          <w:szCs w:val="24"/>
        </w:rPr>
        <w:t xml:space="preserve"> but </w:t>
      </w:r>
      <w:r w:rsidRPr="00AF60E2" w:rsidR="00CE51ED">
        <w:rPr>
          <w:rFonts w:ascii="Arial" w:hAnsi="Arial" w:cs="Arial"/>
          <w:sz w:val="24"/>
          <w:szCs w:val="24"/>
        </w:rPr>
        <w:t xml:space="preserve">it is completely at </w:t>
      </w:r>
      <w:r w:rsidRPr="00AF60E2" w:rsidR="008807AA">
        <w:rPr>
          <w:rFonts w:ascii="Arial" w:hAnsi="Arial" w:cs="Arial"/>
          <w:sz w:val="24"/>
          <w:szCs w:val="24"/>
        </w:rPr>
        <w:t>odds</w:t>
      </w:r>
      <w:r w:rsidRPr="00AF60E2" w:rsidR="00CE51ED">
        <w:rPr>
          <w:rFonts w:ascii="Arial" w:hAnsi="Arial" w:cs="Arial"/>
          <w:sz w:val="24"/>
          <w:szCs w:val="24"/>
        </w:rPr>
        <w:t xml:space="preserve"> with the previous statement at paragraph </w:t>
      </w:r>
      <w:r w:rsidRPr="00AF60E2" w:rsidR="00D13C25">
        <w:rPr>
          <w:rFonts w:ascii="Arial" w:hAnsi="Arial" w:cs="Arial"/>
          <w:sz w:val="24"/>
          <w:szCs w:val="24"/>
        </w:rPr>
        <w:t xml:space="preserve">35 of the </w:t>
      </w:r>
      <w:r w:rsidRPr="00AF60E2">
        <w:rPr>
          <w:rFonts w:ascii="Arial" w:hAnsi="Arial" w:cs="Arial"/>
          <w:sz w:val="24"/>
          <w:szCs w:val="24"/>
        </w:rPr>
        <w:t>PAD that:</w:t>
      </w:r>
    </w:p>
    <w:p w:rsidR="00417FDC" w:rsidRPr="00AF60E2" w:rsidP="00BB4417" w14:paraId="0675B83F" w14:textId="77777777">
      <w:pPr>
        <w:pStyle w:val="ListParagraph"/>
        <w:spacing w:line="276" w:lineRule="auto"/>
        <w:rPr>
          <w:rFonts w:ascii="Arial" w:hAnsi="Arial" w:cs="Arial"/>
          <w:sz w:val="24"/>
          <w:szCs w:val="24"/>
        </w:rPr>
      </w:pPr>
    </w:p>
    <w:p w:rsidR="00821EDB" w:rsidRPr="00AF60E2" w:rsidP="00BB4417" w14:paraId="6D2A0D25" w14:textId="77777777">
      <w:pPr>
        <w:pStyle w:val="ListParagraph"/>
        <w:spacing w:line="276" w:lineRule="auto"/>
        <w:rPr>
          <w:rFonts w:ascii="Arial" w:hAnsi="Arial" w:cs="Arial"/>
          <w:i/>
          <w:iCs/>
          <w:sz w:val="24"/>
          <w:szCs w:val="24"/>
        </w:rPr>
      </w:pPr>
      <w:r w:rsidRPr="00AF60E2">
        <w:rPr>
          <w:rFonts w:ascii="Arial" w:hAnsi="Arial" w:cs="Arial"/>
          <w:i/>
          <w:iCs/>
          <w:sz w:val="24"/>
          <w:szCs w:val="24"/>
        </w:rPr>
        <w:t>“35. The TRA considers that the sampled domestic producers who returned a full questionnaire response (</w:t>
      </w:r>
      <w:r w:rsidRPr="00AF60E2">
        <w:rPr>
          <w:rFonts w:ascii="Arial" w:hAnsi="Arial" w:cs="Arial"/>
          <w:b/>
          <w:bCs/>
          <w:i/>
          <w:iCs/>
          <w:sz w:val="24"/>
          <w:szCs w:val="24"/>
          <w:u w:val="single"/>
        </w:rPr>
        <w:t>Aztec and Paterson) are representative of UK industry</w:t>
      </w:r>
      <w:r w:rsidRPr="00AF60E2">
        <w:rPr>
          <w:rFonts w:ascii="Arial" w:hAnsi="Arial" w:cs="Arial"/>
          <w:i/>
          <w:iCs/>
          <w:sz w:val="24"/>
          <w:szCs w:val="24"/>
        </w:rPr>
        <w:t>.”</w:t>
      </w:r>
    </w:p>
    <w:p w:rsidR="00821EDB" w:rsidRPr="00AF60E2" w:rsidP="00BB4417" w14:paraId="0147307E" w14:textId="77777777">
      <w:pPr>
        <w:pStyle w:val="ListParagraph"/>
        <w:spacing w:line="276" w:lineRule="auto"/>
        <w:rPr>
          <w:rFonts w:ascii="Arial" w:hAnsi="Arial" w:cs="Arial"/>
          <w:i/>
          <w:iCs/>
          <w:sz w:val="24"/>
          <w:szCs w:val="24"/>
        </w:rPr>
      </w:pPr>
    </w:p>
    <w:p w:rsidR="009A19BB" w:rsidRPr="00AF60E2" w:rsidP="00BB4417" w14:paraId="231C028E"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The reality is that the TRA has given undue weight to and unc</w:t>
      </w:r>
      <w:r w:rsidRPr="00AF60E2" w:rsidR="007D2E6E">
        <w:rPr>
          <w:rFonts w:ascii="Arial" w:hAnsi="Arial" w:cs="Arial"/>
          <w:sz w:val="24"/>
          <w:szCs w:val="24"/>
        </w:rPr>
        <w:t xml:space="preserve">ritical acceptance of the case of Aztec Oils Ltd </w:t>
      </w:r>
      <w:r w:rsidR="00143C17">
        <w:rPr>
          <w:rFonts w:ascii="Arial" w:hAnsi="Arial" w:cs="Arial"/>
          <w:sz w:val="24"/>
          <w:szCs w:val="24"/>
        </w:rPr>
        <w:t xml:space="preserve">(“Aztec”) </w:t>
      </w:r>
      <w:r w:rsidRPr="00AF60E2" w:rsidR="005C475F">
        <w:rPr>
          <w:rFonts w:ascii="Arial" w:hAnsi="Arial" w:cs="Arial"/>
          <w:sz w:val="24"/>
          <w:szCs w:val="24"/>
        </w:rPr>
        <w:t xml:space="preserve">when purporting to examine the interests of </w:t>
      </w:r>
      <w:r w:rsidRPr="00AF60E2" w:rsidR="00083381">
        <w:rPr>
          <w:rFonts w:ascii="Arial" w:hAnsi="Arial" w:cs="Arial"/>
          <w:sz w:val="24"/>
          <w:szCs w:val="24"/>
        </w:rPr>
        <w:t xml:space="preserve">UK industry </w:t>
      </w:r>
      <w:r w:rsidRPr="00AF60E2" w:rsidR="00F27BCD">
        <w:rPr>
          <w:rFonts w:ascii="Arial" w:hAnsi="Arial" w:cs="Arial"/>
          <w:sz w:val="24"/>
          <w:szCs w:val="24"/>
        </w:rPr>
        <w:t xml:space="preserve">and considering the interests </w:t>
      </w:r>
      <w:r w:rsidRPr="00AF60E2" w:rsidR="00083381">
        <w:rPr>
          <w:rFonts w:ascii="Arial" w:hAnsi="Arial" w:cs="Arial"/>
          <w:sz w:val="24"/>
          <w:szCs w:val="24"/>
        </w:rPr>
        <w:t>“all the producers in the UK of like goods” (</w:t>
      </w:r>
      <w:r w:rsidRPr="00AF60E2" w:rsidR="00C23BED">
        <w:rPr>
          <w:rFonts w:ascii="Arial" w:hAnsi="Arial" w:cs="Arial"/>
          <w:sz w:val="24"/>
          <w:szCs w:val="24"/>
        </w:rPr>
        <w:t xml:space="preserve">PAD </w:t>
      </w:r>
      <w:r w:rsidRPr="00AF60E2" w:rsidR="00083381">
        <w:rPr>
          <w:rFonts w:ascii="Arial" w:hAnsi="Arial" w:cs="Arial"/>
          <w:sz w:val="24"/>
          <w:szCs w:val="24"/>
        </w:rPr>
        <w:t>paragraph</w:t>
      </w:r>
      <w:r w:rsidRPr="00AF60E2" w:rsidR="003B6B7E">
        <w:rPr>
          <w:rFonts w:ascii="Arial" w:hAnsi="Arial" w:cs="Arial"/>
          <w:sz w:val="24"/>
          <w:szCs w:val="24"/>
        </w:rPr>
        <w:t xml:space="preserve"> 65-</w:t>
      </w:r>
      <w:r w:rsidRPr="00AF60E2" w:rsidR="00083381">
        <w:rPr>
          <w:rFonts w:ascii="Arial" w:hAnsi="Arial" w:cs="Arial"/>
          <w:sz w:val="24"/>
          <w:szCs w:val="24"/>
        </w:rPr>
        <w:t xml:space="preserve"> </w:t>
      </w:r>
      <w:r w:rsidRPr="00AF60E2" w:rsidR="006D650E">
        <w:rPr>
          <w:rFonts w:ascii="Arial" w:hAnsi="Arial" w:cs="Arial"/>
          <w:sz w:val="24"/>
          <w:szCs w:val="24"/>
        </w:rPr>
        <w:t>66) when the stated position at</w:t>
      </w:r>
      <w:r w:rsidRPr="00AF60E2" w:rsidR="00EA50C2">
        <w:rPr>
          <w:rFonts w:ascii="Arial" w:hAnsi="Arial" w:cs="Arial"/>
          <w:sz w:val="24"/>
          <w:szCs w:val="24"/>
        </w:rPr>
        <w:t xml:space="preserve"> PAD</w:t>
      </w:r>
      <w:r w:rsidRPr="00AF60E2" w:rsidR="006D650E">
        <w:rPr>
          <w:rFonts w:ascii="Arial" w:hAnsi="Arial" w:cs="Arial"/>
          <w:sz w:val="24"/>
          <w:szCs w:val="24"/>
        </w:rPr>
        <w:t xml:space="preserve"> paragraph </w:t>
      </w:r>
      <w:r w:rsidRPr="00AF60E2" w:rsidR="00F2158F">
        <w:rPr>
          <w:rFonts w:ascii="Arial" w:hAnsi="Arial" w:cs="Arial"/>
          <w:sz w:val="24"/>
          <w:szCs w:val="24"/>
        </w:rPr>
        <w:t>35 was that Aztec and Paterson are representative of UK industry</w:t>
      </w:r>
      <w:r w:rsidRPr="00AF60E2" w:rsidR="00F27BCD">
        <w:rPr>
          <w:rFonts w:ascii="Arial" w:hAnsi="Arial" w:cs="Arial"/>
          <w:sz w:val="24"/>
          <w:szCs w:val="24"/>
        </w:rPr>
        <w:t>.</w:t>
      </w:r>
    </w:p>
    <w:p w:rsidR="002403F4" w:rsidRPr="00AF60E2" w:rsidP="00BB4417" w14:paraId="049ABE95" w14:textId="77777777">
      <w:pPr>
        <w:pStyle w:val="ListParagraph"/>
        <w:spacing w:line="276" w:lineRule="auto"/>
        <w:rPr>
          <w:rFonts w:ascii="Arial" w:hAnsi="Arial" w:cs="Arial"/>
          <w:sz w:val="24"/>
          <w:szCs w:val="24"/>
        </w:rPr>
      </w:pPr>
    </w:p>
    <w:p w:rsidR="00CC18B7" w:rsidRPr="00AF60E2" w:rsidP="00BB4417" w14:paraId="3F8E1390" w14:textId="77777777">
      <w:pPr>
        <w:spacing w:line="276" w:lineRule="auto"/>
        <w:rPr>
          <w:rFonts w:ascii="Arial" w:hAnsi="Arial" w:cs="Arial"/>
          <w:b/>
          <w:bCs/>
          <w:sz w:val="24"/>
          <w:szCs w:val="24"/>
        </w:rPr>
      </w:pPr>
      <w:r w:rsidRPr="00AF60E2">
        <w:rPr>
          <w:rFonts w:ascii="Arial" w:hAnsi="Arial" w:cs="Arial"/>
          <w:b/>
          <w:bCs/>
          <w:sz w:val="24"/>
          <w:szCs w:val="24"/>
        </w:rPr>
        <w:t xml:space="preserve">The provisional findings on dumping </w:t>
      </w:r>
    </w:p>
    <w:p w:rsidR="00804DFE" w:rsidRPr="00AF60E2" w:rsidP="00BB4417" w14:paraId="48914AB3" w14:textId="77777777">
      <w:pPr>
        <w:spacing w:line="276" w:lineRule="auto"/>
        <w:rPr>
          <w:rFonts w:ascii="Arial" w:hAnsi="Arial" w:cs="Arial"/>
          <w:i/>
          <w:iCs/>
          <w:sz w:val="24"/>
          <w:szCs w:val="24"/>
        </w:rPr>
      </w:pPr>
    </w:p>
    <w:p w:rsidR="00804DFE" w:rsidRPr="00AF60E2" w:rsidP="00BB4417" w14:paraId="08EB8CD9"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The primary legislation is contained in Schedule 4 Taxation (Cross-border Trade Act) 2018 (“the Act”)</w:t>
      </w:r>
      <w:r w:rsidRPr="00AF60E2" w:rsidR="006169EB">
        <w:rPr>
          <w:rFonts w:ascii="Arial" w:hAnsi="Arial" w:cs="Arial"/>
          <w:sz w:val="24"/>
          <w:szCs w:val="24"/>
        </w:rPr>
        <w:t xml:space="preserve"> as follows:</w:t>
      </w:r>
    </w:p>
    <w:p w:rsidR="006169EB" w:rsidRPr="00AF60E2" w:rsidP="00BB4417" w14:paraId="4F870FD0" w14:textId="77777777">
      <w:pPr>
        <w:pStyle w:val="ListParagraph"/>
        <w:spacing w:line="276" w:lineRule="auto"/>
        <w:rPr>
          <w:rFonts w:ascii="Arial" w:hAnsi="Arial" w:cs="Arial"/>
          <w:sz w:val="24"/>
          <w:szCs w:val="24"/>
        </w:rPr>
      </w:pPr>
    </w:p>
    <w:p w:rsidR="00545E9A" w:rsidRPr="00AF60E2" w:rsidP="00BB4417" w14:paraId="0B767422" w14:textId="77777777">
      <w:pPr>
        <w:spacing w:after="0" w:line="276" w:lineRule="auto"/>
        <w:ind w:firstLine="720"/>
        <w:outlineLvl w:val="2"/>
        <w:rPr>
          <w:rFonts w:ascii="Arial" w:eastAsia="Times New Roman" w:hAnsi="Arial" w:cs="Arial"/>
          <w:b/>
          <w:bCs/>
          <w:i/>
          <w:iCs/>
          <w:smallCaps/>
          <w:color w:val="000000"/>
          <w:kern w:val="0"/>
          <w:sz w:val="24"/>
          <w:szCs w:val="24"/>
          <w:lang w:eastAsia="en-GB"/>
          <w14:ligatures w14:val="none"/>
        </w:rPr>
      </w:pPr>
      <w:r w:rsidRPr="00AF60E2">
        <w:rPr>
          <w:rFonts w:ascii="Arial" w:eastAsia="Times New Roman" w:hAnsi="Arial" w:cs="Arial"/>
          <w:b/>
          <w:bCs/>
          <w:i/>
          <w:iCs/>
          <w:smallCaps/>
          <w:color w:val="000000"/>
          <w:kern w:val="0"/>
          <w:sz w:val="24"/>
          <w:szCs w:val="24"/>
          <w:lang w:eastAsia="en-GB"/>
          <w14:ligatures w14:val="none"/>
        </w:rPr>
        <w:t>“</w:t>
      </w:r>
      <w:r w:rsidRPr="006169EB" w:rsidR="006169EB">
        <w:rPr>
          <w:rFonts w:ascii="Arial" w:eastAsia="Times New Roman" w:hAnsi="Arial" w:cs="Arial"/>
          <w:b/>
          <w:bCs/>
          <w:i/>
          <w:iCs/>
          <w:smallCaps/>
          <w:color w:val="000000"/>
          <w:kern w:val="0"/>
          <w:sz w:val="24"/>
          <w:szCs w:val="24"/>
          <w:lang w:eastAsia="en-GB"/>
          <w14:ligatures w14:val="none"/>
        </w:rPr>
        <w:t>PART 1</w:t>
      </w:r>
    </w:p>
    <w:p w:rsidR="006169EB" w:rsidRPr="006169EB" w:rsidP="00BB4417" w14:paraId="5A520076" w14:textId="77777777">
      <w:pPr>
        <w:spacing w:after="0" w:line="276" w:lineRule="auto"/>
        <w:ind w:firstLine="720"/>
        <w:outlineLvl w:val="2"/>
        <w:rPr>
          <w:rFonts w:ascii="Arial" w:eastAsia="Times New Roman" w:hAnsi="Arial" w:cs="Arial"/>
          <w:i/>
          <w:iCs/>
          <w:color w:val="000000"/>
          <w:kern w:val="0"/>
          <w:sz w:val="24"/>
          <w:szCs w:val="24"/>
          <w:lang w:eastAsia="en-GB"/>
          <w14:ligatures w14:val="none"/>
        </w:rPr>
      </w:pPr>
      <w:r w:rsidRPr="006169EB">
        <w:rPr>
          <w:rFonts w:ascii="Arial" w:eastAsia="Times New Roman" w:hAnsi="Arial" w:cs="Arial"/>
          <w:i/>
          <w:iCs/>
          <w:smallCaps/>
          <w:color w:val="000000"/>
          <w:kern w:val="0"/>
          <w:sz w:val="24"/>
          <w:szCs w:val="24"/>
          <w:lang w:eastAsia="en-GB"/>
          <w14:ligatures w14:val="none"/>
        </w:rPr>
        <w:t xml:space="preserve">Key </w:t>
      </w:r>
      <w:r w:rsidRPr="006169EB">
        <w:rPr>
          <w:rFonts w:ascii="Arial" w:eastAsia="Times New Roman" w:hAnsi="Arial" w:cs="Arial"/>
          <w:i/>
          <w:iCs/>
          <w:smallCaps/>
          <w:color w:val="000000"/>
          <w:kern w:val="0"/>
          <w:sz w:val="24"/>
          <w:szCs w:val="24"/>
          <w:lang w:eastAsia="en-GB"/>
          <w14:ligatures w14:val="none"/>
        </w:rPr>
        <w:t>definitions</w:t>
      </w:r>
    </w:p>
    <w:p w:rsidR="006169EB" w:rsidRPr="006169EB" w:rsidP="00BB4417" w14:paraId="16E88CFB" w14:textId="77777777">
      <w:pPr>
        <w:shd w:val="clear" w:color="auto" w:fill="FFFFFF"/>
        <w:spacing w:after="240" w:line="276" w:lineRule="auto"/>
        <w:ind w:firstLine="720"/>
        <w:outlineLvl w:val="3"/>
        <w:rPr>
          <w:rFonts w:ascii="Arial" w:eastAsia="Times New Roman" w:hAnsi="Arial" w:cs="Arial"/>
          <w:i/>
          <w:iCs/>
          <w:color w:val="000000"/>
          <w:kern w:val="0"/>
          <w:sz w:val="24"/>
          <w:szCs w:val="24"/>
          <w:lang w:eastAsia="en-GB"/>
          <w14:ligatures w14:val="none"/>
        </w:rPr>
      </w:pPr>
      <w:r w:rsidRPr="006169EB">
        <w:rPr>
          <w:rFonts w:ascii="Arial" w:eastAsia="Times New Roman" w:hAnsi="Arial" w:cs="Arial"/>
          <w:i/>
          <w:iCs/>
          <w:color w:val="000000"/>
          <w:kern w:val="0"/>
          <w:sz w:val="24"/>
          <w:szCs w:val="24"/>
          <w:lang w:eastAsia="en-GB"/>
          <w14:ligatures w14:val="none"/>
        </w:rPr>
        <w:t>Meaning of “dumped”</w:t>
      </w:r>
    </w:p>
    <w:p w:rsidR="006169EB" w:rsidRPr="006169EB" w:rsidP="00BB4417" w14:paraId="7275320D" w14:textId="77777777">
      <w:pPr>
        <w:shd w:val="clear" w:color="auto" w:fill="FFFFFF"/>
        <w:spacing w:after="120" w:line="276" w:lineRule="auto"/>
        <w:ind w:left="720"/>
        <w:rPr>
          <w:rFonts w:ascii="Arial" w:eastAsia="Times New Roman" w:hAnsi="Arial" w:cs="Arial"/>
          <w:i/>
          <w:iCs/>
          <w:color w:val="1E1E1E"/>
          <w:kern w:val="0"/>
          <w:sz w:val="24"/>
          <w:szCs w:val="24"/>
          <w:lang w:eastAsia="en-GB"/>
          <w14:ligatures w14:val="none"/>
        </w:rPr>
      </w:pPr>
      <w:r w:rsidRPr="006169EB">
        <w:rPr>
          <w:rFonts w:ascii="Arial" w:eastAsia="Times New Roman" w:hAnsi="Arial" w:cs="Arial"/>
          <w:i/>
          <w:iCs/>
          <w:color w:val="1E1E1E"/>
          <w:kern w:val="0"/>
          <w:sz w:val="24"/>
          <w:szCs w:val="24"/>
          <w:lang w:eastAsia="en-GB"/>
          <w14:ligatures w14:val="none"/>
        </w:rPr>
        <w:t>1(1)For the purposes of this Schedule, goods are “dumped” in the United Kingdom if—</w:t>
      </w:r>
    </w:p>
    <w:p w:rsidR="006169EB" w:rsidRPr="006169EB" w:rsidP="00BB4417" w14:paraId="150E17C2" w14:textId="77777777">
      <w:pPr>
        <w:shd w:val="clear" w:color="auto" w:fill="FFFFFF"/>
        <w:spacing w:after="120" w:line="276" w:lineRule="auto"/>
        <w:ind w:firstLine="720"/>
        <w:rPr>
          <w:rFonts w:ascii="Arial" w:eastAsia="Times New Roman" w:hAnsi="Arial" w:cs="Arial"/>
          <w:i/>
          <w:iCs/>
          <w:color w:val="1E1E1E"/>
          <w:kern w:val="0"/>
          <w:sz w:val="24"/>
          <w:szCs w:val="24"/>
          <w:lang w:eastAsia="en-GB"/>
          <w14:ligatures w14:val="none"/>
        </w:rPr>
      </w:pPr>
      <w:r w:rsidRPr="006169EB">
        <w:rPr>
          <w:rFonts w:ascii="Arial" w:eastAsia="Times New Roman" w:hAnsi="Arial" w:cs="Arial"/>
          <w:i/>
          <w:iCs/>
          <w:color w:val="1E1E1E"/>
          <w:kern w:val="0"/>
          <w:sz w:val="24"/>
          <w:szCs w:val="24"/>
          <w:lang w:eastAsia="en-GB"/>
          <w14:ligatures w14:val="none"/>
        </w:rPr>
        <w:t>(a)they are imported into the United Kingdom, and</w:t>
      </w:r>
    </w:p>
    <w:p w:rsidR="006169EB" w:rsidRPr="006169EB" w:rsidP="00BB4417" w14:paraId="58B22AD7" w14:textId="77777777">
      <w:pPr>
        <w:shd w:val="clear" w:color="auto" w:fill="FFFFFF"/>
        <w:spacing w:after="120" w:line="276" w:lineRule="auto"/>
        <w:ind w:firstLine="720"/>
        <w:rPr>
          <w:rFonts w:ascii="Arial" w:eastAsia="Times New Roman" w:hAnsi="Arial" w:cs="Arial"/>
          <w:i/>
          <w:iCs/>
          <w:color w:val="1E1E1E"/>
          <w:kern w:val="0"/>
          <w:sz w:val="24"/>
          <w:szCs w:val="24"/>
          <w:lang w:eastAsia="en-GB"/>
          <w14:ligatures w14:val="none"/>
        </w:rPr>
      </w:pPr>
      <w:r w:rsidRPr="006169EB">
        <w:rPr>
          <w:rFonts w:ascii="Arial" w:eastAsia="Times New Roman" w:hAnsi="Arial" w:cs="Arial"/>
          <w:i/>
          <w:iCs/>
          <w:color w:val="1E1E1E"/>
          <w:kern w:val="0"/>
          <w:sz w:val="24"/>
          <w:szCs w:val="24"/>
          <w:lang w:eastAsia="en-GB"/>
          <w14:ligatures w14:val="none"/>
        </w:rPr>
        <w:t>(b)their export price is less than their normal value;</w:t>
      </w:r>
    </w:p>
    <w:p w:rsidR="006169EB" w:rsidRPr="006169EB" w:rsidP="00BB4417" w14:paraId="4622713E" w14:textId="77777777">
      <w:pPr>
        <w:shd w:val="clear" w:color="auto" w:fill="FFFFFF"/>
        <w:spacing w:after="120" w:line="276" w:lineRule="auto"/>
        <w:ind w:firstLine="720"/>
        <w:jc w:val="both"/>
        <w:rPr>
          <w:rFonts w:ascii="Arial" w:eastAsia="Times New Roman" w:hAnsi="Arial" w:cs="Arial"/>
          <w:i/>
          <w:iCs/>
          <w:color w:val="1E1E1E"/>
          <w:kern w:val="0"/>
          <w:sz w:val="24"/>
          <w:szCs w:val="24"/>
          <w:lang w:eastAsia="en-GB"/>
          <w14:ligatures w14:val="none"/>
        </w:rPr>
      </w:pPr>
      <w:r w:rsidRPr="006169EB">
        <w:rPr>
          <w:rFonts w:ascii="Arial" w:eastAsia="Times New Roman" w:hAnsi="Arial" w:cs="Arial"/>
          <w:i/>
          <w:iCs/>
          <w:color w:val="1E1E1E"/>
          <w:kern w:val="0"/>
          <w:sz w:val="24"/>
          <w:szCs w:val="24"/>
          <w:lang w:eastAsia="en-GB"/>
          <w14:ligatures w14:val="none"/>
        </w:rPr>
        <w:t xml:space="preserve">and references to the </w:t>
      </w:r>
      <w:r w:rsidRPr="006169EB">
        <w:rPr>
          <w:rFonts w:ascii="Arial" w:eastAsia="Times New Roman" w:hAnsi="Arial" w:cs="Arial"/>
          <w:i/>
          <w:iCs/>
          <w:color w:val="1E1E1E"/>
          <w:kern w:val="0"/>
          <w:sz w:val="24"/>
          <w:szCs w:val="24"/>
          <w:lang w:eastAsia="en-GB"/>
          <w14:ligatures w14:val="none"/>
        </w:rPr>
        <w:t>“dumping” of goods are to be read accordingly.</w:t>
      </w:r>
    </w:p>
    <w:p w:rsidR="006169EB" w:rsidRPr="006169EB" w:rsidP="00BB4417" w14:paraId="325F2A05" w14:textId="77777777">
      <w:pPr>
        <w:shd w:val="clear" w:color="auto" w:fill="FFFFFF"/>
        <w:spacing w:after="120" w:line="276" w:lineRule="auto"/>
        <w:ind w:firstLine="720"/>
        <w:rPr>
          <w:rFonts w:ascii="Arial" w:eastAsia="Times New Roman" w:hAnsi="Arial" w:cs="Arial"/>
          <w:i/>
          <w:iCs/>
          <w:color w:val="1E1E1E"/>
          <w:kern w:val="0"/>
          <w:sz w:val="24"/>
          <w:szCs w:val="24"/>
          <w:lang w:eastAsia="en-GB"/>
          <w14:ligatures w14:val="none"/>
        </w:rPr>
      </w:pPr>
      <w:r w:rsidRPr="006169EB">
        <w:rPr>
          <w:rFonts w:ascii="Arial" w:eastAsia="Times New Roman" w:hAnsi="Arial" w:cs="Arial"/>
          <w:i/>
          <w:iCs/>
          <w:color w:val="1E1E1E"/>
          <w:kern w:val="0"/>
          <w:sz w:val="24"/>
          <w:szCs w:val="24"/>
          <w:lang w:eastAsia="en-GB"/>
          <w14:ligatures w14:val="none"/>
        </w:rPr>
        <w:t>(2)The “normal value” of goods means—</w:t>
      </w:r>
    </w:p>
    <w:p w:rsidR="006169EB" w:rsidRPr="006169EB" w:rsidP="00BB4417" w14:paraId="07DBDB22" w14:textId="77777777">
      <w:pPr>
        <w:shd w:val="clear" w:color="auto" w:fill="FFFFFF"/>
        <w:spacing w:after="120" w:line="276" w:lineRule="auto"/>
        <w:ind w:left="720"/>
        <w:rPr>
          <w:rFonts w:ascii="Arial" w:eastAsia="Times New Roman" w:hAnsi="Arial" w:cs="Arial"/>
          <w:i/>
          <w:iCs/>
          <w:color w:val="1E1E1E"/>
          <w:kern w:val="0"/>
          <w:sz w:val="24"/>
          <w:szCs w:val="24"/>
          <w:lang w:eastAsia="en-GB"/>
          <w14:ligatures w14:val="none"/>
        </w:rPr>
      </w:pPr>
      <w:r w:rsidRPr="006169EB">
        <w:rPr>
          <w:rFonts w:ascii="Arial" w:eastAsia="Times New Roman" w:hAnsi="Arial" w:cs="Arial"/>
          <w:i/>
          <w:iCs/>
          <w:color w:val="1E1E1E"/>
          <w:kern w:val="0"/>
          <w:sz w:val="24"/>
          <w:szCs w:val="24"/>
          <w:lang w:eastAsia="en-GB"/>
          <w14:ligatures w14:val="none"/>
        </w:rPr>
        <w:t>(a)the comparable price, in the ordinary course of trade, for like goods (see paragraph 7) when destined for consumption in the exporting foreign country or territory, or</w:t>
      </w:r>
    </w:p>
    <w:p w:rsidR="006169EB" w:rsidRPr="006169EB" w:rsidP="00BB4417" w14:paraId="18726E9C" w14:textId="77777777">
      <w:pPr>
        <w:shd w:val="clear" w:color="auto" w:fill="FFFFFF"/>
        <w:spacing w:after="120" w:line="276" w:lineRule="auto"/>
        <w:ind w:left="720"/>
        <w:rPr>
          <w:rFonts w:ascii="Arial" w:eastAsia="Times New Roman" w:hAnsi="Arial" w:cs="Arial"/>
          <w:i/>
          <w:iCs/>
          <w:color w:val="1E1E1E"/>
          <w:kern w:val="0"/>
          <w:sz w:val="24"/>
          <w:szCs w:val="24"/>
          <w:lang w:eastAsia="en-GB"/>
          <w14:ligatures w14:val="none"/>
        </w:rPr>
      </w:pPr>
      <w:r w:rsidRPr="006169EB">
        <w:rPr>
          <w:rFonts w:ascii="Arial" w:eastAsia="Times New Roman" w:hAnsi="Arial" w:cs="Arial"/>
          <w:i/>
          <w:iCs/>
          <w:color w:val="1E1E1E"/>
          <w:kern w:val="0"/>
          <w:sz w:val="24"/>
          <w:szCs w:val="24"/>
          <w:lang w:eastAsia="en-GB"/>
          <w14:ligatures w14:val="none"/>
        </w:rPr>
        <w:t>(b)such other price or value as may be determined in accordance with provision made by regulations for specified cases where it is not appropriate to use the price in paragraph (a).</w:t>
      </w:r>
    </w:p>
    <w:p w:rsidR="006169EB" w:rsidRPr="006169EB" w:rsidP="00BB4417" w14:paraId="790A268B" w14:textId="77777777">
      <w:pPr>
        <w:shd w:val="clear" w:color="auto" w:fill="FFFFFF"/>
        <w:spacing w:after="120" w:line="276" w:lineRule="auto"/>
        <w:ind w:firstLine="720"/>
        <w:rPr>
          <w:rFonts w:ascii="Arial" w:eastAsia="Times New Roman" w:hAnsi="Arial" w:cs="Arial"/>
          <w:i/>
          <w:iCs/>
          <w:color w:val="1E1E1E"/>
          <w:kern w:val="0"/>
          <w:sz w:val="24"/>
          <w:szCs w:val="24"/>
          <w:lang w:eastAsia="en-GB"/>
          <w14:ligatures w14:val="none"/>
        </w:rPr>
      </w:pPr>
      <w:r w:rsidRPr="006169EB">
        <w:rPr>
          <w:rFonts w:ascii="Arial" w:eastAsia="Times New Roman" w:hAnsi="Arial" w:cs="Arial"/>
          <w:i/>
          <w:iCs/>
          <w:color w:val="1E1E1E"/>
          <w:kern w:val="0"/>
          <w:sz w:val="24"/>
          <w:szCs w:val="24"/>
          <w:lang w:eastAsia="en-GB"/>
          <w14:ligatures w14:val="none"/>
        </w:rPr>
        <w:t>(3)Regulations may make provision for the purposes of this paragraph—</w:t>
      </w:r>
    </w:p>
    <w:p w:rsidR="006169EB" w:rsidRPr="006169EB" w:rsidP="00BB4417" w14:paraId="15759477" w14:textId="77777777">
      <w:pPr>
        <w:shd w:val="clear" w:color="auto" w:fill="FFFFFF"/>
        <w:spacing w:after="120" w:line="276" w:lineRule="auto"/>
        <w:ind w:firstLine="720"/>
        <w:rPr>
          <w:rFonts w:ascii="Arial" w:eastAsia="Times New Roman" w:hAnsi="Arial" w:cs="Arial"/>
          <w:i/>
          <w:iCs/>
          <w:color w:val="1E1E1E"/>
          <w:kern w:val="0"/>
          <w:sz w:val="24"/>
          <w:szCs w:val="24"/>
          <w:lang w:eastAsia="en-GB"/>
          <w14:ligatures w14:val="none"/>
        </w:rPr>
      </w:pPr>
      <w:r w:rsidRPr="006169EB">
        <w:rPr>
          <w:rFonts w:ascii="Arial" w:eastAsia="Times New Roman" w:hAnsi="Arial" w:cs="Arial"/>
          <w:i/>
          <w:iCs/>
          <w:color w:val="1E1E1E"/>
          <w:kern w:val="0"/>
          <w:sz w:val="24"/>
          <w:szCs w:val="24"/>
          <w:lang w:eastAsia="en-GB"/>
          <w14:ligatures w14:val="none"/>
        </w:rPr>
        <w:t>(a)about what constitutes or does not constitute—</w:t>
      </w:r>
    </w:p>
    <w:p w:rsidR="006169EB" w:rsidRPr="006169EB" w:rsidP="00BB4417" w14:paraId="5ACD5758" w14:textId="77777777">
      <w:pPr>
        <w:shd w:val="clear" w:color="auto" w:fill="FFFFFF"/>
        <w:spacing w:after="120" w:line="276" w:lineRule="auto"/>
        <w:ind w:firstLine="720"/>
        <w:rPr>
          <w:rFonts w:ascii="Arial" w:eastAsia="Times New Roman" w:hAnsi="Arial" w:cs="Arial"/>
          <w:i/>
          <w:iCs/>
          <w:color w:val="1E1E1E"/>
          <w:kern w:val="0"/>
          <w:sz w:val="24"/>
          <w:szCs w:val="24"/>
          <w:lang w:eastAsia="en-GB"/>
          <w14:ligatures w14:val="none"/>
        </w:rPr>
      </w:pPr>
      <w:r w:rsidRPr="006169EB">
        <w:rPr>
          <w:rFonts w:ascii="Arial" w:eastAsia="Times New Roman" w:hAnsi="Arial" w:cs="Arial"/>
          <w:i/>
          <w:iCs/>
          <w:color w:val="1E1E1E"/>
          <w:kern w:val="0"/>
          <w:sz w:val="24"/>
          <w:szCs w:val="24"/>
          <w:lang w:eastAsia="en-GB"/>
          <w14:ligatures w14:val="none"/>
        </w:rPr>
        <w:t>(</w:t>
      </w:r>
      <w:r w:rsidRPr="006169EB">
        <w:rPr>
          <w:rFonts w:ascii="Arial" w:eastAsia="Times New Roman" w:hAnsi="Arial" w:cs="Arial"/>
          <w:i/>
          <w:iCs/>
          <w:color w:val="1E1E1E"/>
          <w:kern w:val="0"/>
          <w:sz w:val="24"/>
          <w:szCs w:val="24"/>
          <w:lang w:eastAsia="en-GB"/>
          <w14:ligatures w14:val="none"/>
        </w:rPr>
        <w:t>i</w:t>
      </w:r>
      <w:r w:rsidRPr="006169EB">
        <w:rPr>
          <w:rFonts w:ascii="Arial" w:eastAsia="Times New Roman" w:hAnsi="Arial" w:cs="Arial"/>
          <w:i/>
          <w:iCs/>
          <w:color w:val="1E1E1E"/>
          <w:kern w:val="0"/>
          <w:sz w:val="24"/>
          <w:szCs w:val="24"/>
          <w:lang w:eastAsia="en-GB"/>
          <w14:ligatures w14:val="none"/>
        </w:rPr>
        <w:t>)the “export price” of goods;</w:t>
      </w:r>
    </w:p>
    <w:p w:rsidR="006169EB" w:rsidRPr="006169EB" w:rsidP="00BB4417" w14:paraId="129CBB11" w14:textId="77777777">
      <w:pPr>
        <w:shd w:val="clear" w:color="auto" w:fill="FFFFFF"/>
        <w:spacing w:after="120" w:line="276" w:lineRule="auto"/>
        <w:ind w:firstLine="720"/>
        <w:rPr>
          <w:rFonts w:ascii="Arial" w:eastAsia="Times New Roman" w:hAnsi="Arial" w:cs="Arial"/>
          <w:i/>
          <w:iCs/>
          <w:color w:val="1E1E1E"/>
          <w:kern w:val="0"/>
          <w:sz w:val="24"/>
          <w:szCs w:val="24"/>
          <w:lang w:eastAsia="en-GB"/>
          <w14:ligatures w14:val="none"/>
        </w:rPr>
      </w:pPr>
      <w:r w:rsidRPr="006169EB">
        <w:rPr>
          <w:rFonts w:ascii="Arial" w:eastAsia="Times New Roman" w:hAnsi="Arial" w:cs="Arial"/>
          <w:i/>
          <w:iCs/>
          <w:color w:val="1E1E1E"/>
          <w:kern w:val="0"/>
          <w:sz w:val="24"/>
          <w:szCs w:val="24"/>
          <w:lang w:eastAsia="en-GB"/>
          <w14:ligatures w14:val="none"/>
        </w:rPr>
        <w:t>(ii)“the comparable price”;</w:t>
      </w:r>
    </w:p>
    <w:p w:rsidR="006169EB" w:rsidRPr="006169EB" w:rsidP="00BB4417" w14:paraId="21C12477" w14:textId="77777777">
      <w:pPr>
        <w:shd w:val="clear" w:color="auto" w:fill="FFFFFF"/>
        <w:spacing w:after="120" w:line="276" w:lineRule="auto"/>
        <w:ind w:firstLine="720"/>
        <w:rPr>
          <w:rFonts w:ascii="Arial" w:eastAsia="Times New Roman" w:hAnsi="Arial" w:cs="Arial"/>
          <w:i/>
          <w:iCs/>
          <w:color w:val="1E1E1E"/>
          <w:kern w:val="0"/>
          <w:sz w:val="24"/>
          <w:szCs w:val="24"/>
          <w:lang w:eastAsia="en-GB"/>
          <w14:ligatures w14:val="none"/>
        </w:rPr>
      </w:pPr>
      <w:r w:rsidRPr="006169EB">
        <w:rPr>
          <w:rFonts w:ascii="Arial" w:eastAsia="Times New Roman" w:hAnsi="Arial" w:cs="Arial"/>
          <w:i/>
          <w:iCs/>
          <w:color w:val="1E1E1E"/>
          <w:kern w:val="0"/>
          <w:sz w:val="24"/>
          <w:szCs w:val="24"/>
          <w:lang w:eastAsia="en-GB"/>
          <w14:ligatures w14:val="none"/>
        </w:rPr>
        <w:t>(iii)“in the ordinary course of trade”;</w:t>
      </w:r>
    </w:p>
    <w:p w:rsidR="006169EB" w:rsidRPr="006169EB" w:rsidP="00BB4417" w14:paraId="09A09FEF" w14:textId="77777777">
      <w:pPr>
        <w:shd w:val="clear" w:color="auto" w:fill="FFFFFF"/>
        <w:spacing w:after="120" w:line="276" w:lineRule="auto"/>
        <w:ind w:firstLine="720"/>
        <w:rPr>
          <w:rFonts w:ascii="Arial" w:eastAsia="Times New Roman" w:hAnsi="Arial" w:cs="Arial"/>
          <w:i/>
          <w:iCs/>
          <w:color w:val="1E1E1E"/>
          <w:kern w:val="0"/>
          <w:sz w:val="24"/>
          <w:szCs w:val="24"/>
          <w:lang w:eastAsia="en-GB"/>
          <w14:ligatures w14:val="none"/>
        </w:rPr>
      </w:pPr>
      <w:r w:rsidRPr="006169EB">
        <w:rPr>
          <w:rFonts w:ascii="Arial" w:eastAsia="Times New Roman" w:hAnsi="Arial" w:cs="Arial"/>
          <w:i/>
          <w:iCs/>
          <w:color w:val="1E1E1E"/>
          <w:kern w:val="0"/>
          <w:sz w:val="24"/>
          <w:szCs w:val="24"/>
          <w:lang w:eastAsia="en-GB"/>
          <w14:ligatures w14:val="none"/>
        </w:rPr>
        <w:t>(iv)“the exporting foreign country or territory”;</w:t>
      </w:r>
    </w:p>
    <w:p w:rsidR="006169EB" w:rsidRPr="006169EB" w:rsidP="00BB4417" w14:paraId="722437DD" w14:textId="77777777">
      <w:pPr>
        <w:shd w:val="clear" w:color="auto" w:fill="FFFFFF"/>
        <w:spacing w:after="120" w:line="276" w:lineRule="auto"/>
        <w:ind w:firstLine="720"/>
        <w:rPr>
          <w:rFonts w:ascii="Arial" w:eastAsia="Times New Roman" w:hAnsi="Arial" w:cs="Arial"/>
          <w:i/>
          <w:iCs/>
          <w:color w:val="1E1E1E"/>
          <w:kern w:val="0"/>
          <w:sz w:val="24"/>
          <w:szCs w:val="24"/>
          <w:lang w:eastAsia="en-GB"/>
          <w14:ligatures w14:val="none"/>
        </w:rPr>
      </w:pPr>
      <w:r w:rsidRPr="006169EB">
        <w:rPr>
          <w:rFonts w:ascii="Arial" w:eastAsia="Times New Roman" w:hAnsi="Arial" w:cs="Arial"/>
          <w:i/>
          <w:iCs/>
          <w:color w:val="1E1E1E"/>
          <w:kern w:val="0"/>
          <w:sz w:val="24"/>
          <w:szCs w:val="24"/>
          <w:lang w:eastAsia="en-GB"/>
          <w14:ligatures w14:val="none"/>
        </w:rPr>
        <w:t>(b)about how any of those matters are to be determined;</w:t>
      </w:r>
    </w:p>
    <w:p w:rsidR="006169EB" w:rsidRPr="006169EB" w:rsidP="00BB4417" w14:paraId="72800148" w14:textId="77777777">
      <w:pPr>
        <w:shd w:val="clear" w:color="auto" w:fill="FFFFFF"/>
        <w:spacing w:after="120" w:line="276" w:lineRule="auto"/>
        <w:ind w:left="720"/>
        <w:rPr>
          <w:rFonts w:ascii="Arial" w:eastAsia="Times New Roman" w:hAnsi="Arial" w:cs="Arial"/>
          <w:i/>
          <w:iCs/>
          <w:color w:val="1E1E1E"/>
          <w:kern w:val="0"/>
          <w:sz w:val="24"/>
          <w:szCs w:val="24"/>
          <w:lang w:eastAsia="en-GB"/>
          <w14:ligatures w14:val="none"/>
        </w:rPr>
      </w:pPr>
      <w:r w:rsidRPr="006169EB">
        <w:rPr>
          <w:rFonts w:ascii="Arial" w:eastAsia="Times New Roman" w:hAnsi="Arial" w:cs="Arial"/>
          <w:i/>
          <w:iCs/>
          <w:color w:val="1E1E1E"/>
          <w:kern w:val="0"/>
          <w:sz w:val="24"/>
          <w:szCs w:val="24"/>
          <w:lang w:eastAsia="en-GB"/>
          <w14:ligatures w14:val="none"/>
        </w:rPr>
        <w:t>(c)to ensure that a fair comparison is made between the export price of goods and their normal value;</w:t>
      </w:r>
    </w:p>
    <w:p w:rsidR="006169EB" w:rsidRPr="00AF60E2" w:rsidP="00BB4417" w14:paraId="33BE2BDB" w14:textId="77777777">
      <w:pPr>
        <w:shd w:val="clear" w:color="auto" w:fill="FFFFFF"/>
        <w:spacing w:after="120" w:line="276" w:lineRule="auto"/>
        <w:ind w:left="720"/>
        <w:rPr>
          <w:rFonts w:ascii="Arial" w:eastAsia="Times New Roman" w:hAnsi="Arial" w:cs="Arial"/>
          <w:i/>
          <w:iCs/>
          <w:color w:val="1E1E1E"/>
          <w:kern w:val="0"/>
          <w:sz w:val="24"/>
          <w:szCs w:val="24"/>
          <w:lang w:eastAsia="en-GB"/>
          <w14:ligatures w14:val="none"/>
        </w:rPr>
      </w:pPr>
      <w:r w:rsidRPr="006169EB">
        <w:rPr>
          <w:rFonts w:ascii="Arial" w:eastAsia="Times New Roman" w:hAnsi="Arial" w:cs="Arial"/>
          <w:i/>
          <w:iCs/>
          <w:color w:val="1E1E1E"/>
          <w:kern w:val="0"/>
          <w:sz w:val="24"/>
          <w:szCs w:val="24"/>
          <w:lang w:eastAsia="en-GB"/>
          <w14:ligatures w14:val="none"/>
        </w:rPr>
        <w:t>(d)about the use of sampling to determine the export price or normal value of goods.</w:t>
      </w:r>
      <w:r w:rsidRPr="00AF60E2" w:rsidR="0035686E">
        <w:rPr>
          <w:rFonts w:ascii="Arial" w:eastAsia="Times New Roman" w:hAnsi="Arial" w:cs="Arial"/>
          <w:i/>
          <w:iCs/>
          <w:color w:val="1E1E1E"/>
          <w:kern w:val="0"/>
          <w:sz w:val="24"/>
          <w:szCs w:val="24"/>
          <w:lang w:eastAsia="en-GB"/>
          <w14:ligatures w14:val="none"/>
        </w:rPr>
        <w:t>”</w:t>
      </w:r>
    </w:p>
    <w:p w:rsidR="00936519" w:rsidRPr="00AF60E2" w:rsidP="00BB4417" w14:paraId="21A53E69" w14:textId="77777777">
      <w:pPr>
        <w:shd w:val="clear" w:color="auto" w:fill="FFFFFF"/>
        <w:spacing w:after="120" w:line="276" w:lineRule="auto"/>
        <w:rPr>
          <w:rFonts w:ascii="Arial" w:eastAsia="Times New Roman" w:hAnsi="Arial" w:cs="Arial"/>
          <w:i/>
          <w:iCs/>
          <w:color w:val="1E1E1E"/>
          <w:kern w:val="0"/>
          <w:sz w:val="24"/>
          <w:szCs w:val="24"/>
          <w:lang w:eastAsia="en-GB"/>
          <w14:ligatures w14:val="none"/>
        </w:rPr>
      </w:pPr>
    </w:p>
    <w:p w:rsidR="00936519" w:rsidRPr="00936519" w:rsidP="00BB4417" w14:paraId="5B58116B" w14:textId="77777777">
      <w:pPr>
        <w:shd w:val="clear" w:color="auto" w:fill="FFFFFF"/>
        <w:spacing w:after="240" w:line="276" w:lineRule="auto"/>
        <w:ind w:firstLine="720"/>
        <w:outlineLvl w:val="3"/>
        <w:rPr>
          <w:rFonts w:ascii="Arial" w:eastAsia="Times New Roman" w:hAnsi="Arial" w:cs="Arial"/>
          <w:color w:val="000000"/>
          <w:kern w:val="0"/>
          <w:sz w:val="24"/>
          <w:szCs w:val="24"/>
          <w:lang w:eastAsia="en-GB"/>
          <w14:ligatures w14:val="none"/>
        </w:rPr>
      </w:pPr>
      <w:r w:rsidRPr="00936519">
        <w:rPr>
          <w:rFonts w:ascii="Arial" w:eastAsia="Times New Roman" w:hAnsi="Arial" w:cs="Arial"/>
          <w:i/>
          <w:iCs/>
          <w:color w:val="000000"/>
          <w:kern w:val="0"/>
          <w:sz w:val="24"/>
          <w:szCs w:val="24"/>
          <w:lang w:eastAsia="en-GB"/>
          <w14:ligatures w14:val="none"/>
        </w:rPr>
        <w:t>Meaning of “the margin of dumping”</w:t>
      </w:r>
    </w:p>
    <w:p w:rsidR="00936519" w:rsidRPr="00936519" w:rsidP="00BB4417" w14:paraId="5CA11674" w14:textId="77777777">
      <w:pPr>
        <w:shd w:val="clear" w:color="auto" w:fill="FFFFFF"/>
        <w:spacing w:after="120" w:line="276" w:lineRule="auto"/>
        <w:ind w:left="720"/>
        <w:rPr>
          <w:rFonts w:ascii="Arial" w:eastAsia="Times New Roman" w:hAnsi="Arial" w:cs="Arial"/>
          <w:color w:val="1E1E1E"/>
          <w:kern w:val="0"/>
          <w:sz w:val="24"/>
          <w:szCs w:val="24"/>
          <w:lang w:eastAsia="en-GB"/>
          <w14:ligatures w14:val="none"/>
        </w:rPr>
      </w:pPr>
      <w:r w:rsidRPr="00936519">
        <w:rPr>
          <w:rFonts w:ascii="Arial" w:eastAsia="Times New Roman" w:hAnsi="Arial" w:cs="Arial"/>
          <w:color w:val="1E1E1E"/>
          <w:kern w:val="0"/>
          <w:sz w:val="24"/>
          <w:szCs w:val="24"/>
          <w:lang w:eastAsia="en-GB"/>
          <w14:ligatures w14:val="none"/>
        </w:rPr>
        <w:t>2</w:t>
      </w:r>
      <w:r w:rsidRPr="00AF60E2">
        <w:rPr>
          <w:rFonts w:ascii="Arial" w:eastAsia="Times New Roman" w:hAnsi="Arial" w:cs="Arial"/>
          <w:color w:val="1E1E1E"/>
          <w:kern w:val="0"/>
          <w:sz w:val="24"/>
          <w:szCs w:val="24"/>
          <w:lang w:eastAsia="en-GB"/>
          <w14:ligatures w14:val="none"/>
        </w:rPr>
        <w:t xml:space="preserve">. </w:t>
      </w:r>
      <w:r w:rsidRPr="00936519">
        <w:rPr>
          <w:rFonts w:ascii="Arial" w:eastAsia="Times New Roman" w:hAnsi="Arial" w:cs="Arial"/>
          <w:color w:val="1E1E1E"/>
          <w:kern w:val="0"/>
          <w:sz w:val="24"/>
          <w:szCs w:val="24"/>
          <w:lang w:eastAsia="en-GB"/>
          <w14:ligatures w14:val="none"/>
        </w:rPr>
        <w:t xml:space="preserve">For the purposes of this </w:t>
      </w:r>
      <w:r w:rsidRPr="00936519">
        <w:rPr>
          <w:rFonts w:ascii="Arial" w:eastAsia="Times New Roman" w:hAnsi="Arial" w:cs="Arial"/>
          <w:color w:val="1E1E1E"/>
          <w:kern w:val="0"/>
          <w:sz w:val="24"/>
          <w:szCs w:val="24"/>
          <w:lang w:eastAsia="en-GB"/>
          <w14:ligatures w14:val="none"/>
        </w:rPr>
        <w:t>Schedule, “the margin of dumping”, in relation to goods, means the amount which is the difference between—</w:t>
      </w:r>
    </w:p>
    <w:p w:rsidR="00936519" w:rsidRPr="00936519" w:rsidP="00BB4417" w14:paraId="2AE73F27" w14:textId="77777777">
      <w:pPr>
        <w:shd w:val="clear" w:color="auto" w:fill="FFFFFF"/>
        <w:spacing w:after="120" w:line="276" w:lineRule="auto"/>
        <w:ind w:firstLine="720"/>
        <w:rPr>
          <w:rFonts w:ascii="Arial" w:eastAsia="Times New Roman" w:hAnsi="Arial" w:cs="Arial"/>
          <w:color w:val="1E1E1E"/>
          <w:kern w:val="0"/>
          <w:sz w:val="24"/>
          <w:szCs w:val="24"/>
          <w:lang w:eastAsia="en-GB"/>
          <w14:ligatures w14:val="none"/>
        </w:rPr>
      </w:pPr>
      <w:r w:rsidRPr="00936519">
        <w:rPr>
          <w:rFonts w:ascii="Arial" w:eastAsia="Times New Roman" w:hAnsi="Arial" w:cs="Arial"/>
          <w:color w:val="1E1E1E"/>
          <w:kern w:val="0"/>
          <w:sz w:val="24"/>
          <w:szCs w:val="24"/>
          <w:lang w:eastAsia="en-GB"/>
          <w14:ligatures w14:val="none"/>
        </w:rPr>
        <w:t>(a)their export price as determined in accordance with paragraph 1, and</w:t>
      </w:r>
    </w:p>
    <w:p w:rsidR="00936519" w:rsidRPr="00936519" w:rsidP="00BB4417" w14:paraId="046E7AF0" w14:textId="77777777">
      <w:pPr>
        <w:shd w:val="clear" w:color="auto" w:fill="FFFFFF"/>
        <w:spacing w:after="120" w:line="276" w:lineRule="auto"/>
        <w:ind w:firstLine="720"/>
        <w:rPr>
          <w:rFonts w:ascii="Arial" w:eastAsia="Times New Roman" w:hAnsi="Arial" w:cs="Arial"/>
          <w:color w:val="1E1E1E"/>
          <w:kern w:val="0"/>
          <w:sz w:val="24"/>
          <w:szCs w:val="24"/>
          <w:lang w:eastAsia="en-GB"/>
          <w14:ligatures w14:val="none"/>
        </w:rPr>
      </w:pPr>
      <w:r w:rsidRPr="00936519">
        <w:rPr>
          <w:rFonts w:ascii="Arial" w:eastAsia="Times New Roman" w:hAnsi="Arial" w:cs="Arial"/>
          <w:color w:val="1E1E1E"/>
          <w:kern w:val="0"/>
          <w:sz w:val="24"/>
          <w:szCs w:val="24"/>
          <w:lang w:eastAsia="en-GB"/>
          <w14:ligatures w14:val="none"/>
        </w:rPr>
        <w:t>(b)their normal value as determined in accordance with that paragraph.</w:t>
      </w:r>
      <w:r w:rsidRPr="00AF60E2" w:rsidR="005C0701">
        <w:rPr>
          <w:rFonts w:ascii="Arial" w:eastAsia="Times New Roman" w:hAnsi="Arial" w:cs="Arial"/>
          <w:color w:val="1E1E1E"/>
          <w:kern w:val="0"/>
          <w:sz w:val="24"/>
          <w:szCs w:val="24"/>
          <w:lang w:eastAsia="en-GB"/>
          <w14:ligatures w14:val="none"/>
        </w:rPr>
        <w:t>”</w:t>
      </w:r>
    </w:p>
    <w:p w:rsidR="00CC18B7" w:rsidRPr="00AF60E2" w:rsidP="00BB4417" w14:paraId="1D6EEC68" w14:textId="77777777">
      <w:pPr>
        <w:spacing w:line="276" w:lineRule="auto"/>
        <w:rPr>
          <w:rFonts w:ascii="Arial" w:hAnsi="Arial" w:cs="Arial"/>
          <w:sz w:val="24"/>
          <w:szCs w:val="24"/>
        </w:rPr>
      </w:pPr>
    </w:p>
    <w:p w:rsidR="0035686E" w:rsidRPr="00AF60E2" w:rsidP="00BB4417" w14:paraId="4370137E"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 xml:space="preserve">The </w:t>
      </w:r>
      <w:r w:rsidRPr="00AF60E2" w:rsidR="00672F8D">
        <w:rPr>
          <w:rFonts w:ascii="Arial" w:hAnsi="Arial" w:cs="Arial"/>
          <w:sz w:val="24"/>
          <w:szCs w:val="24"/>
        </w:rPr>
        <w:t xml:space="preserve">Trade </w:t>
      </w:r>
      <w:r w:rsidRPr="00AF60E2" w:rsidR="008D0090">
        <w:rPr>
          <w:rFonts w:ascii="Arial" w:hAnsi="Arial" w:cs="Arial"/>
          <w:sz w:val="24"/>
          <w:szCs w:val="24"/>
        </w:rPr>
        <w:t xml:space="preserve">Remedies (Dumping and Subsidisation) (EU Exit) Regulations </w:t>
      </w:r>
      <w:r w:rsidRPr="00AF60E2" w:rsidR="00E96C18">
        <w:rPr>
          <w:rFonts w:ascii="Arial" w:hAnsi="Arial" w:cs="Arial"/>
          <w:sz w:val="24"/>
          <w:szCs w:val="24"/>
        </w:rPr>
        <w:t xml:space="preserve">2019 </w:t>
      </w:r>
      <w:r w:rsidRPr="00AF60E2" w:rsidR="00A90DF0">
        <w:rPr>
          <w:rFonts w:ascii="Arial" w:hAnsi="Arial" w:cs="Arial"/>
          <w:sz w:val="24"/>
          <w:szCs w:val="24"/>
        </w:rPr>
        <w:t xml:space="preserve">(“the </w:t>
      </w:r>
      <w:r w:rsidRPr="00AF60E2" w:rsidR="00AD2668">
        <w:rPr>
          <w:rFonts w:ascii="Arial" w:hAnsi="Arial" w:cs="Arial"/>
          <w:sz w:val="24"/>
          <w:szCs w:val="24"/>
        </w:rPr>
        <w:t xml:space="preserve">Regulations”) </w:t>
      </w:r>
      <w:r w:rsidRPr="00AF60E2" w:rsidR="00E96C18">
        <w:rPr>
          <w:rFonts w:ascii="Arial" w:hAnsi="Arial" w:cs="Arial"/>
          <w:sz w:val="24"/>
          <w:szCs w:val="24"/>
        </w:rPr>
        <w:t xml:space="preserve">provide the additional framework within which </w:t>
      </w:r>
      <w:r w:rsidRPr="00AF60E2" w:rsidR="00EF3CA1">
        <w:rPr>
          <w:rFonts w:ascii="Arial" w:hAnsi="Arial" w:cs="Arial"/>
          <w:sz w:val="24"/>
          <w:szCs w:val="24"/>
        </w:rPr>
        <w:t xml:space="preserve">the TRA have assessed the question of </w:t>
      </w:r>
      <w:r w:rsidRPr="00AF60E2" w:rsidR="00126358">
        <w:rPr>
          <w:rFonts w:ascii="Arial" w:hAnsi="Arial" w:cs="Arial"/>
          <w:sz w:val="24"/>
          <w:szCs w:val="24"/>
        </w:rPr>
        <w:t xml:space="preserve">whether </w:t>
      </w:r>
      <w:r w:rsidRPr="00AF60E2" w:rsidR="00EF3CA1">
        <w:rPr>
          <w:rFonts w:ascii="Arial" w:hAnsi="Arial" w:cs="Arial"/>
          <w:sz w:val="24"/>
          <w:szCs w:val="24"/>
        </w:rPr>
        <w:t>product dumping</w:t>
      </w:r>
      <w:r w:rsidRPr="00AF60E2" w:rsidR="00126358">
        <w:rPr>
          <w:rFonts w:ascii="Arial" w:hAnsi="Arial" w:cs="Arial"/>
          <w:sz w:val="24"/>
          <w:szCs w:val="24"/>
        </w:rPr>
        <w:t xml:space="preserve"> has occurred during the POI. </w:t>
      </w:r>
    </w:p>
    <w:p w:rsidR="00126358" w:rsidRPr="00AF60E2" w:rsidP="00BB4417" w14:paraId="3DA8AE14" w14:textId="77777777">
      <w:pPr>
        <w:pStyle w:val="ListParagraph"/>
        <w:spacing w:line="276" w:lineRule="auto"/>
        <w:rPr>
          <w:rFonts w:ascii="Arial" w:hAnsi="Arial" w:cs="Arial"/>
          <w:sz w:val="24"/>
          <w:szCs w:val="24"/>
        </w:rPr>
      </w:pPr>
    </w:p>
    <w:p w:rsidR="00126358" w:rsidRPr="00AF60E2" w:rsidP="00BB4417" w14:paraId="0B2AFEEC"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 xml:space="preserve">In approaching the exporting country analysis the TRA have </w:t>
      </w:r>
      <w:r w:rsidRPr="00AF60E2" w:rsidR="00472068">
        <w:rPr>
          <w:rFonts w:ascii="Arial" w:hAnsi="Arial" w:cs="Arial"/>
          <w:sz w:val="24"/>
          <w:szCs w:val="24"/>
        </w:rPr>
        <w:t xml:space="preserve">again </w:t>
      </w:r>
      <w:r w:rsidRPr="00AF60E2">
        <w:rPr>
          <w:rFonts w:ascii="Arial" w:hAnsi="Arial" w:cs="Arial"/>
          <w:sz w:val="24"/>
          <w:szCs w:val="24"/>
        </w:rPr>
        <w:t>placed undue reliance on the views of Aztec as reflected by the contents of section 1 which provides:</w:t>
      </w:r>
    </w:p>
    <w:p w:rsidR="00126358" w:rsidRPr="00AF60E2" w:rsidP="00BB4417" w14:paraId="0B826C6B" w14:textId="77777777">
      <w:pPr>
        <w:pStyle w:val="ListParagraph"/>
        <w:spacing w:line="276" w:lineRule="auto"/>
        <w:rPr>
          <w:rFonts w:ascii="Arial" w:hAnsi="Arial" w:cs="Arial"/>
          <w:sz w:val="24"/>
          <w:szCs w:val="24"/>
        </w:rPr>
      </w:pPr>
    </w:p>
    <w:p w:rsidR="00353BE5" w:rsidRPr="00AF60E2" w:rsidP="00BB4417" w14:paraId="2585FFB1" w14:textId="77777777">
      <w:pPr>
        <w:pStyle w:val="ListParagraph"/>
        <w:spacing w:line="276" w:lineRule="auto"/>
        <w:rPr>
          <w:rFonts w:ascii="Arial" w:hAnsi="Arial" w:cs="Arial"/>
          <w:i/>
          <w:iCs/>
          <w:sz w:val="24"/>
          <w:szCs w:val="24"/>
        </w:rPr>
      </w:pPr>
      <w:r w:rsidRPr="00AF60E2">
        <w:rPr>
          <w:rFonts w:ascii="Arial" w:hAnsi="Arial" w:cs="Arial"/>
          <w:i/>
          <w:iCs/>
          <w:sz w:val="24"/>
          <w:szCs w:val="24"/>
        </w:rPr>
        <w:t>“</w:t>
      </w:r>
      <w:r w:rsidRPr="00AF60E2" w:rsidR="00AA3CF8">
        <w:rPr>
          <w:rFonts w:ascii="Arial" w:hAnsi="Arial" w:cs="Arial"/>
          <w:i/>
          <w:iCs/>
          <w:sz w:val="24"/>
          <w:szCs w:val="24"/>
        </w:rPr>
        <w:t xml:space="preserve">Based on information submitted in the application form by Aztec, in registration and questionnaire submissions from other interested parties, and from open sources, the TRA has established that: </w:t>
      </w:r>
    </w:p>
    <w:p w:rsidR="00353BE5" w:rsidRPr="00AF60E2" w:rsidP="00BB4417" w14:paraId="20AEF355" w14:textId="77777777">
      <w:pPr>
        <w:pStyle w:val="ListParagraph"/>
        <w:spacing w:line="276" w:lineRule="auto"/>
        <w:rPr>
          <w:rFonts w:ascii="Arial" w:hAnsi="Arial" w:cs="Arial"/>
          <w:i/>
          <w:iCs/>
          <w:sz w:val="24"/>
          <w:szCs w:val="24"/>
        </w:rPr>
      </w:pPr>
    </w:p>
    <w:p w:rsidR="00353BE5" w:rsidRPr="00AF60E2" w:rsidP="00BB4417" w14:paraId="72B9C909" w14:textId="77777777">
      <w:pPr>
        <w:pStyle w:val="ListParagraph"/>
        <w:numPr>
          <w:ilvl w:val="0"/>
          <w:numId w:val="2"/>
        </w:numPr>
        <w:spacing w:line="276" w:lineRule="auto"/>
        <w:rPr>
          <w:rFonts w:ascii="Arial" w:hAnsi="Arial" w:cs="Arial"/>
          <w:i/>
          <w:iCs/>
          <w:sz w:val="24"/>
          <w:szCs w:val="24"/>
        </w:rPr>
      </w:pPr>
      <w:r w:rsidRPr="00AF60E2">
        <w:rPr>
          <w:rFonts w:ascii="Arial" w:hAnsi="Arial" w:cs="Arial"/>
          <w:i/>
          <w:iCs/>
          <w:sz w:val="24"/>
          <w:szCs w:val="24"/>
        </w:rPr>
        <w:t xml:space="preserve">There was at least one Lithuanian producer of the goods in scope of the investigation during the period of investigation, which exported the goods concerned into the UK; and </w:t>
      </w:r>
    </w:p>
    <w:p w:rsidR="00CC18B7" w:rsidRPr="00AF60E2" w:rsidP="00BB4417" w14:paraId="5C625135" w14:textId="77777777">
      <w:pPr>
        <w:pStyle w:val="ListParagraph"/>
        <w:numPr>
          <w:ilvl w:val="0"/>
          <w:numId w:val="2"/>
        </w:numPr>
        <w:spacing w:line="276" w:lineRule="auto"/>
        <w:rPr>
          <w:rFonts w:ascii="Arial" w:hAnsi="Arial" w:cs="Arial"/>
          <w:sz w:val="24"/>
          <w:szCs w:val="24"/>
        </w:rPr>
      </w:pPr>
      <w:r w:rsidRPr="00AF60E2">
        <w:rPr>
          <w:rFonts w:ascii="Arial" w:hAnsi="Arial" w:cs="Arial"/>
          <w:i/>
          <w:iCs/>
          <w:sz w:val="24"/>
          <w:szCs w:val="24"/>
        </w:rPr>
        <w:t xml:space="preserve">there were more than twenty UAE producers of the goods in scope of the </w:t>
      </w:r>
      <w:r w:rsidRPr="00AF60E2">
        <w:rPr>
          <w:rFonts w:ascii="Arial" w:hAnsi="Arial" w:cs="Arial"/>
          <w:i/>
          <w:iCs/>
          <w:sz w:val="24"/>
          <w:szCs w:val="24"/>
        </w:rPr>
        <w:t>investigation during the period of investigation, of which at least one exported the goods concerned into the UK</w:t>
      </w:r>
      <w:r w:rsidRPr="00AF60E2" w:rsidR="00DB34B9">
        <w:rPr>
          <w:rFonts w:ascii="Arial" w:hAnsi="Arial" w:cs="Arial"/>
          <w:i/>
          <w:iCs/>
          <w:sz w:val="24"/>
          <w:szCs w:val="24"/>
        </w:rPr>
        <w:t>”</w:t>
      </w:r>
    </w:p>
    <w:p w:rsidR="00171CE1" w:rsidRPr="00AF60E2" w:rsidP="00BB4417" w14:paraId="42D250AB" w14:textId="77777777">
      <w:pPr>
        <w:spacing w:line="276" w:lineRule="auto"/>
        <w:rPr>
          <w:rFonts w:ascii="Arial" w:hAnsi="Arial" w:cs="Arial"/>
          <w:b/>
          <w:bCs/>
          <w:sz w:val="24"/>
          <w:szCs w:val="24"/>
        </w:rPr>
      </w:pPr>
      <w:r w:rsidRPr="00AF60E2">
        <w:rPr>
          <w:rFonts w:ascii="Arial" w:hAnsi="Arial" w:cs="Arial"/>
          <w:b/>
          <w:bCs/>
          <w:sz w:val="24"/>
          <w:szCs w:val="24"/>
        </w:rPr>
        <w:t>Lithuania</w:t>
      </w:r>
    </w:p>
    <w:p w:rsidR="003B75CB" w:rsidRPr="00AF60E2" w:rsidP="00BB4417" w14:paraId="196D97F9" w14:textId="77777777">
      <w:pPr>
        <w:pStyle w:val="ListParagraph"/>
        <w:spacing w:line="276" w:lineRule="auto"/>
        <w:ind w:left="1440"/>
        <w:rPr>
          <w:rFonts w:ascii="Arial" w:hAnsi="Arial" w:cs="Arial"/>
          <w:sz w:val="24"/>
          <w:szCs w:val="24"/>
        </w:rPr>
      </w:pPr>
    </w:p>
    <w:p w:rsidR="00171CE1" w:rsidRPr="00AF60E2" w:rsidP="00BB4417" w14:paraId="1C6BFBDC"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 xml:space="preserve">It is submitted that the TRA has had insufficient data with which to calculate the margin of dumping and </w:t>
      </w:r>
      <w:r w:rsidRPr="00AF60E2" w:rsidR="00681FA6">
        <w:rPr>
          <w:rFonts w:ascii="Arial" w:hAnsi="Arial" w:cs="Arial"/>
          <w:sz w:val="24"/>
          <w:szCs w:val="24"/>
        </w:rPr>
        <w:t xml:space="preserve">to </w:t>
      </w:r>
      <w:r w:rsidRPr="00AF60E2">
        <w:rPr>
          <w:rFonts w:ascii="Arial" w:hAnsi="Arial" w:cs="Arial"/>
          <w:sz w:val="24"/>
          <w:szCs w:val="24"/>
        </w:rPr>
        <w:t xml:space="preserve">propose the application of </w:t>
      </w:r>
      <w:r w:rsidR="00283013">
        <w:rPr>
          <w:rFonts w:ascii="Arial" w:hAnsi="Arial" w:cs="Arial"/>
          <w:sz w:val="24"/>
          <w:szCs w:val="24"/>
        </w:rPr>
        <w:t>t</w:t>
      </w:r>
      <w:r w:rsidRPr="00AF60E2">
        <w:rPr>
          <w:rFonts w:ascii="Arial" w:hAnsi="Arial" w:cs="Arial"/>
          <w:sz w:val="24"/>
          <w:szCs w:val="24"/>
        </w:rPr>
        <w:t>ariffs to Lithuania as a whole.</w:t>
      </w:r>
    </w:p>
    <w:p w:rsidR="00F23CC0" w:rsidRPr="00AF60E2" w:rsidP="00BB4417" w14:paraId="75A9D693" w14:textId="77777777">
      <w:pPr>
        <w:pStyle w:val="ListParagraph"/>
        <w:spacing w:line="276" w:lineRule="auto"/>
        <w:rPr>
          <w:rFonts w:ascii="Arial" w:hAnsi="Arial" w:cs="Arial"/>
          <w:sz w:val="24"/>
          <w:szCs w:val="24"/>
        </w:rPr>
      </w:pPr>
    </w:p>
    <w:p w:rsidR="00DB34B9" w:rsidRPr="00AF60E2" w:rsidP="00BB4417" w14:paraId="0F99B353"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 xml:space="preserve">In the absence of </w:t>
      </w:r>
      <w:r w:rsidRPr="00AF60E2" w:rsidR="0007515F">
        <w:rPr>
          <w:rFonts w:ascii="Arial" w:hAnsi="Arial" w:cs="Arial"/>
          <w:sz w:val="24"/>
          <w:szCs w:val="24"/>
        </w:rPr>
        <w:t xml:space="preserve">sufficient information from </w:t>
      </w:r>
      <w:r w:rsidRPr="00AF60E2" w:rsidR="00DE062A">
        <w:rPr>
          <w:rFonts w:ascii="Arial" w:hAnsi="Arial" w:cs="Arial"/>
          <w:sz w:val="24"/>
          <w:szCs w:val="24"/>
        </w:rPr>
        <w:t xml:space="preserve">Lithuanian exporters </w:t>
      </w:r>
      <w:r w:rsidRPr="00AF60E2" w:rsidR="003E0286">
        <w:rPr>
          <w:rFonts w:ascii="Arial" w:hAnsi="Arial" w:cs="Arial"/>
          <w:sz w:val="24"/>
          <w:szCs w:val="24"/>
        </w:rPr>
        <w:t xml:space="preserve">the constructed normal value of </w:t>
      </w:r>
      <w:r w:rsidRPr="00AF60E2" w:rsidR="002C11E3">
        <w:rPr>
          <w:rFonts w:ascii="Arial" w:hAnsi="Arial" w:cs="Arial"/>
          <w:sz w:val="24"/>
          <w:szCs w:val="24"/>
        </w:rPr>
        <w:t xml:space="preserve">the goods </w:t>
      </w:r>
      <w:r w:rsidRPr="00AF60E2" w:rsidR="00545620">
        <w:rPr>
          <w:rFonts w:ascii="Arial" w:hAnsi="Arial" w:cs="Arial"/>
          <w:sz w:val="24"/>
          <w:szCs w:val="24"/>
        </w:rPr>
        <w:t xml:space="preserve">ex works </w:t>
      </w:r>
      <w:r w:rsidRPr="00AF60E2" w:rsidR="002C11E3">
        <w:rPr>
          <w:rFonts w:ascii="Arial" w:hAnsi="Arial" w:cs="Arial"/>
          <w:sz w:val="24"/>
          <w:szCs w:val="24"/>
        </w:rPr>
        <w:t>in Lithuania</w:t>
      </w:r>
      <w:r w:rsidRPr="00AF60E2" w:rsidR="002C2223">
        <w:rPr>
          <w:rFonts w:ascii="Arial" w:hAnsi="Arial" w:cs="Arial"/>
          <w:sz w:val="24"/>
          <w:szCs w:val="24"/>
        </w:rPr>
        <w:t xml:space="preserve"> dealt with in PAD para</w:t>
      </w:r>
      <w:r w:rsidRPr="00AF60E2" w:rsidR="00041A08">
        <w:rPr>
          <w:rFonts w:ascii="Arial" w:hAnsi="Arial" w:cs="Arial"/>
          <w:sz w:val="24"/>
          <w:szCs w:val="24"/>
        </w:rPr>
        <w:t>graphs 87-</w:t>
      </w:r>
      <w:r w:rsidRPr="00AF60E2" w:rsidR="00127122">
        <w:rPr>
          <w:rFonts w:ascii="Arial" w:hAnsi="Arial" w:cs="Arial"/>
          <w:sz w:val="24"/>
          <w:szCs w:val="24"/>
        </w:rPr>
        <w:t>107</w:t>
      </w:r>
      <w:r w:rsidRPr="00AF60E2" w:rsidR="002C11E3">
        <w:rPr>
          <w:rFonts w:ascii="Arial" w:hAnsi="Arial" w:cs="Arial"/>
          <w:sz w:val="24"/>
          <w:szCs w:val="24"/>
        </w:rPr>
        <w:t xml:space="preserve"> </w:t>
      </w:r>
      <w:r w:rsidRPr="00AF60E2" w:rsidR="00CA05CA">
        <w:rPr>
          <w:rFonts w:ascii="Arial" w:hAnsi="Arial" w:cs="Arial"/>
          <w:sz w:val="24"/>
          <w:szCs w:val="24"/>
        </w:rPr>
        <w:t xml:space="preserve">is </w:t>
      </w:r>
      <w:r w:rsidRPr="00AF60E2" w:rsidR="002C11E3">
        <w:rPr>
          <w:rFonts w:ascii="Arial" w:hAnsi="Arial" w:cs="Arial"/>
          <w:sz w:val="24"/>
          <w:szCs w:val="24"/>
        </w:rPr>
        <w:t>highly speculative</w:t>
      </w:r>
      <w:r w:rsidRPr="00AF60E2" w:rsidR="003F1D64">
        <w:rPr>
          <w:rFonts w:ascii="Arial" w:hAnsi="Arial" w:cs="Arial"/>
          <w:sz w:val="24"/>
          <w:szCs w:val="24"/>
        </w:rPr>
        <w:t xml:space="preserve">. </w:t>
      </w:r>
      <w:r w:rsidRPr="00AF60E2" w:rsidR="00974E83">
        <w:rPr>
          <w:rFonts w:ascii="Arial" w:hAnsi="Arial" w:cs="Arial"/>
          <w:sz w:val="24"/>
          <w:szCs w:val="24"/>
        </w:rPr>
        <w:t xml:space="preserve">The TRA based the constructed </w:t>
      </w:r>
      <w:r w:rsidRPr="00AF60E2" w:rsidR="00ED3344">
        <w:rPr>
          <w:rFonts w:ascii="Arial" w:hAnsi="Arial" w:cs="Arial"/>
          <w:sz w:val="24"/>
          <w:szCs w:val="24"/>
        </w:rPr>
        <w:t>administration, sel</w:t>
      </w:r>
      <w:r w:rsidRPr="00AF60E2" w:rsidR="00C82CB1">
        <w:rPr>
          <w:rFonts w:ascii="Arial" w:hAnsi="Arial" w:cs="Arial"/>
          <w:sz w:val="24"/>
          <w:szCs w:val="24"/>
        </w:rPr>
        <w:t xml:space="preserve">ling </w:t>
      </w:r>
      <w:r w:rsidRPr="00AF60E2" w:rsidR="00ED3344">
        <w:rPr>
          <w:rFonts w:ascii="Arial" w:hAnsi="Arial" w:cs="Arial"/>
          <w:sz w:val="24"/>
          <w:szCs w:val="24"/>
        </w:rPr>
        <w:t xml:space="preserve"> and general costs pursuant to </w:t>
      </w:r>
      <w:r w:rsidRPr="00AF60E2" w:rsidR="00C82CB1">
        <w:rPr>
          <w:rFonts w:ascii="Arial" w:hAnsi="Arial" w:cs="Arial"/>
          <w:sz w:val="24"/>
          <w:szCs w:val="24"/>
        </w:rPr>
        <w:t>Regulation 12</w:t>
      </w:r>
      <w:r w:rsidRPr="00AF60E2" w:rsidR="00C82C9A">
        <w:rPr>
          <w:rFonts w:ascii="Arial" w:hAnsi="Arial" w:cs="Arial"/>
          <w:sz w:val="24"/>
          <w:szCs w:val="24"/>
        </w:rPr>
        <w:t xml:space="preserve"> on the costs of the </w:t>
      </w:r>
      <w:r w:rsidRPr="00AF60E2" w:rsidR="00E6097A">
        <w:rPr>
          <w:rFonts w:ascii="Arial" w:hAnsi="Arial" w:cs="Arial"/>
          <w:sz w:val="24"/>
          <w:szCs w:val="24"/>
        </w:rPr>
        <w:t>UAE exporter</w:t>
      </w:r>
      <w:r w:rsidRPr="00AF60E2" w:rsidR="00563AED">
        <w:rPr>
          <w:rFonts w:ascii="Arial" w:hAnsi="Arial" w:cs="Arial"/>
          <w:sz w:val="24"/>
          <w:szCs w:val="24"/>
        </w:rPr>
        <w:t xml:space="preserve"> as confirmed by </w:t>
      </w:r>
      <w:r w:rsidRPr="00AF60E2" w:rsidR="006D7FC6">
        <w:rPr>
          <w:rFonts w:ascii="Arial" w:hAnsi="Arial" w:cs="Arial"/>
          <w:sz w:val="24"/>
          <w:szCs w:val="24"/>
        </w:rPr>
        <w:t>PAD paragraph 10</w:t>
      </w:r>
      <w:r w:rsidRPr="00AF60E2" w:rsidR="000D78AC">
        <w:rPr>
          <w:rFonts w:ascii="Arial" w:hAnsi="Arial" w:cs="Arial"/>
          <w:sz w:val="24"/>
          <w:szCs w:val="24"/>
        </w:rPr>
        <w:t>2:</w:t>
      </w:r>
    </w:p>
    <w:p w:rsidR="00584D45" w:rsidRPr="00AF60E2" w:rsidP="00BB4417" w14:paraId="16813C9D" w14:textId="77777777">
      <w:pPr>
        <w:spacing w:line="276" w:lineRule="auto"/>
        <w:ind w:left="720"/>
        <w:rPr>
          <w:rFonts w:ascii="Arial" w:hAnsi="Arial" w:cs="Arial"/>
          <w:i/>
          <w:iCs/>
          <w:sz w:val="24"/>
          <w:szCs w:val="24"/>
        </w:rPr>
      </w:pPr>
      <w:r w:rsidRPr="00AF60E2">
        <w:rPr>
          <w:rFonts w:ascii="Arial" w:hAnsi="Arial" w:cs="Arial"/>
          <w:i/>
          <w:iCs/>
          <w:sz w:val="24"/>
          <w:szCs w:val="24"/>
        </w:rPr>
        <w:t xml:space="preserve">“102. The TRA did not receive sufficient information to use either option a) or </w:t>
      </w:r>
      <w:r w:rsidRPr="00AF60E2">
        <w:rPr>
          <w:rFonts w:ascii="Arial" w:hAnsi="Arial" w:cs="Arial"/>
          <w:i/>
          <w:iCs/>
          <w:sz w:val="24"/>
          <w:szCs w:val="24"/>
        </w:rPr>
        <w:t xml:space="preserve">option b) as set out above, as no costs for in scope or out of scope goods in Lithuania were submitted, and no other overseas (Lithuanian) exporters subject to investigation have provided data. The TRA therefore used 12(3)c), any other reasonable method, to establish AS&amp;G costs for Lithuania. To determine the normal value in relation to Lithuania in the PAD, the TRA has used the domestic AS&amp;G costs for the UAE that were submitted by the related UAE exporter, as these were assessed to be the most reasonable </w:t>
      </w:r>
      <w:r w:rsidRPr="00AF60E2">
        <w:rPr>
          <w:rFonts w:ascii="Arial" w:hAnsi="Arial" w:cs="Arial"/>
          <w:i/>
          <w:iCs/>
          <w:sz w:val="24"/>
          <w:szCs w:val="24"/>
        </w:rPr>
        <w:t>method of calculation that was available at the time.”</w:t>
      </w:r>
    </w:p>
    <w:p w:rsidR="00ED0A82" w:rsidRPr="00AF60E2" w:rsidP="00BB4417" w14:paraId="76FF151E"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 xml:space="preserve">However, </w:t>
      </w:r>
      <w:r w:rsidRPr="00AF60E2" w:rsidR="008E6C42">
        <w:rPr>
          <w:rFonts w:ascii="Arial" w:hAnsi="Arial" w:cs="Arial"/>
          <w:sz w:val="24"/>
          <w:szCs w:val="24"/>
        </w:rPr>
        <w:t xml:space="preserve">the fundamental objection </w:t>
      </w:r>
      <w:r w:rsidRPr="00AF60E2" w:rsidR="00C00480">
        <w:rPr>
          <w:rFonts w:ascii="Arial" w:hAnsi="Arial" w:cs="Arial"/>
          <w:sz w:val="24"/>
          <w:szCs w:val="24"/>
        </w:rPr>
        <w:t xml:space="preserve">to the assessment of </w:t>
      </w:r>
      <w:r w:rsidRPr="00AF60E2" w:rsidR="00A61135">
        <w:rPr>
          <w:rFonts w:ascii="Arial" w:hAnsi="Arial" w:cs="Arial"/>
          <w:sz w:val="24"/>
          <w:szCs w:val="24"/>
        </w:rPr>
        <w:t xml:space="preserve">product dumping with regards to Lithuania </w:t>
      </w:r>
      <w:r w:rsidRPr="00AF60E2" w:rsidR="008E6C42">
        <w:rPr>
          <w:rFonts w:ascii="Arial" w:hAnsi="Arial" w:cs="Arial"/>
          <w:sz w:val="24"/>
          <w:szCs w:val="24"/>
        </w:rPr>
        <w:t xml:space="preserve">is </w:t>
      </w:r>
      <w:r w:rsidRPr="00AF60E2" w:rsidR="007E77F4">
        <w:rPr>
          <w:rFonts w:ascii="Arial" w:hAnsi="Arial" w:cs="Arial"/>
          <w:sz w:val="24"/>
          <w:szCs w:val="24"/>
        </w:rPr>
        <w:t xml:space="preserve">not simply to the methodology employed </w:t>
      </w:r>
      <w:r w:rsidRPr="00AF60E2" w:rsidR="00C00480">
        <w:rPr>
          <w:rFonts w:ascii="Arial" w:hAnsi="Arial" w:cs="Arial"/>
          <w:sz w:val="24"/>
          <w:szCs w:val="24"/>
        </w:rPr>
        <w:t xml:space="preserve">by the </w:t>
      </w:r>
      <w:r w:rsidRPr="00AF60E2" w:rsidR="00C00480">
        <w:rPr>
          <w:rFonts w:ascii="Arial" w:hAnsi="Arial" w:cs="Arial"/>
          <w:sz w:val="24"/>
          <w:szCs w:val="24"/>
        </w:rPr>
        <w:t xml:space="preserve">TRA </w:t>
      </w:r>
      <w:r w:rsidRPr="00AF60E2" w:rsidR="007E77F4">
        <w:rPr>
          <w:rFonts w:ascii="Arial" w:hAnsi="Arial" w:cs="Arial"/>
          <w:sz w:val="24"/>
          <w:szCs w:val="24"/>
        </w:rPr>
        <w:t>but</w:t>
      </w:r>
      <w:r w:rsidR="00283013">
        <w:rPr>
          <w:rFonts w:ascii="Arial" w:hAnsi="Arial" w:cs="Arial"/>
          <w:sz w:val="24"/>
          <w:szCs w:val="24"/>
        </w:rPr>
        <w:t xml:space="preserve"> that the investigation has not been terminated. </w:t>
      </w:r>
      <w:r w:rsidRPr="00AF60E2" w:rsidR="00A61135">
        <w:rPr>
          <w:rFonts w:ascii="Arial" w:hAnsi="Arial" w:cs="Arial"/>
          <w:sz w:val="24"/>
          <w:szCs w:val="24"/>
        </w:rPr>
        <w:t xml:space="preserve">It is submitted that </w:t>
      </w:r>
      <w:r w:rsidRPr="00AF60E2" w:rsidR="00565DEF">
        <w:rPr>
          <w:rFonts w:ascii="Arial" w:hAnsi="Arial" w:cs="Arial"/>
          <w:sz w:val="24"/>
          <w:szCs w:val="24"/>
        </w:rPr>
        <w:t xml:space="preserve">the </w:t>
      </w:r>
      <w:r w:rsidRPr="00AF60E2" w:rsidR="00CC6C8E">
        <w:rPr>
          <w:rFonts w:ascii="Arial" w:hAnsi="Arial" w:cs="Arial"/>
          <w:sz w:val="24"/>
          <w:szCs w:val="24"/>
        </w:rPr>
        <w:t>TRA should</w:t>
      </w:r>
      <w:r w:rsidRPr="00AF60E2" w:rsidR="00A40793">
        <w:rPr>
          <w:rFonts w:ascii="Arial" w:hAnsi="Arial" w:cs="Arial"/>
          <w:sz w:val="24"/>
          <w:szCs w:val="24"/>
        </w:rPr>
        <w:t xml:space="preserve"> have </w:t>
      </w:r>
      <w:r w:rsidRPr="00AF60E2" w:rsidR="00880495">
        <w:rPr>
          <w:rFonts w:ascii="Arial" w:hAnsi="Arial" w:cs="Arial"/>
          <w:sz w:val="24"/>
          <w:szCs w:val="24"/>
        </w:rPr>
        <w:t>already</w:t>
      </w:r>
      <w:r w:rsidRPr="00AF60E2" w:rsidR="00CC6C8E">
        <w:rPr>
          <w:rFonts w:ascii="Arial" w:hAnsi="Arial" w:cs="Arial"/>
          <w:sz w:val="24"/>
          <w:szCs w:val="24"/>
        </w:rPr>
        <w:t xml:space="preserve"> </w:t>
      </w:r>
      <w:r w:rsidRPr="00AF60E2">
        <w:rPr>
          <w:rFonts w:ascii="Arial" w:hAnsi="Arial" w:cs="Arial"/>
          <w:sz w:val="24"/>
          <w:szCs w:val="24"/>
        </w:rPr>
        <w:t>terminate</w:t>
      </w:r>
      <w:r w:rsidRPr="00AF60E2" w:rsidR="00A40793">
        <w:rPr>
          <w:rFonts w:ascii="Arial" w:hAnsi="Arial" w:cs="Arial"/>
          <w:sz w:val="24"/>
          <w:szCs w:val="24"/>
        </w:rPr>
        <w:t>d</w:t>
      </w:r>
      <w:r w:rsidRPr="00AF60E2">
        <w:rPr>
          <w:rFonts w:ascii="Arial" w:hAnsi="Arial" w:cs="Arial"/>
          <w:sz w:val="24"/>
          <w:szCs w:val="24"/>
        </w:rPr>
        <w:t xml:space="preserve"> the investigation pursuant to</w:t>
      </w:r>
      <w:r w:rsidRPr="00AF60E2" w:rsidR="00A61135">
        <w:rPr>
          <w:rFonts w:ascii="Arial" w:hAnsi="Arial" w:cs="Arial"/>
          <w:sz w:val="24"/>
          <w:szCs w:val="24"/>
        </w:rPr>
        <w:t xml:space="preserve"> the mandatory direction of</w:t>
      </w:r>
      <w:r w:rsidRPr="00AF60E2">
        <w:rPr>
          <w:rFonts w:ascii="Arial" w:hAnsi="Arial" w:cs="Arial"/>
          <w:sz w:val="24"/>
          <w:szCs w:val="24"/>
        </w:rPr>
        <w:t xml:space="preserve"> </w:t>
      </w:r>
      <w:r w:rsidRPr="00AF60E2" w:rsidR="00EF2E75">
        <w:rPr>
          <w:rFonts w:ascii="Arial" w:hAnsi="Arial" w:cs="Arial"/>
          <w:sz w:val="24"/>
          <w:szCs w:val="24"/>
        </w:rPr>
        <w:t>R</w:t>
      </w:r>
      <w:r w:rsidRPr="00AF60E2">
        <w:rPr>
          <w:rFonts w:ascii="Arial" w:hAnsi="Arial" w:cs="Arial"/>
          <w:sz w:val="24"/>
          <w:szCs w:val="24"/>
        </w:rPr>
        <w:t xml:space="preserve">egulation 64 </w:t>
      </w:r>
      <w:r w:rsidRPr="00AF60E2" w:rsidR="001114D2">
        <w:rPr>
          <w:rFonts w:ascii="Arial" w:hAnsi="Arial" w:cs="Arial"/>
          <w:sz w:val="24"/>
          <w:szCs w:val="24"/>
        </w:rPr>
        <w:t>which provides:</w:t>
      </w:r>
    </w:p>
    <w:p w:rsidR="00ED0A82" w:rsidRPr="00ED0A82" w:rsidP="00BB4417" w14:paraId="32DA280B" w14:textId="77777777">
      <w:pPr>
        <w:shd w:val="clear" w:color="auto" w:fill="FFFFFF"/>
        <w:spacing w:after="120" w:line="276" w:lineRule="auto"/>
        <w:ind w:firstLine="720"/>
        <w:jc w:val="both"/>
        <w:outlineLvl w:val="3"/>
        <w:rPr>
          <w:rFonts w:ascii="Arial" w:eastAsia="Times New Roman" w:hAnsi="Arial" w:cs="Arial"/>
          <w:b/>
          <w:bCs/>
          <w:i/>
          <w:iCs/>
          <w:color w:val="000000"/>
          <w:kern w:val="0"/>
          <w:sz w:val="24"/>
          <w:szCs w:val="24"/>
          <w:lang w:eastAsia="en-GB"/>
          <w14:ligatures w14:val="none"/>
        </w:rPr>
      </w:pPr>
      <w:r w:rsidRPr="00AF60E2">
        <w:rPr>
          <w:rFonts w:ascii="Arial" w:eastAsia="Times New Roman" w:hAnsi="Arial" w:cs="Arial"/>
          <w:b/>
          <w:bCs/>
          <w:i/>
          <w:iCs/>
          <w:color w:val="000000"/>
          <w:kern w:val="0"/>
          <w:sz w:val="24"/>
          <w:szCs w:val="24"/>
          <w:lang w:eastAsia="en-GB"/>
          <w14:ligatures w14:val="none"/>
        </w:rPr>
        <w:t>“</w:t>
      </w:r>
      <w:r w:rsidRPr="00ED0A82">
        <w:rPr>
          <w:rFonts w:ascii="Arial" w:eastAsia="Times New Roman" w:hAnsi="Arial" w:cs="Arial"/>
          <w:b/>
          <w:bCs/>
          <w:i/>
          <w:iCs/>
          <w:color w:val="000000"/>
          <w:kern w:val="0"/>
          <w:sz w:val="24"/>
          <w:szCs w:val="24"/>
          <w:lang w:eastAsia="en-GB"/>
          <w14:ligatures w14:val="none"/>
        </w:rPr>
        <w:t>Termination</w:t>
      </w:r>
    </w:p>
    <w:p w:rsidR="00ED0A82" w:rsidRPr="00ED0A82" w:rsidP="00BB4417" w14:paraId="763F097B" w14:textId="77777777">
      <w:pPr>
        <w:shd w:val="clear" w:color="auto" w:fill="FFFFFF"/>
        <w:spacing w:after="120" w:line="276" w:lineRule="auto"/>
        <w:ind w:left="720"/>
        <w:jc w:val="both"/>
        <w:rPr>
          <w:rFonts w:ascii="Arial" w:eastAsia="Times New Roman" w:hAnsi="Arial" w:cs="Arial"/>
          <w:i/>
          <w:iCs/>
          <w:color w:val="1E1E1E"/>
          <w:kern w:val="0"/>
          <w:sz w:val="24"/>
          <w:szCs w:val="24"/>
          <w:lang w:eastAsia="en-GB"/>
          <w14:ligatures w14:val="none"/>
        </w:rPr>
      </w:pPr>
      <w:r w:rsidRPr="00ED0A82">
        <w:rPr>
          <w:rFonts w:ascii="Arial" w:eastAsia="Times New Roman" w:hAnsi="Arial" w:cs="Arial"/>
          <w:b/>
          <w:bCs/>
          <w:i/>
          <w:iCs/>
          <w:color w:val="1E1E1E"/>
          <w:kern w:val="0"/>
          <w:sz w:val="24"/>
          <w:szCs w:val="24"/>
          <w:lang w:eastAsia="en-GB"/>
          <w14:ligatures w14:val="none"/>
        </w:rPr>
        <w:t>64.</w:t>
      </w:r>
      <w:r w:rsidRPr="00ED0A82">
        <w:rPr>
          <w:rFonts w:ascii="Arial" w:eastAsia="Times New Roman" w:hAnsi="Arial" w:cs="Arial"/>
          <w:i/>
          <w:iCs/>
          <w:color w:val="1E1E1E"/>
          <w:kern w:val="0"/>
          <w:sz w:val="24"/>
          <w:szCs w:val="24"/>
          <w:lang w:eastAsia="en-GB"/>
          <w14:ligatures w14:val="none"/>
        </w:rPr>
        <w:t xml:space="preserve">—(1) The TRA must terminate an </w:t>
      </w:r>
      <w:r w:rsidRPr="00ED0A82">
        <w:rPr>
          <w:rFonts w:ascii="Arial" w:eastAsia="Times New Roman" w:hAnsi="Arial" w:cs="Arial"/>
          <w:i/>
          <w:iCs/>
          <w:color w:val="1E1E1E"/>
          <w:kern w:val="0"/>
          <w:sz w:val="24"/>
          <w:szCs w:val="24"/>
          <w:lang w:eastAsia="en-GB"/>
          <w14:ligatures w14:val="none"/>
        </w:rPr>
        <w:t>investigation where, at any stage during the investigation, it determines that—</w:t>
      </w:r>
    </w:p>
    <w:p w:rsidR="00ED0A82" w:rsidRPr="00ED0A82" w:rsidP="00BB4417" w14:paraId="6B5BAB91" w14:textId="77777777">
      <w:pPr>
        <w:shd w:val="clear" w:color="auto" w:fill="FFFFFF"/>
        <w:spacing w:after="120" w:line="276" w:lineRule="auto"/>
        <w:ind w:firstLine="720"/>
        <w:rPr>
          <w:rFonts w:ascii="Arial" w:eastAsia="Times New Roman" w:hAnsi="Arial" w:cs="Arial"/>
          <w:i/>
          <w:iCs/>
          <w:color w:val="1E1E1E"/>
          <w:kern w:val="0"/>
          <w:sz w:val="24"/>
          <w:szCs w:val="24"/>
          <w:lang w:eastAsia="en-GB"/>
          <w14:ligatures w14:val="none"/>
        </w:rPr>
      </w:pPr>
      <w:r w:rsidRPr="00ED0A82">
        <w:rPr>
          <w:rFonts w:ascii="Arial" w:eastAsia="Times New Roman" w:hAnsi="Arial" w:cs="Arial"/>
          <w:i/>
          <w:iCs/>
          <w:color w:val="1E1E1E"/>
          <w:kern w:val="0"/>
          <w:sz w:val="24"/>
          <w:szCs w:val="24"/>
          <w:lang w:eastAsia="en-GB"/>
          <w14:ligatures w14:val="none"/>
        </w:rPr>
        <w:t>(a)the margin of dumping or the amount of subsidy is minimal;</w:t>
      </w:r>
    </w:p>
    <w:p w:rsidR="00ED0A82" w:rsidRPr="00ED0A82" w:rsidP="00BB4417" w14:paraId="36D1CB7E" w14:textId="77777777">
      <w:pPr>
        <w:shd w:val="clear" w:color="auto" w:fill="FFFFFF"/>
        <w:spacing w:after="120" w:line="276" w:lineRule="auto"/>
        <w:ind w:firstLine="720"/>
        <w:rPr>
          <w:rFonts w:ascii="Arial" w:eastAsia="Times New Roman" w:hAnsi="Arial" w:cs="Arial"/>
          <w:i/>
          <w:iCs/>
          <w:color w:val="1E1E1E"/>
          <w:kern w:val="0"/>
          <w:sz w:val="24"/>
          <w:szCs w:val="24"/>
          <w:lang w:eastAsia="en-GB"/>
          <w14:ligatures w14:val="none"/>
        </w:rPr>
      </w:pPr>
      <w:r w:rsidRPr="00ED0A82">
        <w:rPr>
          <w:rFonts w:ascii="Arial" w:eastAsia="Times New Roman" w:hAnsi="Arial" w:cs="Arial"/>
          <w:i/>
          <w:iCs/>
          <w:color w:val="1E1E1E"/>
          <w:kern w:val="0"/>
          <w:sz w:val="24"/>
          <w:szCs w:val="24"/>
          <w:lang w:eastAsia="en-GB"/>
          <w14:ligatures w14:val="none"/>
        </w:rPr>
        <w:t>(b)</w:t>
      </w:r>
      <w:r w:rsidRPr="00ED0A82">
        <w:rPr>
          <w:rFonts w:ascii="Arial" w:eastAsia="Times New Roman" w:hAnsi="Arial" w:cs="Arial"/>
          <w:b/>
          <w:bCs/>
          <w:i/>
          <w:iCs/>
          <w:color w:val="1E1E1E"/>
          <w:kern w:val="0"/>
          <w:sz w:val="24"/>
          <w:szCs w:val="24"/>
          <w:lang w:eastAsia="en-GB"/>
          <w14:ligatures w14:val="none"/>
        </w:rPr>
        <w:t>the volume of dumped goods or subsidised imports is negligible</w:t>
      </w:r>
      <w:r w:rsidRPr="00ED0A82">
        <w:rPr>
          <w:rFonts w:ascii="Arial" w:eastAsia="Times New Roman" w:hAnsi="Arial" w:cs="Arial"/>
          <w:i/>
          <w:iCs/>
          <w:color w:val="1E1E1E"/>
          <w:kern w:val="0"/>
          <w:sz w:val="24"/>
          <w:szCs w:val="24"/>
          <w:lang w:eastAsia="en-GB"/>
          <w14:ligatures w14:val="none"/>
        </w:rPr>
        <w:t>; or</w:t>
      </w:r>
    </w:p>
    <w:p w:rsidR="00ED0A82" w:rsidRPr="00ED0A82" w:rsidP="00BB4417" w14:paraId="29787751" w14:textId="77777777">
      <w:pPr>
        <w:shd w:val="clear" w:color="auto" w:fill="FFFFFF"/>
        <w:spacing w:after="120" w:line="276" w:lineRule="auto"/>
        <w:ind w:firstLine="720"/>
        <w:rPr>
          <w:rFonts w:ascii="Arial" w:eastAsia="Times New Roman" w:hAnsi="Arial" w:cs="Arial"/>
          <w:i/>
          <w:iCs/>
          <w:color w:val="1E1E1E"/>
          <w:kern w:val="0"/>
          <w:sz w:val="24"/>
          <w:szCs w:val="24"/>
          <w:lang w:eastAsia="en-GB"/>
          <w14:ligatures w14:val="none"/>
        </w:rPr>
      </w:pPr>
      <w:r w:rsidRPr="00ED0A82">
        <w:rPr>
          <w:rFonts w:ascii="Arial" w:eastAsia="Times New Roman" w:hAnsi="Arial" w:cs="Arial"/>
          <w:i/>
          <w:iCs/>
          <w:color w:val="1E1E1E"/>
          <w:kern w:val="0"/>
          <w:sz w:val="24"/>
          <w:szCs w:val="24"/>
          <w:lang w:eastAsia="en-GB"/>
          <w14:ligatures w14:val="none"/>
        </w:rPr>
        <w:t>(c</w:t>
      </w:r>
      <w:r w:rsidRPr="00ED0A82">
        <w:rPr>
          <w:rFonts w:ascii="Arial" w:eastAsia="Times New Roman" w:hAnsi="Arial" w:cs="Arial"/>
          <w:b/>
          <w:bCs/>
          <w:i/>
          <w:iCs/>
          <w:color w:val="1E1E1E"/>
          <w:kern w:val="0"/>
          <w:sz w:val="24"/>
          <w:szCs w:val="24"/>
          <w:lang w:eastAsia="en-GB"/>
          <w14:ligatures w14:val="none"/>
        </w:rPr>
        <w:t>)the injury is negligible</w:t>
      </w:r>
      <w:r w:rsidRPr="00ED0A82">
        <w:rPr>
          <w:rFonts w:ascii="Arial" w:eastAsia="Times New Roman" w:hAnsi="Arial" w:cs="Arial"/>
          <w:i/>
          <w:iCs/>
          <w:color w:val="1E1E1E"/>
          <w:kern w:val="0"/>
          <w:sz w:val="24"/>
          <w:szCs w:val="24"/>
          <w:lang w:eastAsia="en-GB"/>
          <w14:ligatures w14:val="none"/>
        </w:rPr>
        <w:t>.</w:t>
      </w:r>
    </w:p>
    <w:p w:rsidR="00ED0A82" w:rsidRPr="00ED0A82" w:rsidP="00BB4417" w14:paraId="0D863067" w14:textId="77777777">
      <w:pPr>
        <w:shd w:val="clear" w:color="auto" w:fill="FFFFFF"/>
        <w:spacing w:after="120" w:line="276" w:lineRule="auto"/>
        <w:ind w:left="720"/>
        <w:jc w:val="both"/>
        <w:rPr>
          <w:rFonts w:ascii="Arial" w:eastAsia="Times New Roman" w:hAnsi="Arial" w:cs="Arial"/>
          <w:i/>
          <w:iCs/>
          <w:color w:val="1E1E1E"/>
          <w:kern w:val="0"/>
          <w:sz w:val="24"/>
          <w:szCs w:val="24"/>
          <w:lang w:eastAsia="en-GB"/>
          <w14:ligatures w14:val="none"/>
        </w:rPr>
      </w:pPr>
      <w:r w:rsidRPr="00ED0A82">
        <w:rPr>
          <w:rFonts w:ascii="Arial" w:eastAsia="Times New Roman" w:hAnsi="Arial" w:cs="Arial"/>
          <w:i/>
          <w:iCs/>
          <w:color w:val="1E1E1E"/>
          <w:kern w:val="0"/>
          <w:sz w:val="24"/>
          <w:szCs w:val="24"/>
          <w:lang w:eastAsia="en-GB"/>
          <w14:ligatures w14:val="none"/>
        </w:rPr>
        <w:t xml:space="preserve">(2) The TRA </w:t>
      </w:r>
      <w:r w:rsidRPr="00ED0A82">
        <w:rPr>
          <w:rFonts w:ascii="Arial" w:eastAsia="Times New Roman" w:hAnsi="Arial" w:cs="Arial"/>
          <w:i/>
          <w:iCs/>
          <w:color w:val="1E1E1E"/>
          <w:kern w:val="0"/>
          <w:sz w:val="24"/>
          <w:szCs w:val="24"/>
          <w:lang w:eastAsia="en-GB"/>
          <w14:ligatures w14:val="none"/>
        </w:rPr>
        <w:t>may, where it considers it appropriate, terminate an investigation on the request of the applicant UK industry.</w:t>
      </w:r>
    </w:p>
    <w:p w:rsidR="00ED0A82" w:rsidRPr="00ED0A82" w:rsidP="00BB4417" w14:paraId="6FFB87F4" w14:textId="77777777">
      <w:pPr>
        <w:shd w:val="clear" w:color="auto" w:fill="FFFFFF"/>
        <w:spacing w:after="120" w:line="276" w:lineRule="auto"/>
        <w:ind w:firstLine="720"/>
        <w:jc w:val="both"/>
        <w:rPr>
          <w:rFonts w:ascii="Arial" w:eastAsia="Times New Roman" w:hAnsi="Arial" w:cs="Arial"/>
          <w:i/>
          <w:iCs/>
          <w:color w:val="1E1E1E"/>
          <w:kern w:val="0"/>
          <w:sz w:val="24"/>
          <w:szCs w:val="24"/>
          <w:lang w:eastAsia="en-GB"/>
          <w14:ligatures w14:val="none"/>
        </w:rPr>
      </w:pPr>
      <w:r w:rsidRPr="00ED0A82">
        <w:rPr>
          <w:rFonts w:ascii="Arial" w:eastAsia="Times New Roman" w:hAnsi="Arial" w:cs="Arial"/>
          <w:i/>
          <w:iCs/>
          <w:color w:val="1E1E1E"/>
          <w:kern w:val="0"/>
          <w:sz w:val="24"/>
          <w:szCs w:val="24"/>
          <w:lang w:eastAsia="en-GB"/>
          <w14:ligatures w14:val="none"/>
        </w:rPr>
        <w:t>(3) Where the TRA rejects a request referred to in paragraph (2), it must—</w:t>
      </w:r>
    </w:p>
    <w:p w:rsidR="00ED0A82" w:rsidRPr="00ED0A82" w:rsidP="00BB4417" w14:paraId="1F9B7FBF" w14:textId="77777777">
      <w:pPr>
        <w:shd w:val="clear" w:color="auto" w:fill="FFFFFF"/>
        <w:spacing w:after="120" w:line="276" w:lineRule="auto"/>
        <w:ind w:left="720"/>
        <w:rPr>
          <w:rFonts w:ascii="Arial" w:eastAsia="Times New Roman" w:hAnsi="Arial" w:cs="Arial"/>
          <w:i/>
          <w:iCs/>
          <w:color w:val="1E1E1E"/>
          <w:kern w:val="0"/>
          <w:sz w:val="24"/>
          <w:szCs w:val="24"/>
          <w:lang w:eastAsia="en-GB"/>
          <w14:ligatures w14:val="none"/>
        </w:rPr>
      </w:pPr>
      <w:r w:rsidRPr="00ED0A82">
        <w:rPr>
          <w:rFonts w:ascii="Arial" w:eastAsia="Times New Roman" w:hAnsi="Arial" w:cs="Arial"/>
          <w:i/>
          <w:iCs/>
          <w:color w:val="1E1E1E"/>
          <w:kern w:val="0"/>
          <w:sz w:val="24"/>
          <w:szCs w:val="24"/>
          <w:lang w:eastAsia="en-GB"/>
          <w14:ligatures w14:val="none"/>
        </w:rPr>
        <w:t>(a)publish a notice of its determination setting out the reasons for its determination; and</w:t>
      </w:r>
    </w:p>
    <w:p w:rsidR="00ED0A82" w:rsidRPr="00ED0A82" w:rsidP="00BB4417" w14:paraId="2B808FA4" w14:textId="77777777">
      <w:pPr>
        <w:shd w:val="clear" w:color="auto" w:fill="FFFFFF"/>
        <w:spacing w:after="120" w:line="276" w:lineRule="auto"/>
        <w:ind w:firstLine="720"/>
        <w:rPr>
          <w:rFonts w:ascii="Arial" w:eastAsia="Times New Roman" w:hAnsi="Arial" w:cs="Arial"/>
          <w:i/>
          <w:iCs/>
          <w:color w:val="1E1E1E"/>
          <w:kern w:val="0"/>
          <w:sz w:val="24"/>
          <w:szCs w:val="24"/>
          <w:lang w:eastAsia="en-GB"/>
          <w14:ligatures w14:val="none"/>
        </w:rPr>
      </w:pPr>
      <w:r w:rsidRPr="00ED0A82">
        <w:rPr>
          <w:rFonts w:ascii="Arial" w:eastAsia="Times New Roman" w:hAnsi="Arial" w:cs="Arial"/>
          <w:i/>
          <w:iCs/>
          <w:color w:val="1E1E1E"/>
          <w:kern w:val="0"/>
          <w:sz w:val="24"/>
          <w:szCs w:val="24"/>
          <w:lang w:eastAsia="en-GB"/>
          <w14:ligatures w14:val="none"/>
        </w:rPr>
        <w:t>(b)notify interested parties and contributors.</w:t>
      </w:r>
    </w:p>
    <w:p w:rsidR="00ED0A82" w:rsidRPr="00ED0A82" w:rsidP="00BB4417" w14:paraId="7E134477" w14:textId="77777777">
      <w:pPr>
        <w:shd w:val="clear" w:color="auto" w:fill="FFFFFF"/>
        <w:spacing w:after="120" w:line="276" w:lineRule="auto"/>
        <w:ind w:firstLine="720"/>
        <w:jc w:val="both"/>
        <w:rPr>
          <w:rFonts w:ascii="Arial" w:eastAsia="Times New Roman" w:hAnsi="Arial" w:cs="Arial"/>
          <w:i/>
          <w:iCs/>
          <w:color w:val="1E1E1E"/>
          <w:kern w:val="0"/>
          <w:sz w:val="24"/>
          <w:szCs w:val="24"/>
          <w:lang w:eastAsia="en-GB"/>
          <w14:ligatures w14:val="none"/>
        </w:rPr>
      </w:pPr>
      <w:r w:rsidRPr="00ED0A82">
        <w:rPr>
          <w:rFonts w:ascii="Arial" w:eastAsia="Times New Roman" w:hAnsi="Arial" w:cs="Arial"/>
          <w:i/>
          <w:iCs/>
          <w:color w:val="1E1E1E"/>
          <w:kern w:val="0"/>
          <w:sz w:val="24"/>
          <w:szCs w:val="24"/>
          <w:lang w:eastAsia="en-GB"/>
          <w14:ligatures w14:val="none"/>
        </w:rPr>
        <w:t>(4) Where the TRA terminates an investigation under this regulation, it must—</w:t>
      </w:r>
    </w:p>
    <w:p w:rsidR="00ED0A82" w:rsidRPr="00ED0A82" w:rsidP="00C17301" w14:paraId="44368AC8" w14:textId="77777777">
      <w:pPr>
        <w:shd w:val="clear" w:color="auto" w:fill="FFFFFF"/>
        <w:spacing w:after="120" w:line="276" w:lineRule="auto"/>
        <w:ind w:left="720"/>
        <w:rPr>
          <w:rFonts w:ascii="Arial" w:eastAsia="Times New Roman" w:hAnsi="Arial" w:cs="Arial"/>
          <w:i/>
          <w:iCs/>
          <w:color w:val="1E1E1E"/>
          <w:kern w:val="0"/>
          <w:sz w:val="24"/>
          <w:szCs w:val="24"/>
          <w:lang w:eastAsia="en-GB"/>
          <w14:ligatures w14:val="none"/>
        </w:rPr>
      </w:pPr>
      <w:r w:rsidRPr="00ED0A82">
        <w:rPr>
          <w:rFonts w:ascii="Arial" w:eastAsia="Times New Roman" w:hAnsi="Arial" w:cs="Arial"/>
          <w:i/>
          <w:iCs/>
          <w:color w:val="1E1E1E"/>
          <w:kern w:val="0"/>
          <w:sz w:val="24"/>
          <w:szCs w:val="24"/>
          <w:lang w:eastAsia="en-GB"/>
          <w14:ligatures w14:val="none"/>
        </w:rPr>
        <w:t>(a)publish a notice of its determination in accordance with paragraph </w:t>
      </w:r>
      <w:hyperlink r:id="rId6" w:anchor="regulation-65-8" w:tooltip="Go to reg. 65(8)" w:history="1">
        <w:r w:rsidRPr="00ED0A82">
          <w:rPr>
            <w:rFonts w:ascii="Arial" w:eastAsia="Times New Roman" w:hAnsi="Arial" w:cs="Arial"/>
            <w:i/>
            <w:iCs/>
            <w:color w:val="0A64D7"/>
            <w:kern w:val="0"/>
            <w:sz w:val="24"/>
            <w:szCs w:val="24"/>
            <w:u w:val="single"/>
            <w:lang w:eastAsia="en-GB"/>
            <w14:ligatures w14:val="none"/>
          </w:rPr>
          <w:t>65(8)</w:t>
        </w:r>
      </w:hyperlink>
      <w:r w:rsidRPr="00ED0A82">
        <w:rPr>
          <w:rFonts w:ascii="Arial" w:eastAsia="Times New Roman" w:hAnsi="Arial" w:cs="Arial"/>
          <w:i/>
          <w:iCs/>
          <w:color w:val="1E1E1E"/>
          <w:kern w:val="0"/>
          <w:sz w:val="24"/>
          <w:szCs w:val="24"/>
          <w:lang w:eastAsia="en-GB"/>
          <w14:ligatures w14:val="none"/>
        </w:rPr>
        <w:t>; and</w:t>
      </w:r>
    </w:p>
    <w:p w:rsidR="00ED0A82" w:rsidRPr="00ED0A82" w:rsidP="00BB4417" w14:paraId="7B76F6BD" w14:textId="77777777">
      <w:pPr>
        <w:shd w:val="clear" w:color="auto" w:fill="FFFFFF"/>
        <w:spacing w:after="120" w:line="276" w:lineRule="auto"/>
        <w:ind w:firstLine="720"/>
        <w:rPr>
          <w:rFonts w:ascii="Arial" w:eastAsia="Times New Roman" w:hAnsi="Arial" w:cs="Arial"/>
          <w:i/>
          <w:iCs/>
          <w:color w:val="1E1E1E"/>
          <w:kern w:val="0"/>
          <w:sz w:val="24"/>
          <w:szCs w:val="24"/>
          <w:lang w:eastAsia="en-GB"/>
          <w14:ligatures w14:val="none"/>
        </w:rPr>
      </w:pPr>
      <w:r w:rsidRPr="00ED0A82">
        <w:rPr>
          <w:rFonts w:ascii="Arial" w:eastAsia="Times New Roman" w:hAnsi="Arial" w:cs="Arial"/>
          <w:i/>
          <w:iCs/>
          <w:color w:val="1E1E1E"/>
          <w:kern w:val="0"/>
          <w:sz w:val="24"/>
          <w:szCs w:val="24"/>
          <w:lang w:eastAsia="en-GB"/>
          <w14:ligatures w14:val="none"/>
        </w:rPr>
        <w:t>(b)notify interested parties and contributors.</w:t>
      </w:r>
      <w:r w:rsidRPr="00AF60E2" w:rsidR="001114D2">
        <w:rPr>
          <w:rFonts w:ascii="Arial" w:eastAsia="Times New Roman" w:hAnsi="Arial" w:cs="Arial"/>
          <w:i/>
          <w:iCs/>
          <w:color w:val="1E1E1E"/>
          <w:kern w:val="0"/>
          <w:sz w:val="24"/>
          <w:szCs w:val="24"/>
          <w:lang w:eastAsia="en-GB"/>
          <w14:ligatures w14:val="none"/>
        </w:rPr>
        <w:t>”</w:t>
      </w:r>
    </w:p>
    <w:p w:rsidR="00ED0A82" w:rsidRPr="00AF60E2" w:rsidP="00BB4417" w14:paraId="1DE4B9EE" w14:textId="77777777">
      <w:pPr>
        <w:spacing w:line="276" w:lineRule="auto"/>
        <w:ind w:left="360"/>
        <w:rPr>
          <w:rFonts w:ascii="Arial" w:hAnsi="Arial" w:cs="Arial"/>
          <w:i/>
          <w:iCs/>
          <w:sz w:val="24"/>
          <w:szCs w:val="24"/>
        </w:rPr>
      </w:pPr>
    </w:p>
    <w:p w:rsidR="00ED0A82" w:rsidRPr="00AF60E2" w:rsidP="00BB4417" w14:paraId="6ABDB04E"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 xml:space="preserve">In this regard Regulation </w:t>
      </w:r>
      <w:r w:rsidRPr="00AF60E2" w:rsidR="00955962">
        <w:rPr>
          <w:rFonts w:ascii="Arial" w:hAnsi="Arial" w:cs="Arial"/>
          <w:sz w:val="24"/>
          <w:szCs w:val="24"/>
        </w:rPr>
        <w:t>4 provides:</w:t>
      </w:r>
    </w:p>
    <w:p w:rsidR="00955962" w:rsidRPr="00955962" w:rsidP="00BB4417" w14:paraId="0A21A02B" w14:textId="77777777">
      <w:pPr>
        <w:spacing w:after="120" w:line="276" w:lineRule="auto"/>
        <w:ind w:firstLine="720"/>
        <w:jc w:val="both"/>
        <w:outlineLvl w:val="2"/>
        <w:rPr>
          <w:rFonts w:ascii="Arial" w:eastAsia="Times New Roman" w:hAnsi="Arial" w:cs="Arial"/>
          <w:b/>
          <w:bCs/>
          <w:i/>
          <w:iCs/>
          <w:color w:val="000000"/>
          <w:kern w:val="0"/>
          <w:sz w:val="24"/>
          <w:szCs w:val="24"/>
          <w:lang w:eastAsia="en-GB"/>
          <w14:ligatures w14:val="none"/>
        </w:rPr>
      </w:pPr>
      <w:r w:rsidRPr="00AF60E2">
        <w:rPr>
          <w:rFonts w:ascii="Arial" w:eastAsia="Times New Roman" w:hAnsi="Arial" w:cs="Arial"/>
          <w:b/>
          <w:bCs/>
          <w:i/>
          <w:iCs/>
          <w:color w:val="000000"/>
          <w:kern w:val="0"/>
          <w:sz w:val="24"/>
          <w:szCs w:val="24"/>
          <w:lang w:eastAsia="en-GB"/>
          <w14:ligatures w14:val="none"/>
        </w:rPr>
        <w:t>“</w:t>
      </w:r>
      <w:r w:rsidRPr="00955962">
        <w:rPr>
          <w:rFonts w:ascii="Arial" w:eastAsia="Times New Roman" w:hAnsi="Arial" w:cs="Arial"/>
          <w:b/>
          <w:bCs/>
          <w:i/>
          <w:iCs/>
          <w:color w:val="000000"/>
          <w:kern w:val="0"/>
          <w:sz w:val="24"/>
          <w:szCs w:val="24"/>
          <w:lang w:eastAsia="en-GB"/>
          <w14:ligatures w14:val="none"/>
        </w:rPr>
        <w:t xml:space="preserve">Meaning of </w:t>
      </w:r>
      <w:r w:rsidRPr="00955962">
        <w:rPr>
          <w:rFonts w:ascii="Arial" w:eastAsia="Times New Roman" w:hAnsi="Arial" w:cs="Arial"/>
          <w:b/>
          <w:bCs/>
          <w:i/>
          <w:iCs/>
          <w:color w:val="000000"/>
          <w:kern w:val="0"/>
          <w:sz w:val="24"/>
          <w:szCs w:val="24"/>
          <w:lang w:eastAsia="en-GB"/>
          <w14:ligatures w14:val="none"/>
        </w:rPr>
        <w:t>“negligible” in relation to dumped goods</w:t>
      </w:r>
    </w:p>
    <w:p w:rsidR="00955962" w:rsidRPr="00955962" w:rsidP="00BB4417" w14:paraId="470A4074" w14:textId="77777777">
      <w:pPr>
        <w:shd w:val="clear" w:color="auto" w:fill="FFFFFF"/>
        <w:spacing w:after="120" w:line="276" w:lineRule="auto"/>
        <w:ind w:left="720"/>
        <w:rPr>
          <w:rFonts w:ascii="Arial" w:eastAsia="Times New Roman" w:hAnsi="Arial" w:cs="Arial"/>
          <w:i/>
          <w:iCs/>
          <w:color w:val="1E1E1E"/>
          <w:kern w:val="0"/>
          <w:sz w:val="24"/>
          <w:szCs w:val="24"/>
          <w:lang w:eastAsia="en-GB"/>
          <w14:ligatures w14:val="none"/>
        </w:rPr>
      </w:pPr>
      <w:r w:rsidRPr="00955962">
        <w:rPr>
          <w:rFonts w:ascii="Arial" w:eastAsia="Times New Roman" w:hAnsi="Arial" w:cs="Arial"/>
          <w:b/>
          <w:bCs/>
          <w:i/>
          <w:iCs/>
          <w:color w:val="1E1E1E"/>
          <w:kern w:val="0"/>
          <w:sz w:val="24"/>
          <w:szCs w:val="24"/>
          <w:lang w:eastAsia="en-GB"/>
          <w14:ligatures w14:val="none"/>
        </w:rPr>
        <w:t>4.</w:t>
      </w:r>
      <w:r w:rsidRPr="00955962">
        <w:rPr>
          <w:rFonts w:ascii="Arial" w:eastAsia="Times New Roman" w:hAnsi="Arial" w:cs="Arial"/>
          <w:i/>
          <w:iCs/>
          <w:color w:val="1E1E1E"/>
          <w:kern w:val="0"/>
          <w:sz w:val="24"/>
          <w:szCs w:val="24"/>
          <w:lang w:eastAsia="en-GB"/>
          <w14:ligatures w14:val="none"/>
        </w:rPr>
        <w:t xml:space="preserve">  For the purpose of these Regulations, the volume of dumped goods is negligible where the exporting country or territory </w:t>
      </w:r>
      <w:r w:rsidRPr="00955962">
        <w:rPr>
          <w:rFonts w:ascii="Arial" w:eastAsia="Times New Roman" w:hAnsi="Arial" w:cs="Arial"/>
          <w:b/>
          <w:bCs/>
          <w:i/>
          <w:iCs/>
          <w:color w:val="1E1E1E"/>
          <w:kern w:val="0"/>
          <w:sz w:val="24"/>
          <w:szCs w:val="24"/>
          <w:u w:val="single"/>
          <w:lang w:eastAsia="en-GB"/>
          <w14:ligatures w14:val="none"/>
        </w:rPr>
        <w:t>accounts for less than 3 per cent. of imports of the like goods imported into the United Kingdom</w:t>
      </w:r>
      <w:r w:rsidRPr="00955962">
        <w:rPr>
          <w:rFonts w:ascii="Arial" w:eastAsia="Times New Roman" w:hAnsi="Arial" w:cs="Arial"/>
          <w:i/>
          <w:iCs/>
          <w:color w:val="1E1E1E"/>
          <w:kern w:val="0"/>
          <w:sz w:val="24"/>
          <w:szCs w:val="24"/>
          <w:lang w:eastAsia="en-GB"/>
          <w14:ligatures w14:val="none"/>
        </w:rPr>
        <w:t>, except where the exporting countries or territories individually account for less than 3 per cent. of imports of the like goods imported into the United Kingdom but collectively account for more than 7 per cent. of imports of the like goods into the United Kingdom.</w:t>
      </w:r>
      <w:r w:rsidRPr="00AF60E2" w:rsidR="00B94EDB">
        <w:rPr>
          <w:rFonts w:ascii="Arial" w:eastAsia="Times New Roman" w:hAnsi="Arial" w:cs="Arial"/>
          <w:i/>
          <w:iCs/>
          <w:color w:val="1E1E1E"/>
          <w:kern w:val="0"/>
          <w:sz w:val="24"/>
          <w:szCs w:val="24"/>
          <w:lang w:eastAsia="en-GB"/>
          <w14:ligatures w14:val="none"/>
        </w:rPr>
        <w:t>”</w:t>
      </w:r>
    </w:p>
    <w:p w:rsidR="00955962" w:rsidRPr="00AF60E2" w:rsidP="00BB4417" w14:paraId="6F5769C5" w14:textId="77777777">
      <w:pPr>
        <w:pStyle w:val="ListParagraph"/>
        <w:spacing w:line="276" w:lineRule="auto"/>
        <w:rPr>
          <w:rFonts w:ascii="Arial" w:hAnsi="Arial" w:cs="Arial"/>
          <w:sz w:val="24"/>
          <w:szCs w:val="24"/>
        </w:rPr>
      </w:pPr>
    </w:p>
    <w:p w:rsidR="00916C78" w:rsidRPr="00AF60E2" w:rsidP="0091599C" w14:paraId="07819D49" w14:textId="77777777">
      <w:pPr>
        <w:pStyle w:val="ListParagraph"/>
        <w:numPr>
          <w:ilvl w:val="0"/>
          <w:numId w:val="1"/>
        </w:numPr>
        <w:spacing w:after="0" w:line="276" w:lineRule="auto"/>
        <w:rPr>
          <w:rFonts w:ascii="Arial" w:hAnsi="Arial" w:cs="Arial"/>
          <w:i/>
          <w:iCs/>
          <w:sz w:val="24"/>
          <w:szCs w:val="24"/>
        </w:rPr>
      </w:pPr>
      <w:r w:rsidRPr="00AF60E2">
        <w:rPr>
          <w:rFonts w:ascii="Arial" w:eastAsia="Times New Roman" w:hAnsi="Arial" w:cs="Arial"/>
          <w:sz w:val="24"/>
          <w:szCs w:val="24"/>
        </w:rPr>
        <w:t>The provisions are reflected in the statement by the TRA at PAD paragraph 124 that:</w:t>
      </w:r>
    </w:p>
    <w:p w:rsidR="002D6F9E" w:rsidRPr="00AF60E2" w:rsidP="00BB4417" w14:paraId="127BB098" w14:textId="77777777">
      <w:pPr>
        <w:pStyle w:val="ListParagraph"/>
        <w:spacing w:after="0" w:line="276" w:lineRule="auto"/>
        <w:rPr>
          <w:rFonts w:ascii="Arial" w:eastAsia="Times New Roman" w:hAnsi="Arial" w:cs="Arial"/>
          <w:i/>
          <w:iCs/>
          <w:sz w:val="24"/>
          <w:szCs w:val="24"/>
        </w:rPr>
      </w:pPr>
      <w:r w:rsidRPr="00AF60E2">
        <w:rPr>
          <w:rFonts w:ascii="Arial" w:hAnsi="Arial" w:cs="Arial"/>
          <w:i/>
          <w:iCs/>
          <w:sz w:val="24"/>
          <w:szCs w:val="24"/>
        </w:rPr>
        <w:t xml:space="preserve">“124. For the import volumes from a foreign country or territory to be more than negligible, the dumped goods or subsidised imports must account for at least 3% by volume of all goods concerned and like goods imported into the UK. This does not apply however where imports from a foreign country or territory individually account for less than 3% of total imports, but collectively </w:t>
      </w:r>
      <w:r w:rsidRPr="00AF60E2">
        <w:rPr>
          <w:rFonts w:ascii="Arial" w:hAnsi="Arial" w:cs="Arial"/>
          <w:i/>
          <w:iCs/>
          <w:sz w:val="24"/>
          <w:szCs w:val="24"/>
        </w:rPr>
        <w:t>account for more than 7% (less than 4% individually but more than 9% collectively for subsidised imports from developing countries).</w:t>
      </w:r>
      <w:r w:rsidRPr="00AF60E2" w:rsidR="009D4D0D">
        <w:rPr>
          <w:rFonts w:ascii="Arial" w:hAnsi="Arial" w:cs="Arial"/>
          <w:i/>
          <w:iCs/>
          <w:sz w:val="24"/>
          <w:szCs w:val="24"/>
        </w:rPr>
        <w:t>”</w:t>
      </w:r>
    </w:p>
    <w:p w:rsidR="002D6F9E" w:rsidRPr="00AF60E2" w:rsidP="00BB4417" w14:paraId="2E327E1A" w14:textId="77777777">
      <w:pPr>
        <w:pStyle w:val="ListParagraph"/>
        <w:spacing w:after="0" w:line="276" w:lineRule="auto"/>
        <w:rPr>
          <w:rFonts w:ascii="Arial" w:eastAsia="Times New Roman" w:hAnsi="Arial" w:cs="Arial"/>
          <w:sz w:val="24"/>
          <w:szCs w:val="24"/>
        </w:rPr>
      </w:pPr>
    </w:p>
    <w:p w:rsidR="00B21D54" w:rsidRPr="00AF60E2" w:rsidP="00BB4417" w14:paraId="621C7ED7" w14:textId="77777777">
      <w:pPr>
        <w:pStyle w:val="ListParagraph"/>
        <w:numPr>
          <w:ilvl w:val="0"/>
          <w:numId w:val="1"/>
        </w:numPr>
        <w:spacing w:after="0" w:line="276" w:lineRule="auto"/>
        <w:rPr>
          <w:rFonts w:ascii="Arial" w:eastAsia="Times New Roman" w:hAnsi="Arial" w:cs="Arial"/>
          <w:sz w:val="24"/>
          <w:szCs w:val="24"/>
        </w:rPr>
      </w:pPr>
      <w:r w:rsidRPr="00AF60E2">
        <w:rPr>
          <w:rFonts w:ascii="Arial" w:eastAsia="Times New Roman" w:hAnsi="Arial" w:cs="Arial"/>
          <w:sz w:val="24"/>
          <w:szCs w:val="24"/>
        </w:rPr>
        <w:t xml:space="preserve">It is submitted that </w:t>
      </w:r>
      <w:r w:rsidRPr="00AF60E2">
        <w:rPr>
          <w:rFonts w:ascii="Arial" w:eastAsia="Times New Roman" w:hAnsi="Arial" w:cs="Arial"/>
          <w:sz w:val="24"/>
          <w:szCs w:val="24"/>
          <w:lang w:val="lt-LT"/>
        </w:rPr>
        <w:t xml:space="preserve">TRA made an incorrect determination </w:t>
      </w:r>
      <w:r w:rsidRPr="00AF60E2" w:rsidR="00F041A4">
        <w:rPr>
          <w:rFonts w:ascii="Arial" w:eastAsia="Times New Roman" w:hAnsi="Arial" w:cs="Arial"/>
          <w:sz w:val="24"/>
          <w:szCs w:val="24"/>
          <w:lang w:val="lt-LT"/>
        </w:rPr>
        <w:t xml:space="preserve">at PAD paragraph 86 </w:t>
      </w:r>
      <w:r w:rsidRPr="00AF60E2">
        <w:rPr>
          <w:rFonts w:ascii="Arial" w:eastAsia="Times New Roman" w:hAnsi="Arial" w:cs="Arial"/>
          <w:sz w:val="24"/>
          <w:szCs w:val="24"/>
          <w:lang w:val="lt-LT"/>
        </w:rPr>
        <w:t xml:space="preserve">stating that during </w:t>
      </w:r>
      <w:r w:rsidRPr="00AF60E2" w:rsidR="00F041A4">
        <w:rPr>
          <w:rFonts w:ascii="Arial" w:eastAsia="Times New Roman" w:hAnsi="Arial" w:cs="Arial"/>
          <w:sz w:val="24"/>
          <w:szCs w:val="24"/>
          <w:lang w:val="lt-LT"/>
        </w:rPr>
        <w:t>the POI</w:t>
      </w:r>
      <w:r w:rsidRPr="00AF60E2" w:rsidR="009D4D0D">
        <w:rPr>
          <w:rFonts w:ascii="Arial" w:eastAsia="Times New Roman" w:hAnsi="Arial" w:cs="Arial"/>
          <w:sz w:val="24"/>
          <w:szCs w:val="24"/>
          <w:lang w:val="lt-LT"/>
        </w:rPr>
        <w:t xml:space="preserve"> that </w:t>
      </w:r>
      <w:r w:rsidRPr="00AF60E2" w:rsidR="00F041A4">
        <w:rPr>
          <w:rFonts w:ascii="Arial" w:eastAsia="Times New Roman" w:hAnsi="Arial" w:cs="Arial"/>
          <w:sz w:val="24"/>
          <w:szCs w:val="24"/>
          <w:lang w:val="lt-LT"/>
        </w:rPr>
        <w:t xml:space="preserve">the UK </w:t>
      </w:r>
      <w:r w:rsidRPr="00AF60E2">
        <w:rPr>
          <w:rFonts w:ascii="Arial" w:eastAsia="Times New Roman" w:hAnsi="Arial" w:cs="Arial"/>
          <w:sz w:val="24"/>
          <w:szCs w:val="24"/>
          <w:lang w:val="lt-LT"/>
        </w:rPr>
        <w:t>import share by volume for Lithuania was 3</w:t>
      </w:r>
      <w:r w:rsidRPr="00AF60E2" w:rsidR="00F041A4">
        <w:rPr>
          <w:rFonts w:ascii="Arial" w:eastAsia="Times New Roman" w:hAnsi="Arial" w:cs="Arial"/>
          <w:sz w:val="24"/>
          <w:szCs w:val="24"/>
          <w:lang w:val="lt-LT"/>
        </w:rPr>
        <w:t>.</w:t>
      </w:r>
      <w:r w:rsidRPr="00AF60E2">
        <w:rPr>
          <w:rFonts w:ascii="Arial" w:eastAsia="Times New Roman" w:hAnsi="Arial" w:cs="Arial"/>
          <w:sz w:val="24"/>
          <w:szCs w:val="24"/>
          <w:lang w:val="lt-LT"/>
        </w:rPr>
        <w:t>11</w:t>
      </w:r>
      <w:r w:rsidRPr="00AF60E2" w:rsidR="00F041A4">
        <w:rPr>
          <w:rFonts w:ascii="Arial" w:eastAsia="Times New Roman" w:hAnsi="Arial" w:cs="Arial"/>
          <w:sz w:val="24"/>
          <w:szCs w:val="24"/>
          <w:lang w:val="lt-LT"/>
        </w:rPr>
        <w:t>%.</w:t>
      </w:r>
    </w:p>
    <w:p w:rsidR="000F3781" w:rsidRPr="00AF60E2" w:rsidP="00BB4417" w14:paraId="7A3ADE4F" w14:textId="77777777">
      <w:pPr>
        <w:pStyle w:val="ListParagraph"/>
        <w:spacing w:after="0" w:line="276" w:lineRule="auto"/>
        <w:rPr>
          <w:rFonts w:ascii="Arial" w:eastAsia="Times New Roman" w:hAnsi="Arial" w:cs="Arial"/>
          <w:sz w:val="24"/>
          <w:szCs w:val="24"/>
        </w:rPr>
      </w:pPr>
    </w:p>
    <w:p w:rsidR="00C117DA" w:rsidRPr="00AF60E2" w:rsidP="00BB4417" w14:paraId="3F6F8598" w14:textId="77777777">
      <w:pPr>
        <w:pStyle w:val="ListParagraph"/>
        <w:numPr>
          <w:ilvl w:val="0"/>
          <w:numId w:val="1"/>
        </w:numPr>
        <w:spacing w:after="0" w:line="276" w:lineRule="auto"/>
        <w:rPr>
          <w:rFonts w:ascii="Arial" w:eastAsia="Times New Roman" w:hAnsi="Arial" w:cs="Arial"/>
          <w:sz w:val="24"/>
          <w:szCs w:val="24"/>
        </w:rPr>
      </w:pPr>
      <w:r w:rsidRPr="00AF60E2">
        <w:rPr>
          <w:rFonts w:ascii="Arial" w:eastAsia="Times New Roman" w:hAnsi="Arial" w:cs="Arial"/>
          <w:sz w:val="24"/>
          <w:szCs w:val="24"/>
        </w:rPr>
        <w:t xml:space="preserve">The </w:t>
      </w:r>
      <w:r w:rsidRPr="00AF60E2" w:rsidR="006450A0">
        <w:rPr>
          <w:rFonts w:ascii="Arial" w:eastAsia="Times New Roman" w:hAnsi="Arial" w:cs="Arial"/>
          <w:sz w:val="24"/>
          <w:szCs w:val="24"/>
        </w:rPr>
        <w:t xml:space="preserve">data set out in </w:t>
      </w:r>
      <w:r w:rsidRPr="00AF60E2" w:rsidR="00E543B6">
        <w:rPr>
          <w:rFonts w:ascii="Arial" w:eastAsia="Times New Roman" w:hAnsi="Arial" w:cs="Arial"/>
          <w:sz w:val="24"/>
          <w:szCs w:val="24"/>
        </w:rPr>
        <w:t>PAD 126 is disputed.</w:t>
      </w:r>
    </w:p>
    <w:p w:rsidR="00B21D54" w:rsidRPr="00AF60E2" w:rsidP="00BB4417" w14:paraId="3464ECAA" w14:textId="77777777">
      <w:pPr>
        <w:spacing w:line="276" w:lineRule="auto"/>
        <w:ind w:left="720"/>
        <w:rPr>
          <w:rFonts w:ascii="Arial" w:hAnsi="Arial" w:cs="Arial"/>
          <w:sz w:val="24"/>
          <w:szCs w:val="24"/>
        </w:rPr>
      </w:pPr>
      <w:r w:rsidRPr="00AF60E2">
        <w:rPr>
          <w:rFonts w:ascii="Arial" w:hAnsi="Arial" w:cs="Arial"/>
          <w:b/>
          <w:bCs/>
          <w:sz w:val="24"/>
          <w:szCs w:val="24"/>
          <w:lang w:val="en-US"/>
        </w:rPr>
        <w:t> </w:t>
      </w:r>
    </w:p>
    <w:p w:rsidR="00B21D54" w:rsidRPr="00AF60E2" w:rsidP="00BB4417" w14:paraId="1ED8046F" w14:textId="77777777">
      <w:pPr>
        <w:spacing w:line="276" w:lineRule="auto"/>
        <w:rPr>
          <w:rFonts w:ascii="Arial" w:hAnsi="Arial" w:cs="Arial"/>
          <w:sz w:val="24"/>
          <w:szCs w:val="24"/>
        </w:rPr>
      </w:pPr>
      <w:r w:rsidRPr="00AF60E2">
        <w:rPr>
          <w:rFonts w:ascii="Arial" w:hAnsi="Arial" w:cs="Arial"/>
          <w:noProof/>
          <w:sz w:val="24"/>
          <w:szCs w:val="24"/>
          <w:lang w:val="lt-LT"/>
          <w14:ligatures w14:val="none"/>
        </w:rPr>
        <w:drawing>
          <wp:inline distT="0" distB="0" distL="0" distR="0">
            <wp:extent cx="5648325" cy="2085975"/>
            <wp:effectExtent l="0" t="0" r="0" b="0"/>
            <wp:docPr id="1847392780" name="Picture 1" descr="A table with numbers and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92780" name="Picture 1" descr="A table with numbers and percentages&#10;&#10;AI-generated content may be incorrect."/>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648325" cy="2085975"/>
                    </a:xfrm>
                    <a:prstGeom prst="rect">
                      <a:avLst/>
                    </a:prstGeom>
                    <a:noFill/>
                    <a:ln>
                      <a:noFill/>
                    </a:ln>
                  </pic:spPr>
                </pic:pic>
              </a:graphicData>
            </a:graphic>
          </wp:inline>
        </w:drawing>
      </w:r>
    </w:p>
    <w:p w:rsidR="00B21D54" w:rsidRPr="00AF60E2" w:rsidP="00BB4417" w14:paraId="602EE586"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However, a</w:t>
      </w:r>
      <w:r w:rsidRPr="00AF60E2">
        <w:rPr>
          <w:rFonts w:ascii="Arial" w:hAnsi="Arial" w:cs="Arial"/>
          <w:sz w:val="24"/>
          <w:szCs w:val="24"/>
          <w:lang w:val="lt-LT"/>
        </w:rPr>
        <w:t xml:space="preserve">ccording </w:t>
      </w:r>
      <w:r w:rsidRPr="00AF60E2" w:rsidR="007E2479">
        <w:rPr>
          <w:rFonts w:ascii="Arial" w:hAnsi="Arial" w:cs="Arial"/>
          <w:sz w:val="24"/>
          <w:szCs w:val="24"/>
          <w:lang w:val="lt-LT"/>
        </w:rPr>
        <w:t xml:space="preserve">to </w:t>
      </w:r>
      <w:r w:rsidRPr="00AF60E2">
        <w:rPr>
          <w:rFonts w:ascii="Arial" w:hAnsi="Arial" w:cs="Arial"/>
          <w:sz w:val="24"/>
          <w:szCs w:val="24"/>
          <w:lang w:val="lt-LT"/>
        </w:rPr>
        <w:t xml:space="preserve">the factual import volume from Lithuania, </w:t>
      </w:r>
      <w:r w:rsidRPr="00AF60E2" w:rsidR="007E2479">
        <w:rPr>
          <w:rFonts w:ascii="Arial" w:hAnsi="Arial" w:cs="Arial"/>
          <w:sz w:val="24"/>
          <w:szCs w:val="24"/>
          <w:lang w:val="lt-LT"/>
        </w:rPr>
        <w:t xml:space="preserve">the </w:t>
      </w:r>
      <w:r w:rsidRPr="00AF60E2">
        <w:rPr>
          <w:rFonts w:ascii="Arial" w:hAnsi="Arial" w:cs="Arial"/>
          <w:b/>
          <w:bCs/>
          <w:sz w:val="24"/>
          <w:szCs w:val="24"/>
          <w:lang w:val="lt-LT"/>
        </w:rPr>
        <w:t>import share by volume for Lithuania was just 2</w:t>
      </w:r>
      <w:r w:rsidRPr="00AF60E2" w:rsidR="007E2479">
        <w:rPr>
          <w:rFonts w:ascii="Arial" w:hAnsi="Arial" w:cs="Arial"/>
          <w:b/>
          <w:bCs/>
          <w:sz w:val="24"/>
          <w:szCs w:val="24"/>
          <w:lang w:val="lt-LT"/>
        </w:rPr>
        <w:t>.</w:t>
      </w:r>
      <w:r w:rsidRPr="00AF60E2">
        <w:rPr>
          <w:rFonts w:ascii="Arial" w:hAnsi="Arial" w:cs="Arial"/>
          <w:b/>
          <w:bCs/>
          <w:sz w:val="24"/>
          <w:szCs w:val="24"/>
          <w:lang w:val="lt-LT"/>
        </w:rPr>
        <w:t xml:space="preserve">88 </w:t>
      </w:r>
      <w:r w:rsidRPr="00AF60E2">
        <w:rPr>
          <w:rFonts w:ascii="Arial" w:hAnsi="Arial" w:cs="Arial"/>
          <w:b/>
          <w:bCs/>
          <w:sz w:val="24"/>
          <w:szCs w:val="24"/>
          <w:lang w:val="en-US"/>
        </w:rPr>
        <w:t>%:</w:t>
      </w:r>
    </w:p>
    <w:p w:rsidR="00B21D54" w:rsidRPr="00AF60E2" w:rsidP="00BB4417" w14:paraId="02281F4C" w14:textId="77777777">
      <w:pPr>
        <w:spacing w:line="276" w:lineRule="auto"/>
        <w:rPr>
          <w:rFonts w:ascii="Arial" w:hAnsi="Arial" w:cs="Arial"/>
          <w:sz w:val="24"/>
          <w:szCs w:val="24"/>
        </w:rPr>
      </w:pPr>
      <w:r w:rsidRPr="00AF60E2">
        <w:rPr>
          <w:rFonts w:ascii="Arial" w:hAnsi="Arial" w:cs="Arial"/>
          <w:b/>
          <w:bCs/>
          <w:sz w:val="24"/>
          <w:szCs w:val="24"/>
          <w:lang w:val="en-US"/>
        </w:rPr>
        <w:t> </w:t>
      </w:r>
    </w:p>
    <w:tbl>
      <w:tblPr>
        <w:tblW w:w="8492" w:type="dxa"/>
        <w:tblInd w:w="250" w:type="dxa"/>
        <w:tblCellMar>
          <w:left w:w="0" w:type="dxa"/>
          <w:right w:w="0" w:type="dxa"/>
        </w:tblCellMar>
        <w:tblLook w:val="04A0"/>
      </w:tblPr>
      <w:tblGrid>
        <w:gridCol w:w="1569"/>
        <w:gridCol w:w="1916"/>
        <w:gridCol w:w="2349"/>
        <w:gridCol w:w="2658"/>
      </w:tblGrid>
      <w:tr w14:paraId="6A4B02D8" w14:textId="77777777" w:rsidTr="00EA2C7B">
        <w:tblPrEx>
          <w:tblW w:w="8492" w:type="dxa"/>
          <w:tblInd w:w="250" w:type="dxa"/>
          <w:tblCellMar>
            <w:left w:w="0" w:type="dxa"/>
            <w:right w:w="0" w:type="dxa"/>
          </w:tblCellMar>
          <w:tblLook w:val="04A0"/>
        </w:tblPrEx>
        <w:trPr>
          <w:trHeight w:val="1651"/>
        </w:trPr>
        <w:tc>
          <w:tcPr>
            <w:tcW w:w="1569"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hideMark/>
          </w:tcPr>
          <w:p w:rsidR="00B21D54" w:rsidRPr="00AF60E2" w:rsidP="00BB4417" w14:paraId="58456360" w14:textId="77777777">
            <w:pPr>
              <w:spacing w:line="276" w:lineRule="auto"/>
              <w:rPr>
                <w:rFonts w:ascii="Arial" w:hAnsi="Arial" w:cs="Arial"/>
                <w:sz w:val="24"/>
                <w:szCs w:val="24"/>
              </w:rPr>
            </w:pPr>
            <w:r w:rsidRPr="00AF60E2">
              <w:rPr>
                <w:rFonts w:ascii="Arial" w:hAnsi="Arial" w:cs="Arial"/>
                <w:b/>
                <w:bCs/>
                <w:color w:val="000000"/>
                <w:sz w:val="24"/>
                <w:szCs w:val="24"/>
              </w:rPr>
              <w:t>COUNTRY</w:t>
            </w:r>
          </w:p>
        </w:tc>
        <w:tc>
          <w:tcPr>
            <w:tcW w:w="191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B21D54" w:rsidRPr="00AF60E2" w:rsidP="00BB4417" w14:paraId="79023FA0" w14:textId="77777777">
            <w:pPr>
              <w:spacing w:line="276" w:lineRule="auto"/>
              <w:rPr>
                <w:rFonts w:ascii="Arial" w:hAnsi="Arial" w:cs="Arial"/>
                <w:sz w:val="24"/>
                <w:szCs w:val="24"/>
              </w:rPr>
            </w:pPr>
            <w:r w:rsidRPr="00AF60E2">
              <w:rPr>
                <w:rFonts w:ascii="Arial" w:hAnsi="Arial" w:cs="Arial"/>
                <w:b/>
                <w:bCs/>
                <w:color w:val="000000"/>
                <w:sz w:val="24"/>
                <w:szCs w:val="24"/>
              </w:rPr>
              <w:t>Volume (thousands of metric tonnes) 27101981</w:t>
            </w:r>
          </w:p>
        </w:tc>
        <w:tc>
          <w:tcPr>
            <w:tcW w:w="234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B21D54" w:rsidRPr="00AF60E2" w:rsidP="00BB4417" w14:paraId="664FE797" w14:textId="77777777">
            <w:pPr>
              <w:spacing w:line="276" w:lineRule="auto"/>
              <w:rPr>
                <w:rFonts w:ascii="Arial" w:hAnsi="Arial" w:cs="Arial"/>
                <w:sz w:val="24"/>
                <w:szCs w:val="24"/>
              </w:rPr>
            </w:pPr>
            <w:r w:rsidRPr="00AF60E2">
              <w:rPr>
                <w:rFonts w:ascii="Arial" w:hAnsi="Arial" w:cs="Arial"/>
                <w:b/>
                <w:bCs/>
                <w:color w:val="000000"/>
                <w:sz w:val="24"/>
                <w:szCs w:val="24"/>
              </w:rPr>
              <w:t>Volume (thousands of metric tonnes) 27101983</w:t>
            </w:r>
          </w:p>
        </w:tc>
        <w:tc>
          <w:tcPr>
            <w:tcW w:w="265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B21D54" w:rsidRPr="00AF60E2" w:rsidP="00BB4417" w14:paraId="22747F79" w14:textId="77777777">
            <w:pPr>
              <w:spacing w:line="276" w:lineRule="auto"/>
              <w:rPr>
                <w:rFonts w:ascii="Arial" w:hAnsi="Arial" w:cs="Arial"/>
                <w:sz w:val="24"/>
                <w:szCs w:val="24"/>
              </w:rPr>
            </w:pPr>
            <w:r w:rsidRPr="00AF60E2">
              <w:rPr>
                <w:rFonts w:ascii="Arial" w:hAnsi="Arial" w:cs="Arial"/>
                <w:b/>
                <w:bCs/>
                <w:color w:val="000000"/>
                <w:sz w:val="24"/>
                <w:szCs w:val="24"/>
              </w:rPr>
              <w:t>Volume (thousands of metric tonnes) 27101981 +27101983</w:t>
            </w:r>
          </w:p>
        </w:tc>
      </w:tr>
      <w:tr w14:paraId="2D2DCBC3" w14:textId="77777777" w:rsidTr="00EA2C7B">
        <w:tblPrEx>
          <w:tblW w:w="8492" w:type="dxa"/>
          <w:tblInd w:w="250" w:type="dxa"/>
          <w:tblCellMar>
            <w:left w:w="0" w:type="dxa"/>
            <w:right w:w="0" w:type="dxa"/>
          </w:tblCellMar>
          <w:tblLook w:val="04A0"/>
        </w:tblPrEx>
        <w:trPr>
          <w:trHeight w:val="423"/>
        </w:trPr>
        <w:tc>
          <w:tcPr>
            <w:tcW w:w="15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21D54" w:rsidRPr="00AF60E2" w:rsidP="00BB4417" w14:paraId="5AB91A05" w14:textId="77777777">
            <w:pPr>
              <w:spacing w:line="276" w:lineRule="auto"/>
              <w:rPr>
                <w:rFonts w:ascii="Arial" w:hAnsi="Arial" w:cs="Arial"/>
                <w:sz w:val="24"/>
                <w:szCs w:val="24"/>
              </w:rPr>
            </w:pPr>
            <w:r w:rsidRPr="00AF60E2">
              <w:rPr>
                <w:rFonts w:ascii="Arial" w:hAnsi="Arial" w:cs="Arial"/>
                <w:sz w:val="24"/>
                <w:szCs w:val="24"/>
              </w:rPr>
              <w:t>Lithuania (metric tonnes)</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21D54" w:rsidRPr="00AF60E2" w:rsidP="00BB4417" w14:paraId="0A280DD5" w14:textId="77777777">
            <w:pPr>
              <w:spacing w:line="276" w:lineRule="auto"/>
              <w:rPr>
                <w:rFonts w:ascii="Arial" w:hAnsi="Arial" w:cs="Arial"/>
                <w:sz w:val="24"/>
                <w:szCs w:val="24"/>
              </w:rPr>
            </w:pPr>
            <w:r w:rsidRPr="00AF60E2">
              <w:rPr>
                <w:rFonts w:ascii="Arial" w:hAnsi="Arial" w:cs="Arial"/>
                <w:sz w:val="24"/>
                <w:szCs w:val="24"/>
              </w:rPr>
              <w:t>3,97265616</w:t>
            </w:r>
          </w:p>
        </w:tc>
        <w:tc>
          <w:tcPr>
            <w:tcW w:w="23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21D54" w:rsidRPr="00AF60E2" w:rsidP="00BB4417" w14:paraId="3DA759F4" w14:textId="77777777">
            <w:pPr>
              <w:spacing w:line="276" w:lineRule="auto"/>
              <w:rPr>
                <w:rFonts w:ascii="Arial" w:hAnsi="Arial" w:cs="Arial"/>
                <w:sz w:val="24"/>
                <w:szCs w:val="24"/>
              </w:rPr>
            </w:pPr>
            <w:r w:rsidRPr="00AF60E2">
              <w:rPr>
                <w:rFonts w:ascii="Arial" w:hAnsi="Arial" w:cs="Arial"/>
                <w:sz w:val="24"/>
                <w:szCs w:val="24"/>
              </w:rPr>
              <w:t>0,1663087</w:t>
            </w:r>
          </w:p>
        </w:tc>
        <w:tc>
          <w:tcPr>
            <w:tcW w:w="26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21D54" w:rsidRPr="00AF60E2" w:rsidP="00BB4417" w14:paraId="5832BA9C" w14:textId="77777777">
            <w:pPr>
              <w:spacing w:line="276" w:lineRule="auto"/>
              <w:rPr>
                <w:rFonts w:ascii="Arial" w:hAnsi="Arial" w:cs="Arial"/>
                <w:sz w:val="24"/>
                <w:szCs w:val="24"/>
              </w:rPr>
            </w:pPr>
            <w:r w:rsidRPr="00AF60E2">
              <w:rPr>
                <w:rFonts w:ascii="Arial" w:hAnsi="Arial" w:cs="Arial"/>
                <w:sz w:val="24"/>
                <w:szCs w:val="24"/>
              </w:rPr>
              <w:t>4,13896486</w:t>
            </w:r>
          </w:p>
        </w:tc>
      </w:tr>
      <w:tr w14:paraId="4303A0F6" w14:textId="77777777" w:rsidTr="00EA2C7B">
        <w:tblPrEx>
          <w:tblW w:w="8492" w:type="dxa"/>
          <w:tblInd w:w="250" w:type="dxa"/>
          <w:tblCellMar>
            <w:left w:w="0" w:type="dxa"/>
            <w:right w:w="0" w:type="dxa"/>
          </w:tblCellMar>
          <w:tblLook w:val="04A0"/>
        </w:tblPrEx>
        <w:trPr>
          <w:trHeight w:val="540"/>
        </w:trPr>
        <w:tc>
          <w:tcPr>
            <w:tcW w:w="15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21D54" w:rsidRPr="00AF60E2" w:rsidP="00BB4417" w14:paraId="50EED08E" w14:textId="77777777">
            <w:pPr>
              <w:spacing w:line="276" w:lineRule="auto"/>
              <w:rPr>
                <w:rFonts w:ascii="Arial" w:hAnsi="Arial" w:cs="Arial"/>
                <w:sz w:val="24"/>
                <w:szCs w:val="24"/>
              </w:rPr>
            </w:pPr>
            <w:r w:rsidRPr="00AF60E2">
              <w:rPr>
                <w:rFonts w:ascii="Arial" w:hAnsi="Arial" w:cs="Arial"/>
                <w:sz w:val="24"/>
                <w:szCs w:val="24"/>
              </w:rPr>
              <w:t>Lithuania (%)</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21D54" w:rsidRPr="00AF60E2" w:rsidP="00BB4417" w14:paraId="74C3B3D2" w14:textId="77777777">
            <w:pPr>
              <w:spacing w:line="276" w:lineRule="auto"/>
              <w:rPr>
                <w:rFonts w:ascii="Arial" w:hAnsi="Arial" w:cs="Arial"/>
                <w:sz w:val="24"/>
                <w:szCs w:val="24"/>
              </w:rPr>
            </w:pPr>
            <w:r w:rsidRPr="00AF60E2">
              <w:rPr>
                <w:rFonts w:ascii="Arial" w:hAnsi="Arial" w:cs="Arial"/>
                <w:b/>
                <w:bCs/>
                <w:sz w:val="24"/>
                <w:szCs w:val="24"/>
              </w:rPr>
              <w:t>3</w:t>
            </w:r>
            <w:r w:rsidRPr="00AF60E2" w:rsidR="008C1A4F">
              <w:rPr>
                <w:rFonts w:ascii="Arial" w:hAnsi="Arial" w:cs="Arial"/>
                <w:b/>
                <w:bCs/>
                <w:sz w:val="24"/>
                <w:szCs w:val="24"/>
              </w:rPr>
              <w:t>.</w:t>
            </w:r>
            <w:r w:rsidRPr="00AF60E2">
              <w:rPr>
                <w:rFonts w:ascii="Arial" w:hAnsi="Arial" w:cs="Arial"/>
                <w:b/>
                <w:bCs/>
                <w:sz w:val="24"/>
                <w:szCs w:val="24"/>
              </w:rPr>
              <w:t>32%</w:t>
            </w:r>
          </w:p>
        </w:tc>
        <w:tc>
          <w:tcPr>
            <w:tcW w:w="23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21D54" w:rsidRPr="00AF60E2" w:rsidP="00BB4417" w14:paraId="12D67022" w14:textId="77777777">
            <w:pPr>
              <w:spacing w:line="276" w:lineRule="auto"/>
              <w:rPr>
                <w:rFonts w:ascii="Arial" w:hAnsi="Arial" w:cs="Arial"/>
                <w:sz w:val="24"/>
                <w:szCs w:val="24"/>
              </w:rPr>
            </w:pPr>
            <w:r w:rsidRPr="00AF60E2">
              <w:rPr>
                <w:rFonts w:ascii="Arial" w:hAnsi="Arial" w:cs="Arial"/>
                <w:b/>
                <w:bCs/>
                <w:sz w:val="24"/>
                <w:szCs w:val="24"/>
              </w:rPr>
              <w:t>0</w:t>
            </w:r>
            <w:r w:rsidRPr="00AF60E2" w:rsidR="008C1A4F">
              <w:rPr>
                <w:rFonts w:ascii="Arial" w:hAnsi="Arial" w:cs="Arial"/>
                <w:b/>
                <w:bCs/>
                <w:sz w:val="24"/>
                <w:szCs w:val="24"/>
              </w:rPr>
              <w:t>.</w:t>
            </w:r>
            <w:r w:rsidRPr="00AF60E2">
              <w:rPr>
                <w:rFonts w:ascii="Arial" w:hAnsi="Arial" w:cs="Arial"/>
                <w:b/>
                <w:bCs/>
                <w:sz w:val="24"/>
                <w:szCs w:val="24"/>
              </w:rPr>
              <w:t>69%</w:t>
            </w:r>
          </w:p>
        </w:tc>
        <w:tc>
          <w:tcPr>
            <w:tcW w:w="26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21D54" w:rsidRPr="00AF60E2" w:rsidP="00BB4417" w14:paraId="4798911B" w14:textId="77777777">
            <w:pPr>
              <w:spacing w:line="276" w:lineRule="auto"/>
              <w:rPr>
                <w:rFonts w:ascii="Arial" w:hAnsi="Arial" w:cs="Arial"/>
                <w:sz w:val="24"/>
                <w:szCs w:val="24"/>
              </w:rPr>
            </w:pPr>
            <w:r w:rsidRPr="00AF60E2">
              <w:rPr>
                <w:rFonts w:ascii="Arial" w:hAnsi="Arial" w:cs="Arial"/>
                <w:b/>
                <w:bCs/>
                <w:sz w:val="24"/>
                <w:szCs w:val="24"/>
              </w:rPr>
              <w:t>2</w:t>
            </w:r>
            <w:r w:rsidRPr="00AF60E2" w:rsidR="003F1C17">
              <w:rPr>
                <w:rFonts w:ascii="Arial" w:hAnsi="Arial" w:cs="Arial"/>
                <w:b/>
                <w:bCs/>
                <w:sz w:val="24"/>
                <w:szCs w:val="24"/>
              </w:rPr>
              <w:t>.</w:t>
            </w:r>
            <w:r w:rsidRPr="00AF60E2">
              <w:rPr>
                <w:rFonts w:ascii="Arial" w:hAnsi="Arial" w:cs="Arial"/>
                <w:b/>
                <w:bCs/>
                <w:sz w:val="24"/>
                <w:szCs w:val="24"/>
              </w:rPr>
              <w:t>88%</w:t>
            </w:r>
          </w:p>
        </w:tc>
      </w:tr>
      <w:tr w14:paraId="5E7C8BD0" w14:textId="77777777" w:rsidTr="00EA2C7B">
        <w:tblPrEx>
          <w:tblW w:w="8492" w:type="dxa"/>
          <w:tblInd w:w="250" w:type="dxa"/>
          <w:tblCellMar>
            <w:left w:w="0" w:type="dxa"/>
            <w:right w:w="0" w:type="dxa"/>
          </w:tblCellMar>
          <w:tblLook w:val="04A0"/>
        </w:tblPrEx>
        <w:trPr>
          <w:trHeight w:val="423"/>
        </w:trPr>
        <w:tc>
          <w:tcPr>
            <w:tcW w:w="15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21D54" w:rsidRPr="00AF60E2" w:rsidP="00BB4417" w14:paraId="7D42C346" w14:textId="77777777">
            <w:pPr>
              <w:spacing w:line="276" w:lineRule="auto"/>
              <w:rPr>
                <w:rFonts w:ascii="Arial" w:hAnsi="Arial" w:cs="Arial"/>
                <w:sz w:val="24"/>
                <w:szCs w:val="24"/>
              </w:rPr>
            </w:pPr>
            <w:r w:rsidRPr="00AF60E2">
              <w:rPr>
                <w:rFonts w:ascii="Arial" w:hAnsi="Arial" w:cs="Arial"/>
                <w:sz w:val="24"/>
                <w:szCs w:val="24"/>
              </w:rPr>
              <w:t>All Imports (metric tonnes)</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21D54" w:rsidRPr="00AF60E2" w:rsidP="00BB4417" w14:paraId="054A4055" w14:textId="77777777">
            <w:pPr>
              <w:spacing w:line="276" w:lineRule="auto"/>
              <w:rPr>
                <w:rFonts w:ascii="Arial" w:hAnsi="Arial" w:cs="Arial"/>
                <w:sz w:val="24"/>
                <w:szCs w:val="24"/>
              </w:rPr>
            </w:pPr>
            <w:r w:rsidRPr="00AF60E2">
              <w:rPr>
                <w:rFonts w:ascii="Arial" w:hAnsi="Arial" w:cs="Arial"/>
                <w:sz w:val="24"/>
                <w:szCs w:val="24"/>
              </w:rPr>
              <w:t>119,7</w:t>
            </w:r>
          </w:p>
        </w:tc>
        <w:tc>
          <w:tcPr>
            <w:tcW w:w="23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21D54" w:rsidRPr="00AF60E2" w:rsidP="00BB4417" w14:paraId="0C929F93" w14:textId="77777777">
            <w:pPr>
              <w:spacing w:line="276" w:lineRule="auto"/>
              <w:rPr>
                <w:rFonts w:ascii="Arial" w:hAnsi="Arial" w:cs="Arial"/>
                <w:sz w:val="24"/>
                <w:szCs w:val="24"/>
              </w:rPr>
            </w:pPr>
            <w:r w:rsidRPr="00AF60E2">
              <w:rPr>
                <w:rFonts w:ascii="Arial" w:hAnsi="Arial" w:cs="Arial"/>
                <w:sz w:val="24"/>
                <w:szCs w:val="24"/>
              </w:rPr>
              <w:t>24,00</w:t>
            </w:r>
          </w:p>
        </w:tc>
        <w:tc>
          <w:tcPr>
            <w:tcW w:w="26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21D54" w:rsidRPr="00AF60E2" w:rsidP="00BB4417" w14:paraId="700081B2" w14:textId="77777777">
            <w:pPr>
              <w:spacing w:line="276" w:lineRule="auto"/>
              <w:rPr>
                <w:rFonts w:ascii="Arial" w:hAnsi="Arial" w:cs="Arial"/>
                <w:sz w:val="24"/>
                <w:szCs w:val="24"/>
              </w:rPr>
            </w:pPr>
            <w:r w:rsidRPr="00AF60E2">
              <w:rPr>
                <w:rFonts w:ascii="Arial" w:hAnsi="Arial" w:cs="Arial"/>
                <w:sz w:val="24"/>
                <w:szCs w:val="24"/>
              </w:rPr>
              <w:t>143,7</w:t>
            </w:r>
          </w:p>
        </w:tc>
      </w:tr>
      <w:tr w14:paraId="3FCE4277" w14:textId="77777777" w:rsidTr="00EA2C7B">
        <w:tblPrEx>
          <w:tblW w:w="8492" w:type="dxa"/>
          <w:tblInd w:w="250" w:type="dxa"/>
          <w:tblCellMar>
            <w:left w:w="0" w:type="dxa"/>
            <w:right w:w="0" w:type="dxa"/>
          </w:tblCellMar>
          <w:tblLook w:val="04A0"/>
        </w:tblPrEx>
        <w:trPr>
          <w:trHeight w:val="423"/>
        </w:trPr>
        <w:tc>
          <w:tcPr>
            <w:tcW w:w="15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21D54" w:rsidRPr="00AF60E2" w:rsidP="00BB4417" w14:paraId="6B0C9808" w14:textId="77777777">
            <w:pPr>
              <w:spacing w:line="276" w:lineRule="auto"/>
              <w:rPr>
                <w:rFonts w:ascii="Arial" w:hAnsi="Arial" w:cs="Arial"/>
                <w:sz w:val="24"/>
                <w:szCs w:val="24"/>
              </w:rPr>
            </w:pPr>
            <w:r w:rsidRPr="00AF60E2">
              <w:rPr>
                <w:rFonts w:ascii="Arial" w:hAnsi="Arial" w:cs="Arial"/>
                <w:sz w:val="24"/>
                <w:szCs w:val="24"/>
              </w:rPr>
              <w:t>All Imports (%)</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21D54" w:rsidRPr="00AF60E2" w:rsidP="00BB4417" w14:paraId="5D315334" w14:textId="77777777">
            <w:pPr>
              <w:spacing w:line="276" w:lineRule="auto"/>
              <w:rPr>
                <w:rFonts w:ascii="Arial" w:hAnsi="Arial" w:cs="Arial"/>
                <w:sz w:val="24"/>
                <w:szCs w:val="24"/>
              </w:rPr>
            </w:pPr>
            <w:r w:rsidRPr="00AF60E2">
              <w:rPr>
                <w:rFonts w:ascii="Arial" w:hAnsi="Arial" w:cs="Arial"/>
                <w:sz w:val="24"/>
                <w:szCs w:val="24"/>
              </w:rPr>
              <w:t>100%</w:t>
            </w:r>
          </w:p>
        </w:tc>
        <w:tc>
          <w:tcPr>
            <w:tcW w:w="23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21D54" w:rsidRPr="00AF60E2" w:rsidP="00BB4417" w14:paraId="4851EC19" w14:textId="77777777">
            <w:pPr>
              <w:spacing w:line="276" w:lineRule="auto"/>
              <w:rPr>
                <w:rFonts w:ascii="Arial" w:hAnsi="Arial" w:cs="Arial"/>
                <w:sz w:val="24"/>
                <w:szCs w:val="24"/>
              </w:rPr>
            </w:pPr>
            <w:r w:rsidRPr="00AF60E2">
              <w:rPr>
                <w:rFonts w:ascii="Arial" w:hAnsi="Arial" w:cs="Arial"/>
                <w:sz w:val="24"/>
                <w:szCs w:val="24"/>
              </w:rPr>
              <w:t>100%</w:t>
            </w:r>
          </w:p>
        </w:tc>
        <w:tc>
          <w:tcPr>
            <w:tcW w:w="26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21D54" w:rsidRPr="00AF60E2" w:rsidP="00BB4417" w14:paraId="09DB5EBE" w14:textId="77777777">
            <w:pPr>
              <w:spacing w:line="276" w:lineRule="auto"/>
              <w:rPr>
                <w:rFonts w:ascii="Arial" w:hAnsi="Arial" w:cs="Arial"/>
                <w:sz w:val="24"/>
                <w:szCs w:val="24"/>
              </w:rPr>
            </w:pPr>
            <w:r w:rsidRPr="00AF60E2">
              <w:rPr>
                <w:rFonts w:ascii="Arial" w:hAnsi="Arial" w:cs="Arial"/>
                <w:sz w:val="24"/>
                <w:szCs w:val="24"/>
              </w:rPr>
              <w:t>100%</w:t>
            </w:r>
          </w:p>
        </w:tc>
      </w:tr>
    </w:tbl>
    <w:p w:rsidR="00B21D54" w:rsidP="00BB4417" w14:paraId="66D8A5D8" w14:textId="77777777">
      <w:pPr>
        <w:spacing w:line="276" w:lineRule="auto"/>
        <w:rPr>
          <w:rFonts w:ascii="Arial" w:hAnsi="Arial" w:cs="Arial"/>
          <w:sz w:val="24"/>
          <w:szCs w:val="24"/>
          <w:lang w:val="lt-LT"/>
        </w:rPr>
      </w:pPr>
      <w:r w:rsidRPr="00AF60E2">
        <w:rPr>
          <w:rFonts w:ascii="Arial" w:hAnsi="Arial" w:cs="Arial"/>
          <w:sz w:val="24"/>
          <w:szCs w:val="24"/>
          <w:lang w:val="lt-LT"/>
        </w:rPr>
        <w:t> </w:t>
      </w:r>
    </w:p>
    <w:p w:rsidR="003765D4" w:rsidP="003765D4" w14:paraId="63D07877" w14:textId="2C995E39">
      <w:pPr>
        <w:spacing w:line="276" w:lineRule="auto"/>
        <w:ind w:left="720" w:hanging="294"/>
        <w:rPr>
          <w:rFonts w:ascii="Arial" w:hAnsi="Arial" w:cs="Arial"/>
          <w:sz w:val="24"/>
          <w:szCs w:val="24"/>
          <w:lang w:val="lt-LT"/>
        </w:rPr>
      </w:pPr>
      <w:r>
        <w:rPr>
          <w:rFonts w:ascii="Arial" w:hAnsi="Arial" w:cs="Arial"/>
          <w:sz w:val="24"/>
          <w:szCs w:val="24"/>
          <w:lang w:val="lt-LT"/>
        </w:rPr>
        <w:t>29(a) The source for the above table is as follows. UAB SCT Lubricants have submitted [Redacted. Commercially Sensitive Information]</w:t>
      </w:r>
      <w:r>
        <w:rPr>
          <w:rFonts w:ascii="Arial" w:hAnsi="Arial" w:cs="Arial"/>
          <w:sz w:val="24"/>
          <w:szCs w:val="24"/>
          <w:lang w:val="lt-LT"/>
        </w:rPr>
        <w:t xml:space="preserve"> </w:t>
      </w:r>
      <w:r>
        <w:rPr>
          <w:rFonts w:ascii="Arial" w:hAnsi="Arial" w:cs="Arial"/>
          <w:sz w:val="24"/>
          <w:szCs w:val="24"/>
          <w:lang w:val="lt-LT"/>
        </w:rPr>
        <w:t xml:space="preserve">the totals of their exports to the UK. </w:t>
      </w:r>
      <w:r>
        <w:rPr>
          <w:rFonts w:ascii="Arial" w:hAnsi="Arial" w:cs="Arial"/>
          <w:sz w:val="24"/>
          <w:szCs w:val="24"/>
          <w:lang w:val="lt-LT"/>
        </w:rPr>
        <w:t>[Redacted. Commercially Sensitive Information].</w:t>
      </w:r>
    </w:p>
    <w:p w:rsidR="003765D4" w:rsidRPr="004B19D1" w:rsidP="003765D4" w14:paraId="4FAA4FFC" w14:textId="12C087DA">
      <w:pPr>
        <w:spacing w:line="276" w:lineRule="auto"/>
        <w:ind w:left="720" w:hanging="153"/>
        <w:rPr>
          <w:rFonts w:ascii="Arial" w:hAnsi="Arial" w:cs="Arial"/>
          <w:sz w:val="24"/>
          <w:szCs w:val="24"/>
          <w:lang w:val="lt-LT"/>
        </w:rPr>
      </w:pPr>
      <w:r>
        <w:rPr>
          <w:rFonts w:ascii="Arial" w:hAnsi="Arial" w:cs="Arial"/>
          <w:sz w:val="24"/>
          <w:szCs w:val="24"/>
          <w:lang w:val="lt-LT"/>
        </w:rPr>
        <w:t xml:space="preserve">29(b) UAB SCT Lubricants figures include goods classifed under Product Codes that are not the subject of this investigation. Attached at </w:t>
      </w:r>
      <w:r>
        <w:rPr>
          <w:rFonts w:ascii="Arial" w:hAnsi="Arial" w:cs="Arial"/>
          <w:sz w:val="24"/>
          <w:szCs w:val="24"/>
          <w:lang w:val="lt-LT"/>
        </w:rPr>
        <w:t xml:space="preserve">Non </w:t>
      </w:r>
      <w:r>
        <w:rPr>
          <w:rFonts w:ascii="Arial" w:hAnsi="Arial" w:cs="Arial"/>
          <w:sz w:val="24"/>
          <w:szCs w:val="24"/>
          <w:lang w:val="lt-LT"/>
        </w:rPr>
        <w:t xml:space="preserve">Confidential 27101981 (Engine Oils) and </w:t>
      </w:r>
      <w:r>
        <w:rPr>
          <w:rFonts w:ascii="Arial" w:hAnsi="Arial" w:cs="Arial"/>
          <w:sz w:val="24"/>
          <w:szCs w:val="24"/>
          <w:lang w:val="lt-LT"/>
        </w:rPr>
        <w:t xml:space="preserve">Non </w:t>
      </w:r>
      <w:r>
        <w:rPr>
          <w:rFonts w:ascii="Arial" w:hAnsi="Arial" w:cs="Arial"/>
          <w:sz w:val="24"/>
          <w:szCs w:val="24"/>
          <w:lang w:val="lt-LT"/>
        </w:rPr>
        <w:t>Confidential 27101983 (Industrial Oils) are the corresponding tables for goods that ARE within scope, representing the volume purch</w:t>
      </w:r>
      <w:r>
        <w:rPr>
          <w:rFonts w:ascii="Arial" w:hAnsi="Arial" w:cs="Arial"/>
          <w:sz w:val="24"/>
          <w:szCs w:val="24"/>
          <w:lang w:val="lt-LT"/>
        </w:rPr>
        <w:t>a</w:t>
      </w:r>
      <w:r>
        <w:rPr>
          <w:rFonts w:ascii="Arial" w:hAnsi="Arial" w:cs="Arial"/>
          <w:sz w:val="24"/>
          <w:szCs w:val="24"/>
          <w:lang w:val="lt-LT"/>
        </w:rPr>
        <w:t>sed by Lubriage from UAB SCT Lubricants crucially totalling the figures set out in the “Metric Tonnes“ column. The percentages are recalculated as against the TRA table (figure 6)  that is in par</w:t>
      </w:r>
      <w:r>
        <w:rPr>
          <w:rFonts w:ascii="Arial" w:hAnsi="Arial" w:cs="Arial"/>
          <w:sz w:val="24"/>
          <w:szCs w:val="24"/>
          <w:lang w:val="lt-LT"/>
        </w:rPr>
        <w:t>a</w:t>
      </w:r>
      <w:r>
        <w:rPr>
          <w:rFonts w:ascii="Arial" w:hAnsi="Arial" w:cs="Arial"/>
          <w:sz w:val="24"/>
          <w:szCs w:val="24"/>
          <w:lang w:val="lt-LT"/>
        </w:rPr>
        <w:t>graph 28.</w:t>
      </w:r>
    </w:p>
    <w:p w:rsidR="003765D4" w:rsidRPr="00AF60E2" w:rsidP="00BB4417" w14:paraId="0C125E8E" w14:textId="77777777">
      <w:pPr>
        <w:spacing w:line="276" w:lineRule="auto"/>
        <w:rPr>
          <w:rFonts w:ascii="Arial" w:hAnsi="Arial" w:cs="Arial"/>
          <w:sz w:val="24"/>
          <w:szCs w:val="24"/>
        </w:rPr>
      </w:pPr>
    </w:p>
    <w:p w:rsidR="00120BE4" w:rsidRPr="00AF60E2" w:rsidP="00BB4417" w14:paraId="205F4EC6"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lang w:val="lt-LT"/>
        </w:rPr>
        <w:t xml:space="preserve">As the import of goods under the scope of investigation from Lithuania to UK </w:t>
      </w:r>
      <w:r w:rsidRPr="00AF60E2">
        <w:rPr>
          <w:rFonts w:ascii="Arial" w:hAnsi="Arial" w:cs="Arial"/>
          <w:sz w:val="24"/>
          <w:szCs w:val="24"/>
          <w:lang w:val="lt-LT"/>
        </w:rPr>
        <w:t>was less the 3% (by volume)</w:t>
      </w:r>
      <w:r w:rsidRPr="00AF60E2" w:rsidR="007E2479">
        <w:rPr>
          <w:rFonts w:ascii="Arial" w:hAnsi="Arial" w:cs="Arial"/>
          <w:sz w:val="24"/>
          <w:szCs w:val="24"/>
          <w:lang w:val="lt-LT"/>
        </w:rPr>
        <w:t xml:space="preserve"> the TRA should conclude its investigat</w:t>
      </w:r>
      <w:r w:rsidRPr="00AF60E2" w:rsidR="00233EB5">
        <w:rPr>
          <w:rFonts w:ascii="Arial" w:hAnsi="Arial" w:cs="Arial"/>
          <w:sz w:val="24"/>
          <w:szCs w:val="24"/>
          <w:lang w:val="lt-LT"/>
        </w:rPr>
        <w:t>ion</w:t>
      </w:r>
      <w:r w:rsidRPr="00AF60E2" w:rsidR="007E2479">
        <w:rPr>
          <w:rFonts w:ascii="Arial" w:hAnsi="Arial" w:cs="Arial"/>
          <w:sz w:val="24"/>
          <w:szCs w:val="24"/>
          <w:lang w:val="lt-LT"/>
        </w:rPr>
        <w:t xml:space="preserve"> with regard to Lithuania as the imports levels are negligible.</w:t>
      </w:r>
    </w:p>
    <w:p w:rsidR="00C1526F" w:rsidRPr="00AF60E2" w:rsidP="00BB4417" w14:paraId="035DCCB6" w14:textId="77777777">
      <w:pPr>
        <w:pStyle w:val="ListParagraph"/>
        <w:spacing w:line="276" w:lineRule="auto"/>
        <w:rPr>
          <w:rFonts w:ascii="Arial" w:hAnsi="Arial" w:cs="Arial"/>
          <w:sz w:val="24"/>
          <w:szCs w:val="24"/>
        </w:rPr>
      </w:pPr>
    </w:p>
    <w:p w:rsidR="00C1526F" w:rsidRPr="00AF60E2" w:rsidP="00BB4417" w14:paraId="4083203C"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lang w:val="lt-LT"/>
        </w:rPr>
        <w:t xml:space="preserve">Furthermore, even if </w:t>
      </w:r>
      <w:r w:rsidRPr="00AF60E2" w:rsidR="007E2479">
        <w:rPr>
          <w:rFonts w:ascii="Arial" w:hAnsi="Arial" w:cs="Arial"/>
          <w:sz w:val="24"/>
          <w:szCs w:val="24"/>
          <w:lang w:val="lt-LT"/>
        </w:rPr>
        <w:t>the TRA findings were correct it is submitted that the margin over the negligible threshold is just 0</w:t>
      </w:r>
      <w:r w:rsidRPr="00AF60E2" w:rsidR="007E2479">
        <w:rPr>
          <w:rFonts w:ascii="Arial" w:hAnsi="Arial" w:cs="Arial"/>
          <w:sz w:val="24"/>
          <w:szCs w:val="24"/>
          <w:lang w:val="en-US"/>
        </w:rPr>
        <w:t>.</w:t>
      </w:r>
      <w:r w:rsidRPr="00AF60E2">
        <w:rPr>
          <w:rFonts w:ascii="Arial" w:hAnsi="Arial" w:cs="Arial"/>
          <w:sz w:val="24"/>
          <w:szCs w:val="24"/>
          <w:lang w:val="en-US"/>
        </w:rPr>
        <w:t>11 % - 0</w:t>
      </w:r>
      <w:r w:rsidRPr="00AF60E2" w:rsidR="007E2479">
        <w:rPr>
          <w:rFonts w:ascii="Arial" w:hAnsi="Arial" w:cs="Arial"/>
          <w:sz w:val="24"/>
          <w:szCs w:val="24"/>
          <w:lang w:val="en-US"/>
        </w:rPr>
        <w:t>.</w:t>
      </w:r>
      <w:r w:rsidRPr="00AF60E2">
        <w:rPr>
          <w:rFonts w:ascii="Arial" w:hAnsi="Arial" w:cs="Arial"/>
          <w:sz w:val="24"/>
          <w:szCs w:val="24"/>
          <w:lang w:val="en-US"/>
        </w:rPr>
        <w:t>14 % more th</w:t>
      </w:r>
      <w:r w:rsidRPr="00AF60E2" w:rsidR="00120BE4">
        <w:rPr>
          <w:rFonts w:ascii="Arial" w:hAnsi="Arial" w:cs="Arial"/>
          <w:sz w:val="24"/>
          <w:szCs w:val="24"/>
          <w:lang w:val="en-US"/>
        </w:rPr>
        <w:t xml:space="preserve">an the </w:t>
      </w:r>
      <w:r w:rsidRPr="00AF60E2">
        <w:rPr>
          <w:rFonts w:ascii="Arial" w:hAnsi="Arial" w:cs="Arial"/>
          <w:sz w:val="24"/>
          <w:szCs w:val="24"/>
          <w:lang w:val="lt-LT"/>
        </w:rPr>
        <w:t xml:space="preserve">negligible </w:t>
      </w:r>
      <w:r w:rsidRPr="00AF60E2" w:rsidR="00120BE4">
        <w:rPr>
          <w:rFonts w:ascii="Arial" w:hAnsi="Arial" w:cs="Arial"/>
          <w:sz w:val="24"/>
          <w:szCs w:val="24"/>
          <w:lang w:val="lt-LT"/>
        </w:rPr>
        <w:t xml:space="preserve">threshold set by Regulation 4. </w:t>
      </w:r>
      <w:r w:rsidRPr="00AF60E2">
        <w:rPr>
          <w:rFonts w:ascii="Arial" w:hAnsi="Arial" w:cs="Arial"/>
          <w:sz w:val="24"/>
          <w:szCs w:val="24"/>
          <w:lang w:val="lt-LT"/>
        </w:rPr>
        <w:t xml:space="preserve"> </w:t>
      </w:r>
      <w:r w:rsidRPr="00AF60E2" w:rsidR="007E2479">
        <w:rPr>
          <w:rFonts w:ascii="Arial" w:hAnsi="Arial" w:cs="Arial"/>
          <w:sz w:val="24"/>
          <w:szCs w:val="24"/>
          <w:lang w:val="lt-LT"/>
        </w:rPr>
        <w:t>In such circumstances the data should be re-evaluated so that any margi</w:t>
      </w:r>
      <w:r w:rsidRPr="00AF60E2" w:rsidR="00120BE4">
        <w:rPr>
          <w:rFonts w:ascii="Arial" w:hAnsi="Arial" w:cs="Arial"/>
          <w:sz w:val="24"/>
          <w:szCs w:val="24"/>
          <w:lang w:val="lt-LT"/>
        </w:rPr>
        <w:t>n</w:t>
      </w:r>
      <w:r w:rsidRPr="00AF60E2" w:rsidR="007E2479">
        <w:rPr>
          <w:rFonts w:ascii="Arial" w:hAnsi="Arial" w:cs="Arial"/>
          <w:sz w:val="24"/>
          <w:szCs w:val="24"/>
          <w:lang w:val="lt-LT"/>
        </w:rPr>
        <w:t xml:space="preserve"> of error can be discounted.</w:t>
      </w:r>
    </w:p>
    <w:p w:rsidR="00C1526F" w:rsidRPr="00AF60E2" w:rsidP="00BB4417" w14:paraId="01786788" w14:textId="77777777">
      <w:pPr>
        <w:pStyle w:val="ListParagraph"/>
        <w:spacing w:line="276" w:lineRule="auto"/>
        <w:rPr>
          <w:rFonts w:ascii="Arial" w:hAnsi="Arial" w:cs="Arial"/>
          <w:sz w:val="24"/>
          <w:szCs w:val="24"/>
          <w:lang w:val="lt-LT"/>
        </w:rPr>
      </w:pPr>
    </w:p>
    <w:p w:rsidR="007E2479" w:rsidRPr="00AF60E2" w:rsidP="00BB4417" w14:paraId="032875B2"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lang w:val="lt-LT"/>
        </w:rPr>
        <w:t>The T</w:t>
      </w:r>
      <w:r w:rsidRPr="00AF60E2" w:rsidR="00B21D54">
        <w:rPr>
          <w:rFonts w:ascii="Arial" w:hAnsi="Arial" w:cs="Arial"/>
          <w:sz w:val="24"/>
          <w:szCs w:val="24"/>
          <w:lang w:val="lt-LT"/>
        </w:rPr>
        <w:t>RA itself stated</w:t>
      </w:r>
      <w:r w:rsidRPr="00AF60E2">
        <w:rPr>
          <w:rFonts w:ascii="Arial" w:hAnsi="Arial" w:cs="Arial"/>
          <w:sz w:val="24"/>
          <w:szCs w:val="24"/>
          <w:lang w:val="lt-LT"/>
        </w:rPr>
        <w:t xml:space="preserve"> at </w:t>
      </w:r>
      <w:r w:rsidRPr="00AF60E2" w:rsidR="00E175D0">
        <w:rPr>
          <w:rFonts w:ascii="Arial" w:hAnsi="Arial" w:cs="Arial"/>
          <w:sz w:val="24"/>
          <w:szCs w:val="24"/>
          <w:lang w:val="lt-LT"/>
        </w:rPr>
        <w:t>PAD paragraph 84 t</w:t>
      </w:r>
      <w:r w:rsidRPr="00AF60E2" w:rsidR="00B21D54">
        <w:rPr>
          <w:rFonts w:ascii="Arial" w:hAnsi="Arial" w:cs="Arial"/>
          <w:sz w:val="24"/>
          <w:szCs w:val="24"/>
          <w:lang w:val="lt-LT"/>
        </w:rPr>
        <w:t xml:space="preserve">hat: </w:t>
      </w:r>
    </w:p>
    <w:p w:rsidR="007E2479" w:rsidRPr="00AF60E2" w:rsidP="00BB4417" w14:paraId="4237E45D" w14:textId="77777777">
      <w:pPr>
        <w:pStyle w:val="ListParagraph"/>
        <w:spacing w:line="276" w:lineRule="auto"/>
        <w:rPr>
          <w:rFonts w:ascii="Arial" w:hAnsi="Arial" w:cs="Arial"/>
          <w:sz w:val="24"/>
          <w:szCs w:val="24"/>
          <w:lang w:val="lt-LT"/>
        </w:rPr>
      </w:pPr>
    </w:p>
    <w:p w:rsidR="00E175D0" w:rsidRPr="00AF60E2" w:rsidP="00DE0018" w14:paraId="754099AF" w14:textId="77777777">
      <w:pPr>
        <w:spacing w:line="276" w:lineRule="auto"/>
        <w:ind w:left="720"/>
        <w:rPr>
          <w:rFonts w:ascii="Arial" w:hAnsi="Arial" w:cs="Arial"/>
          <w:i/>
          <w:iCs/>
          <w:sz w:val="24"/>
          <w:szCs w:val="24"/>
          <w:lang w:val="lt-LT"/>
        </w:rPr>
      </w:pPr>
      <w:r w:rsidRPr="00AF60E2">
        <w:rPr>
          <w:rFonts w:ascii="Arial" w:hAnsi="Arial" w:cs="Arial"/>
          <w:i/>
          <w:iCs/>
          <w:sz w:val="24"/>
          <w:szCs w:val="24"/>
          <w:lang w:val="lt-LT"/>
        </w:rPr>
        <w:t>“</w:t>
      </w:r>
      <w:r w:rsidRPr="00AF60E2" w:rsidR="00B21D54">
        <w:rPr>
          <w:rFonts w:ascii="Arial" w:hAnsi="Arial" w:cs="Arial"/>
          <w:i/>
          <w:iCs/>
          <w:sz w:val="24"/>
          <w:szCs w:val="24"/>
          <w:lang w:val="lt-LT"/>
        </w:rPr>
        <w:t xml:space="preserve">The most reliable import data that the TRA has access to is the publicly available, 8-digit OTS import data. This data may include some goods that are out of the scope of this investigation, so it is not a reliable source for average pricing“ </w:t>
      </w:r>
      <w:r w:rsidRPr="00AF60E2">
        <w:rPr>
          <w:rFonts w:ascii="Arial" w:hAnsi="Arial" w:cs="Arial"/>
          <w:i/>
          <w:iCs/>
          <w:sz w:val="24"/>
          <w:szCs w:val="24"/>
          <w:lang w:val="lt-LT"/>
        </w:rPr>
        <w:t>.</w:t>
      </w:r>
    </w:p>
    <w:p w:rsidR="00E175D0" w:rsidRPr="00AF60E2" w:rsidP="00BB4417" w14:paraId="4A54D49F" w14:textId="77777777">
      <w:pPr>
        <w:pStyle w:val="ListParagraph"/>
        <w:spacing w:line="276" w:lineRule="auto"/>
        <w:rPr>
          <w:rFonts w:ascii="Arial" w:hAnsi="Arial" w:cs="Arial"/>
          <w:sz w:val="24"/>
          <w:szCs w:val="24"/>
          <w:lang w:val="lt-LT"/>
        </w:rPr>
      </w:pPr>
    </w:p>
    <w:p w:rsidR="008C6FF8" w:rsidRPr="00AF60E2" w:rsidP="00BB4417" w14:paraId="336DAFF4"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lang w:val="lt-LT"/>
        </w:rPr>
        <w:t xml:space="preserve"> There is no </w:t>
      </w:r>
      <w:r w:rsidRPr="00AF60E2" w:rsidR="00C1526F">
        <w:rPr>
          <w:rFonts w:ascii="Arial" w:hAnsi="Arial" w:cs="Arial"/>
          <w:sz w:val="24"/>
          <w:szCs w:val="24"/>
          <w:lang w:val="lt-LT"/>
        </w:rPr>
        <w:t xml:space="preserve">reliable data to </w:t>
      </w:r>
      <w:r w:rsidRPr="00AF60E2">
        <w:rPr>
          <w:rFonts w:ascii="Arial" w:hAnsi="Arial" w:cs="Arial"/>
          <w:sz w:val="24"/>
          <w:szCs w:val="24"/>
          <w:lang w:val="lt-LT"/>
        </w:rPr>
        <w:t>support th</w:t>
      </w:r>
      <w:r w:rsidRPr="00AF60E2" w:rsidR="00C1526F">
        <w:rPr>
          <w:rFonts w:ascii="Arial" w:hAnsi="Arial" w:cs="Arial"/>
          <w:sz w:val="24"/>
          <w:szCs w:val="24"/>
          <w:lang w:val="lt-LT"/>
        </w:rPr>
        <w:t xml:space="preserve">e conclusion that the </w:t>
      </w:r>
      <w:r w:rsidRPr="00AF60E2">
        <w:rPr>
          <w:rFonts w:ascii="Arial" w:hAnsi="Arial" w:cs="Arial"/>
          <w:sz w:val="24"/>
          <w:szCs w:val="24"/>
          <w:lang w:val="lt-LT"/>
        </w:rPr>
        <w:t xml:space="preserve">negligible threshold has been crossed as out of scope products such as aviation oil may be distorting the calculations. </w:t>
      </w:r>
    </w:p>
    <w:p w:rsidR="00583265" w:rsidRPr="00AF60E2" w:rsidP="00BB4417" w14:paraId="1203F577" w14:textId="77777777">
      <w:pPr>
        <w:pStyle w:val="ListParagraph"/>
        <w:spacing w:line="276" w:lineRule="auto"/>
        <w:rPr>
          <w:rFonts w:ascii="Arial" w:hAnsi="Arial" w:cs="Arial"/>
          <w:sz w:val="24"/>
          <w:szCs w:val="24"/>
        </w:rPr>
      </w:pPr>
    </w:p>
    <w:p w:rsidR="008C6FF8" w:rsidRPr="00AF60E2" w:rsidP="00BB4417" w14:paraId="3CEC9732"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lang w:val="lt-LT"/>
        </w:rPr>
        <w:t xml:space="preserve">It is submitted that </w:t>
      </w:r>
      <w:r w:rsidRPr="00AF60E2" w:rsidR="00B21D54">
        <w:rPr>
          <w:rFonts w:ascii="Arial" w:hAnsi="Arial" w:cs="Arial"/>
          <w:sz w:val="24"/>
          <w:szCs w:val="24"/>
          <w:lang w:val="lt-LT"/>
        </w:rPr>
        <w:t xml:space="preserve"> goods that are out of the scope of this investigation (for example aviation oil) cannot be included in the calculation of the import share and </w:t>
      </w:r>
      <w:r w:rsidRPr="00AF60E2">
        <w:rPr>
          <w:rFonts w:ascii="Arial" w:hAnsi="Arial" w:cs="Arial"/>
          <w:sz w:val="24"/>
          <w:szCs w:val="24"/>
          <w:lang w:val="lt-LT"/>
        </w:rPr>
        <w:t xml:space="preserve">this would account for at least </w:t>
      </w:r>
      <w:r w:rsidRPr="00AF60E2" w:rsidR="00B21D54">
        <w:rPr>
          <w:rFonts w:ascii="Arial" w:hAnsi="Arial" w:cs="Arial"/>
          <w:sz w:val="24"/>
          <w:szCs w:val="24"/>
          <w:lang w:val="en-US"/>
        </w:rPr>
        <w:t>0</w:t>
      </w:r>
      <w:r w:rsidRPr="00AF60E2">
        <w:rPr>
          <w:rFonts w:ascii="Arial" w:hAnsi="Arial" w:cs="Arial"/>
          <w:sz w:val="24"/>
          <w:szCs w:val="24"/>
          <w:lang w:val="en-US"/>
        </w:rPr>
        <w:t>.</w:t>
      </w:r>
      <w:r w:rsidRPr="00AF60E2" w:rsidR="00B21D54">
        <w:rPr>
          <w:rFonts w:ascii="Arial" w:hAnsi="Arial" w:cs="Arial"/>
          <w:sz w:val="24"/>
          <w:szCs w:val="24"/>
          <w:lang w:val="en-US"/>
        </w:rPr>
        <w:t>11 % - 0</w:t>
      </w:r>
      <w:r w:rsidRPr="00AF60E2">
        <w:rPr>
          <w:rFonts w:ascii="Arial" w:hAnsi="Arial" w:cs="Arial"/>
          <w:sz w:val="24"/>
          <w:szCs w:val="24"/>
          <w:lang w:val="en-US"/>
        </w:rPr>
        <w:t>.</w:t>
      </w:r>
      <w:r w:rsidRPr="00AF60E2" w:rsidR="00B21D54">
        <w:rPr>
          <w:rFonts w:ascii="Arial" w:hAnsi="Arial" w:cs="Arial"/>
          <w:sz w:val="24"/>
          <w:szCs w:val="24"/>
          <w:lang w:val="en-US"/>
        </w:rPr>
        <w:t>14 %</w:t>
      </w:r>
      <w:r w:rsidRPr="00AF60E2">
        <w:rPr>
          <w:rFonts w:ascii="Arial" w:hAnsi="Arial" w:cs="Arial"/>
          <w:sz w:val="24"/>
          <w:szCs w:val="24"/>
          <w:lang w:val="en-US"/>
        </w:rPr>
        <w:t>of imports by volume.</w:t>
      </w:r>
    </w:p>
    <w:p w:rsidR="008C6FF8" w:rsidRPr="00AF60E2" w:rsidP="00BB4417" w14:paraId="5B711F25" w14:textId="77777777">
      <w:pPr>
        <w:pStyle w:val="ListParagraph"/>
        <w:spacing w:line="276" w:lineRule="auto"/>
        <w:rPr>
          <w:rFonts w:ascii="Arial" w:hAnsi="Arial" w:cs="Arial"/>
          <w:sz w:val="24"/>
          <w:szCs w:val="24"/>
          <w:lang w:val="en-US"/>
        </w:rPr>
      </w:pPr>
    </w:p>
    <w:p w:rsidR="004C2F6D" w:rsidRPr="00AF60E2" w:rsidP="00BB4417" w14:paraId="1DC4C14F"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lang w:val="en-US"/>
        </w:rPr>
        <w:t xml:space="preserve"> </w:t>
      </w:r>
      <w:r w:rsidRPr="00AF60E2" w:rsidR="008C6FF8">
        <w:rPr>
          <w:rFonts w:ascii="Arial" w:hAnsi="Arial" w:cs="Arial"/>
          <w:sz w:val="24"/>
          <w:szCs w:val="24"/>
          <w:lang w:val="en-US"/>
        </w:rPr>
        <w:t>On this basis it is again maintained that the TRA investigation with regard to Lithuania should be terminated.</w:t>
      </w:r>
    </w:p>
    <w:p w:rsidR="008C6FF8" w:rsidRPr="00AF60E2" w:rsidP="00BB4417" w14:paraId="2038B8A3" w14:textId="77777777">
      <w:pPr>
        <w:pStyle w:val="ListParagraph"/>
        <w:spacing w:line="276" w:lineRule="auto"/>
        <w:rPr>
          <w:rFonts w:ascii="Arial" w:hAnsi="Arial" w:cs="Arial"/>
          <w:sz w:val="24"/>
          <w:szCs w:val="24"/>
        </w:rPr>
      </w:pPr>
    </w:p>
    <w:p w:rsidR="00B21D54" w:rsidRPr="00AF60E2" w:rsidP="00BB4417" w14:paraId="3B0FFCE3"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lang w:val="lt-LT"/>
        </w:rPr>
        <w:t xml:space="preserve">As the data used in </w:t>
      </w:r>
      <w:r w:rsidRPr="00AF60E2" w:rsidR="009F56A7">
        <w:rPr>
          <w:rFonts w:ascii="Arial" w:hAnsi="Arial" w:cs="Arial"/>
          <w:sz w:val="24"/>
          <w:szCs w:val="24"/>
          <w:lang w:val="lt-LT"/>
        </w:rPr>
        <w:t xml:space="preserve">the </w:t>
      </w:r>
      <w:r w:rsidRPr="00AF60E2">
        <w:rPr>
          <w:rFonts w:ascii="Arial" w:hAnsi="Arial" w:cs="Arial"/>
          <w:sz w:val="24"/>
          <w:szCs w:val="24"/>
          <w:lang w:val="lt-LT"/>
        </w:rPr>
        <w:t>PAD from interested parties is, at the time of calculation (October 2024), unverified [</w:t>
      </w:r>
      <w:r w:rsidRPr="00AF60E2" w:rsidR="008C1A4F">
        <w:rPr>
          <w:rFonts w:ascii="Arial" w:hAnsi="Arial" w:cs="Arial"/>
          <w:sz w:val="24"/>
          <w:szCs w:val="24"/>
          <w:lang w:val="lt-LT"/>
        </w:rPr>
        <w:t>PAD para 48]</w:t>
      </w:r>
      <w:r w:rsidRPr="00AF60E2">
        <w:rPr>
          <w:rFonts w:ascii="Arial" w:hAnsi="Arial" w:cs="Arial"/>
          <w:sz w:val="24"/>
          <w:szCs w:val="24"/>
          <w:lang w:val="lt-LT"/>
        </w:rPr>
        <w:t xml:space="preserve">, </w:t>
      </w:r>
      <w:r w:rsidRPr="00AF60E2" w:rsidR="008C1A4F">
        <w:rPr>
          <w:rFonts w:ascii="Arial" w:hAnsi="Arial" w:cs="Arial"/>
          <w:sz w:val="24"/>
          <w:szCs w:val="24"/>
          <w:lang w:val="lt-LT"/>
        </w:rPr>
        <w:t xml:space="preserve">it is submitted that </w:t>
      </w:r>
      <w:r w:rsidRPr="00AF60E2">
        <w:rPr>
          <w:rFonts w:ascii="Arial" w:hAnsi="Arial" w:cs="Arial"/>
          <w:sz w:val="24"/>
          <w:szCs w:val="24"/>
          <w:lang w:val="lt-LT"/>
        </w:rPr>
        <w:t xml:space="preserve">the </w:t>
      </w:r>
      <w:r w:rsidRPr="00AF60E2">
        <w:rPr>
          <w:rFonts w:ascii="Arial" w:hAnsi="Arial" w:cs="Arial"/>
          <w:sz w:val="24"/>
          <w:szCs w:val="24"/>
          <w:lang w:val="lt-LT"/>
        </w:rPr>
        <w:t xml:space="preserve">calculations in PAD and </w:t>
      </w:r>
      <w:r w:rsidRPr="00AF60E2" w:rsidR="008C1A4F">
        <w:rPr>
          <w:rFonts w:ascii="Arial" w:hAnsi="Arial" w:cs="Arial"/>
          <w:sz w:val="24"/>
          <w:szCs w:val="24"/>
          <w:lang w:val="lt-LT"/>
        </w:rPr>
        <w:t xml:space="preserve">the </w:t>
      </w:r>
      <w:r w:rsidRPr="00AF60E2">
        <w:rPr>
          <w:rFonts w:ascii="Arial" w:hAnsi="Arial" w:cs="Arial"/>
          <w:sz w:val="24"/>
          <w:szCs w:val="24"/>
          <w:lang w:val="lt-LT"/>
        </w:rPr>
        <w:t>preliminary conclusions, are incorrect</w:t>
      </w:r>
      <w:r w:rsidRPr="00AF60E2" w:rsidR="008C1A4F">
        <w:rPr>
          <w:rFonts w:ascii="Arial" w:hAnsi="Arial" w:cs="Arial"/>
          <w:sz w:val="24"/>
          <w:szCs w:val="24"/>
          <w:lang w:val="lt-LT"/>
        </w:rPr>
        <w:t xml:space="preserve"> as they are</w:t>
      </w:r>
      <w:r w:rsidRPr="00AF60E2">
        <w:rPr>
          <w:rFonts w:ascii="Arial" w:hAnsi="Arial" w:cs="Arial"/>
          <w:sz w:val="24"/>
          <w:szCs w:val="24"/>
          <w:lang w:val="lt-LT"/>
        </w:rPr>
        <w:t xml:space="preserve"> based on assumptions and unverified information, rather than on documents and specific information that was provided for the investigation.</w:t>
      </w:r>
    </w:p>
    <w:p w:rsidR="004C2F6D" w:rsidRPr="00AF60E2" w:rsidP="00BB4417" w14:paraId="6F6568BA" w14:textId="77777777">
      <w:pPr>
        <w:pStyle w:val="ListParagraph"/>
        <w:spacing w:line="276" w:lineRule="auto"/>
        <w:rPr>
          <w:rFonts w:ascii="Arial" w:hAnsi="Arial" w:cs="Arial"/>
          <w:sz w:val="24"/>
          <w:szCs w:val="24"/>
        </w:rPr>
      </w:pPr>
    </w:p>
    <w:p w:rsidR="004C2F6D" w:rsidRPr="00AF60E2" w:rsidP="00BB4417" w14:paraId="206FA6BA"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Further, the TRA investigation into Lithuanian exports should not continue on the basis of reliance on “</w:t>
      </w:r>
      <w:r w:rsidRPr="00AF60E2" w:rsidR="00581C00">
        <w:rPr>
          <w:rFonts w:ascii="Arial" w:hAnsi="Arial" w:cs="Arial"/>
          <w:sz w:val="24"/>
          <w:szCs w:val="24"/>
        </w:rPr>
        <w:t>Cumulation</w:t>
      </w:r>
      <w:r w:rsidRPr="00AF60E2">
        <w:rPr>
          <w:rFonts w:ascii="Arial" w:hAnsi="Arial" w:cs="Arial"/>
          <w:sz w:val="24"/>
          <w:szCs w:val="24"/>
        </w:rPr>
        <w:t>”</w:t>
      </w:r>
      <w:r w:rsidRPr="00AF60E2" w:rsidR="00581C00">
        <w:rPr>
          <w:rFonts w:ascii="Arial" w:hAnsi="Arial" w:cs="Arial"/>
          <w:sz w:val="24"/>
          <w:szCs w:val="24"/>
        </w:rPr>
        <w:t xml:space="preserve"> of the import together with that of UAE as that is not permitted </w:t>
      </w:r>
      <w:r w:rsidRPr="00AF60E2" w:rsidR="001F1177">
        <w:rPr>
          <w:rFonts w:ascii="Arial" w:hAnsi="Arial" w:cs="Arial"/>
          <w:sz w:val="24"/>
          <w:szCs w:val="24"/>
        </w:rPr>
        <w:t>by Reg</w:t>
      </w:r>
      <w:r w:rsidRPr="00AF60E2" w:rsidR="00560F67">
        <w:rPr>
          <w:rFonts w:ascii="Arial" w:hAnsi="Arial" w:cs="Arial"/>
          <w:sz w:val="24"/>
          <w:szCs w:val="24"/>
        </w:rPr>
        <w:t xml:space="preserve">ulation </w:t>
      </w:r>
      <w:r w:rsidRPr="00AF60E2" w:rsidR="00F14B98">
        <w:rPr>
          <w:rFonts w:ascii="Arial" w:hAnsi="Arial" w:cs="Arial"/>
          <w:sz w:val="24"/>
          <w:szCs w:val="24"/>
        </w:rPr>
        <w:t>34:</w:t>
      </w:r>
    </w:p>
    <w:p w:rsidR="00F14B98" w:rsidRPr="00AF60E2" w:rsidP="00BB4417" w14:paraId="765BEA7C" w14:textId="77777777">
      <w:pPr>
        <w:pStyle w:val="ListParagraph"/>
        <w:spacing w:line="276" w:lineRule="auto"/>
        <w:rPr>
          <w:rFonts w:ascii="Arial" w:hAnsi="Arial" w:cs="Arial"/>
          <w:sz w:val="24"/>
          <w:szCs w:val="24"/>
        </w:rPr>
      </w:pPr>
    </w:p>
    <w:p w:rsidR="00F14B98" w:rsidRPr="00AF60E2" w:rsidP="00BB4417" w14:paraId="3F3F8ABD" w14:textId="77777777">
      <w:pPr>
        <w:pStyle w:val="legp1paratext"/>
        <w:shd w:val="clear" w:color="auto" w:fill="FFFFFF"/>
        <w:spacing w:before="0" w:beforeAutospacing="0" w:after="120" w:afterAutospacing="0" w:line="276" w:lineRule="auto"/>
        <w:ind w:left="720"/>
        <w:rPr>
          <w:rFonts w:ascii="Arial" w:hAnsi="Arial" w:cs="Arial"/>
          <w:i/>
          <w:iCs/>
          <w:color w:val="1E1E1E"/>
        </w:rPr>
      </w:pPr>
      <w:r w:rsidRPr="00AF60E2">
        <w:rPr>
          <w:rStyle w:val="legp1no"/>
          <w:rFonts w:ascii="Arial" w:hAnsi="Arial" w:eastAsiaTheme="majorEastAsia" w:cs="Arial"/>
          <w:b/>
          <w:bCs/>
          <w:i/>
          <w:iCs/>
          <w:color w:val="1E1E1E"/>
        </w:rPr>
        <w:t>“34.</w:t>
      </w:r>
      <w:r w:rsidRPr="00AF60E2">
        <w:rPr>
          <w:rFonts w:ascii="Arial" w:hAnsi="Arial" w:cs="Arial"/>
          <w:i/>
          <w:iCs/>
          <w:color w:val="1E1E1E"/>
        </w:rPr>
        <w:t>—(1) This regulation applies where goods from more than one foreign country or territory are subject to simultaneous dumping or subsidisation investigations by the TRA.</w:t>
      </w:r>
    </w:p>
    <w:p w:rsidR="00F14B98" w:rsidRPr="00AF60E2" w:rsidP="00BB4417" w14:paraId="03BA3986" w14:textId="77777777">
      <w:pPr>
        <w:pStyle w:val="legp2paratext"/>
        <w:shd w:val="clear" w:color="auto" w:fill="FFFFFF"/>
        <w:spacing w:before="0" w:beforeAutospacing="0" w:after="120" w:afterAutospacing="0" w:line="276" w:lineRule="auto"/>
        <w:ind w:left="720"/>
        <w:rPr>
          <w:rFonts w:ascii="Arial" w:hAnsi="Arial" w:cs="Arial"/>
          <w:i/>
          <w:iCs/>
          <w:color w:val="1E1E1E"/>
        </w:rPr>
      </w:pPr>
      <w:r w:rsidRPr="00AF60E2">
        <w:rPr>
          <w:rFonts w:ascii="Arial" w:hAnsi="Arial" w:cs="Arial"/>
          <w:i/>
          <w:iCs/>
          <w:color w:val="1E1E1E"/>
        </w:rPr>
        <w:t>(2) </w:t>
      </w:r>
      <w:r w:rsidRPr="00AF60E2">
        <w:rPr>
          <w:rFonts w:ascii="Arial" w:hAnsi="Arial" w:cs="Arial"/>
          <w:b/>
          <w:bCs/>
          <w:i/>
          <w:iCs/>
          <w:color w:val="1E1E1E"/>
          <w:u w:val="single"/>
        </w:rPr>
        <w:t>Where this regulation applies, the TRA may cumulatively assess the effects of all the dumped goods or subsidised imports, as the case may be, pursuant to paragraph 5(4) of Schedule 4 to the Act, provided that—</w:t>
      </w:r>
    </w:p>
    <w:p w:rsidR="00F14B98" w:rsidRPr="00AF60E2" w:rsidP="00BB4417" w14:paraId="1A3D7A63" w14:textId="77777777">
      <w:pPr>
        <w:pStyle w:val="legclearfix"/>
        <w:shd w:val="clear" w:color="auto" w:fill="FFFFFF"/>
        <w:spacing w:before="0" w:beforeAutospacing="0" w:after="120" w:afterAutospacing="0" w:line="276" w:lineRule="auto"/>
        <w:ind w:left="720"/>
        <w:rPr>
          <w:rFonts w:ascii="Arial" w:hAnsi="Arial" w:cs="Arial"/>
          <w:i/>
          <w:iCs/>
          <w:color w:val="1E1E1E"/>
        </w:rPr>
      </w:pPr>
      <w:r w:rsidRPr="00AF60E2">
        <w:rPr>
          <w:rStyle w:val="legds"/>
          <w:rFonts w:ascii="Arial" w:hAnsi="Arial" w:eastAsiaTheme="majorEastAsia" w:cs="Arial"/>
          <w:i/>
          <w:iCs/>
          <w:color w:val="1E1E1E"/>
        </w:rPr>
        <w:t>(a)the amount of dumping or subsidisation established in relation to the dumped goods or subsidised imports from each foreign country or territory is more than minimal;</w:t>
      </w:r>
    </w:p>
    <w:p w:rsidR="00F14B98" w:rsidRPr="00AF60E2" w:rsidP="00BB4417" w14:paraId="438CDDFD" w14:textId="77777777">
      <w:pPr>
        <w:pStyle w:val="legclearfix"/>
        <w:shd w:val="clear" w:color="auto" w:fill="FFFFFF"/>
        <w:spacing w:before="0" w:beforeAutospacing="0" w:after="120" w:afterAutospacing="0" w:line="276" w:lineRule="auto"/>
        <w:ind w:left="720"/>
        <w:rPr>
          <w:rFonts w:ascii="Arial" w:hAnsi="Arial" w:cs="Arial"/>
          <w:b/>
          <w:bCs/>
          <w:i/>
          <w:iCs/>
          <w:color w:val="1E1E1E"/>
          <w:u w:val="single"/>
        </w:rPr>
      </w:pPr>
      <w:r w:rsidRPr="00AF60E2">
        <w:rPr>
          <w:rStyle w:val="legds"/>
          <w:rFonts w:ascii="Arial" w:hAnsi="Arial" w:eastAsiaTheme="majorEastAsia" w:cs="Arial"/>
          <w:i/>
          <w:iCs/>
          <w:color w:val="1E1E1E"/>
        </w:rPr>
        <w:t>(b</w:t>
      </w:r>
      <w:r w:rsidRPr="00AF60E2">
        <w:rPr>
          <w:rStyle w:val="legds"/>
          <w:rFonts w:ascii="Arial" w:hAnsi="Arial" w:eastAsiaTheme="majorEastAsia" w:cs="Arial"/>
          <w:b/>
          <w:bCs/>
          <w:i/>
          <w:iCs/>
          <w:color w:val="1E1E1E"/>
          <w:u w:val="single"/>
        </w:rPr>
        <w:t xml:space="preserve">)the volume of the dumped goods or subsidised imports imported from </w:t>
      </w:r>
      <w:r w:rsidRPr="00AF60E2">
        <w:rPr>
          <w:rStyle w:val="legds"/>
          <w:rFonts w:ascii="Arial" w:hAnsi="Arial" w:eastAsiaTheme="majorEastAsia" w:cs="Arial"/>
          <w:b/>
          <w:bCs/>
          <w:i/>
          <w:iCs/>
          <w:color w:val="1E1E1E"/>
          <w:u w:val="single"/>
        </w:rPr>
        <w:t>each foreign country or territory is not negligible; and</w:t>
      </w:r>
    </w:p>
    <w:p w:rsidR="00F14B98" w:rsidRPr="00AF60E2" w:rsidP="00BB4417" w14:paraId="0E2D0B54" w14:textId="77777777">
      <w:pPr>
        <w:pStyle w:val="legclearfix"/>
        <w:shd w:val="clear" w:color="auto" w:fill="FFFFFF"/>
        <w:spacing w:before="0" w:beforeAutospacing="0" w:after="120" w:afterAutospacing="0" w:line="276" w:lineRule="auto"/>
        <w:ind w:left="720"/>
        <w:rPr>
          <w:rStyle w:val="legds"/>
          <w:rFonts w:ascii="Arial" w:hAnsi="Arial" w:eastAsiaTheme="majorEastAsia" w:cs="Arial"/>
          <w:b/>
          <w:bCs/>
          <w:i/>
          <w:iCs/>
          <w:color w:val="1E1E1E"/>
          <w:u w:val="single"/>
        </w:rPr>
      </w:pPr>
      <w:r w:rsidRPr="00AF60E2">
        <w:rPr>
          <w:rStyle w:val="legds"/>
          <w:rFonts w:ascii="Arial" w:hAnsi="Arial" w:eastAsiaTheme="majorEastAsia" w:cs="Arial"/>
          <w:i/>
          <w:iCs/>
          <w:color w:val="1E1E1E"/>
        </w:rPr>
        <w:t>(</w:t>
      </w:r>
      <w:r w:rsidRPr="00AF60E2">
        <w:rPr>
          <w:rStyle w:val="legds"/>
          <w:rFonts w:ascii="Arial" w:hAnsi="Arial" w:eastAsiaTheme="majorEastAsia" w:cs="Arial"/>
          <w:b/>
          <w:bCs/>
          <w:i/>
          <w:iCs/>
          <w:color w:val="1E1E1E"/>
          <w:u w:val="single"/>
        </w:rPr>
        <w:t>c)the TRA considers that a cumulative assessment is appropriate in light of the conditions of competition.</w:t>
      </w:r>
    </w:p>
    <w:p w:rsidR="000D6B7E" w:rsidRPr="00AF60E2" w:rsidP="00BB4417" w14:paraId="711855E0" w14:textId="77777777">
      <w:pPr>
        <w:pStyle w:val="legclearfix"/>
        <w:shd w:val="clear" w:color="auto" w:fill="FFFFFF"/>
        <w:spacing w:before="0" w:beforeAutospacing="0" w:after="120" w:afterAutospacing="0" w:line="276" w:lineRule="auto"/>
        <w:ind w:left="720"/>
        <w:rPr>
          <w:rStyle w:val="legds"/>
          <w:rFonts w:ascii="Arial" w:hAnsi="Arial" w:eastAsiaTheme="majorEastAsia" w:cs="Arial"/>
          <w:i/>
          <w:iCs/>
          <w:color w:val="1E1E1E"/>
        </w:rPr>
      </w:pPr>
    </w:p>
    <w:p w:rsidR="00F14B98" w:rsidRPr="00AF60E2" w:rsidP="00BB4417" w14:paraId="4DA373B3" w14:textId="77777777">
      <w:pPr>
        <w:pStyle w:val="legclearfix"/>
        <w:numPr>
          <w:ilvl w:val="0"/>
          <w:numId w:val="1"/>
        </w:numPr>
        <w:shd w:val="clear" w:color="auto" w:fill="FFFFFF"/>
        <w:spacing w:before="0" w:beforeAutospacing="0" w:after="120" w:afterAutospacing="0" w:line="276" w:lineRule="auto"/>
        <w:rPr>
          <w:rStyle w:val="legds"/>
          <w:rFonts w:ascii="Arial" w:hAnsi="Arial" w:eastAsiaTheme="majorEastAsia" w:cs="Arial"/>
          <w:color w:val="1E1E1E"/>
        </w:rPr>
      </w:pPr>
      <w:r w:rsidRPr="00AF60E2">
        <w:rPr>
          <w:rStyle w:val="legds"/>
          <w:rFonts w:ascii="Arial" w:hAnsi="Arial" w:eastAsiaTheme="majorEastAsia" w:cs="Arial"/>
          <w:color w:val="1E1E1E"/>
        </w:rPr>
        <w:t xml:space="preserve">The </w:t>
      </w:r>
      <w:r w:rsidRPr="00AF60E2" w:rsidR="00677418">
        <w:rPr>
          <w:rStyle w:val="legds"/>
          <w:rFonts w:ascii="Arial" w:hAnsi="Arial" w:eastAsiaTheme="majorEastAsia" w:cs="Arial"/>
          <w:color w:val="1E1E1E"/>
        </w:rPr>
        <w:t xml:space="preserve">TRA is particularly asked to reconsider its position with regard to Lithuania </w:t>
      </w:r>
      <w:r w:rsidRPr="00AF60E2" w:rsidR="00F14360">
        <w:rPr>
          <w:rStyle w:val="legds"/>
          <w:rFonts w:ascii="Arial" w:hAnsi="Arial" w:eastAsiaTheme="majorEastAsia" w:cs="Arial"/>
          <w:color w:val="1E1E1E"/>
        </w:rPr>
        <w:t>in accordance with Regu</w:t>
      </w:r>
      <w:r w:rsidRPr="00AF60E2" w:rsidR="00B65A5C">
        <w:rPr>
          <w:rStyle w:val="legds"/>
          <w:rFonts w:ascii="Arial" w:hAnsi="Arial" w:eastAsiaTheme="majorEastAsia" w:cs="Arial"/>
          <w:color w:val="1E1E1E"/>
        </w:rPr>
        <w:t>lation 34 2(c )</w:t>
      </w:r>
      <w:r w:rsidRPr="00AF60E2" w:rsidR="003A6D65">
        <w:rPr>
          <w:rStyle w:val="legds"/>
          <w:rFonts w:ascii="Arial" w:hAnsi="Arial" w:eastAsiaTheme="majorEastAsia" w:cs="Arial"/>
          <w:color w:val="1E1E1E"/>
        </w:rPr>
        <w:t xml:space="preserve">. It is submitted that </w:t>
      </w:r>
      <w:r w:rsidRPr="00AF60E2" w:rsidR="00B65A5C">
        <w:rPr>
          <w:rStyle w:val="legds"/>
          <w:rFonts w:ascii="Arial" w:hAnsi="Arial" w:eastAsiaTheme="majorEastAsia" w:cs="Arial"/>
          <w:color w:val="1E1E1E"/>
        </w:rPr>
        <w:t xml:space="preserve">even if the </w:t>
      </w:r>
      <w:r w:rsidRPr="00AF60E2" w:rsidR="00C907BD">
        <w:rPr>
          <w:rStyle w:val="legds"/>
          <w:rFonts w:ascii="Arial" w:hAnsi="Arial" w:eastAsiaTheme="majorEastAsia" w:cs="Arial"/>
          <w:color w:val="1E1E1E"/>
        </w:rPr>
        <w:t>negligible threshold is</w:t>
      </w:r>
      <w:r w:rsidRPr="00AF60E2" w:rsidR="008179ED">
        <w:rPr>
          <w:rStyle w:val="legds"/>
          <w:rFonts w:ascii="Arial" w:hAnsi="Arial" w:eastAsiaTheme="majorEastAsia" w:cs="Arial"/>
          <w:color w:val="1E1E1E"/>
        </w:rPr>
        <w:t xml:space="preserve"> minimally</w:t>
      </w:r>
      <w:r w:rsidRPr="00AF60E2" w:rsidR="00C907BD">
        <w:rPr>
          <w:rStyle w:val="legds"/>
          <w:rFonts w:ascii="Arial" w:hAnsi="Arial" w:eastAsiaTheme="majorEastAsia" w:cs="Arial"/>
          <w:color w:val="1E1E1E"/>
        </w:rPr>
        <w:t xml:space="preserve"> passed</w:t>
      </w:r>
      <w:r w:rsidRPr="00AF60E2" w:rsidR="004B345B">
        <w:rPr>
          <w:rStyle w:val="legds"/>
          <w:rFonts w:ascii="Arial" w:hAnsi="Arial" w:eastAsiaTheme="majorEastAsia" w:cs="Arial"/>
          <w:color w:val="1E1E1E"/>
        </w:rPr>
        <w:t xml:space="preserve">, </w:t>
      </w:r>
      <w:r w:rsidRPr="00AF60E2" w:rsidR="00C907BD">
        <w:rPr>
          <w:rStyle w:val="legds"/>
          <w:rFonts w:ascii="Arial" w:hAnsi="Arial" w:eastAsiaTheme="majorEastAsia" w:cs="Arial"/>
          <w:color w:val="1E1E1E"/>
        </w:rPr>
        <w:t>the circumstances of the case</w:t>
      </w:r>
      <w:r w:rsidRPr="00AF60E2" w:rsidR="003A6D65">
        <w:rPr>
          <w:rStyle w:val="legds"/>
          <w:rFonts w:ascii="Arial" w:hAnsi="Arial" w:eastAsiaTheme="majorEastAsia" w:cs="Arial"/>
          <w:color w:val="1E1E1E"/>
        </w:rPr>
        <w:t xml:space="preserve"> and the</w:t>
      </w:r>
      <w:r w:rsidRPr="00AF60E2" w:rsidR="00BC5FE1">
        <w:rPr>
          <w:rStyle w:val="legds"/>
          <w:rFonts w:ascii="Arial" w:hAnsi="Arial" w:eastAsiaTheme="majorEastAsia" w:cs="Arial"/>
          <w:color w:val="1E1E1E"/>
        </w:rPr>
        <w:t xml:space="preserve"> questionable nature of the </w:t>
      </w:r>
      <w:r w:rsidRPr="00AF60E2" w:rsidR="00592483">
        <w:rPr>
          <w:rStyle w:val="legds"/>
          <w:rFonts w:ascii="Arial" w:hAnsi="Arial" w:eastAsiaTheme="majorEastAsia" w:cs="Arial"/>
          <w:color w:val="1E1E1E"/>
        </w:rPr>
        <w:t>e</w:t>
      </w:r>
      <w:r w:rsidRPr="00AF60E2" w:rsidR="00C907BD">
        <w:rPr>
          <w:rStyle w:val="legds"/>
          <w:rFonts w:ascii="Arial" w:hAnsi="Arial" w:eastAsiaTheme="majorEastAsia" w:cs="Arial"/>
          <w:color w:val="1E1E1E"/>
        </w:rPr>
        <w:t xml:space="preserve">vidence available to it </w:t>
      </w:r>
      <w:r w:rsidRPr="00AF60E2" w:rsidR="004B345B">
        <w:rPr>
          <w:rStyle w:val="legds"/>
          <w:rFonts w:ascii="Arial" w:hAnsi="Arial" w:eastAsiaTheme="majorEastAsia" w:cs="Arial"/>
          <w:color w:val="1E1E1E"/>
        </w:rPr>
        <w:t xml:space="preserve">should justify the exercise of discretion </w:t>
      </w:r>
      <w:r w:rsidRPr="00AF60E2" w:rsidR="003500A0">
        <w:rPr>
          <w:rStyle w:val="legds"/>
          <w:rFonts w:ascii="Arial" w:hAnsi="Arial" w:eastAsiaTheme="majorEastAsia" w:cs="Arial"/>
          <w:color w:val="1E1E1E"/>
        </w:rPr>
        <w:t xml:space="preserve">by the TRA </w:t>
      </w:r>
      <w:r w:rsidRPr="00AF60E2" w:rsidR="004B345B">
        <w:rPr>
          <w:rStyle w:val="legds"/>
          <w:rFonts w:ascii="Arial" w:hAnsi="Arial" w:eastAsiaTheme="majorEastAsia" w:cs="Arial"/>
          <w:color w:val="1E1E1E"/>
        </w:rPr>
        <w:t xml:space="preserve">against Cumulation given the impact on </w:t>
      </w:r>
      <w:r w:rsidRPr="00AF60E2" w:rsidR="0082401B">
        <w:rPr>
          <w:rStyle w:val="legds"/>
          <w:rFonts w:ascii="Arial" w:hAnsi="Arial" w:eastAsiaTheme="majorEastAsia" w:cs="Arial"/>
          <w:color w:val="1E1E1E"/>
        </w:rPr>
        <w:t xml:space="preserve">Lithuanian producers, </w:t>
      </w:r>
      <w:r w:rsidRPr="00AF60E2" w:rsidR="000D6B7E">
        <w:rPr>
          <w:rStyle w:val="legds"/>
          <w:rFonts w:ascii="Arial" w:hAnsi="Arial" w:eastAsiaTheme="majorEastAsia" w:cs="Arial"/>
          <w:color w:val="1E1E1E"/>
        </w:rPr>
        <w:t xml:space="preserve">UK </w:t>
      </w:r>
      <w:r w:rsidRPr="00AF60E2" w:rsidR="004B345B">
        <w:rPr>
          <w:rStyle w:val="legds"/>
          <w:rFonts w:ascii="Arial" w:hAnsi="Arial" w:eastAsiaTheme="majorEastAsia" w:cs="Arial"/>
          <w:color w:val="1E1E1E"/>
        </w:rPr>
        <w:t>importers</w:t>
      </w:r>
      <w:r w:rsidRPr="00AF60E2" w:rsidR="003A6D65">
        <w:rPr>
          <w:rStyle w:val="legds"/>
          <w:rFonts w:ascii="Arial" w:hAnsi="Arial" w:eastAsiaTheme="majorEastAsia" w:cs="Arial"/>
          <w:color w:val="1E1E1E"/>
        </w:rPr>
        <w:t xml:space="preserve">, </w:t>
      </w:r>
      <w:r w:rsidRPr="00AF60E2" w:rsidR="000D6B7E">
        <w:rPr>
          <w:rStyle w:val="legds"/>
          <w:rFonts w:ascii="Arial" w:hAnsi="Arial" w:eastAsiaTheme="majorEastAsia" w:cs="Arial"/>
          <w:color w:val="1E1E1E"/>
        </w:rPr>
        <w:t xml:space="preserve">UK </w:t>
      </w:r>
      <w:r w:rsidRPr="00AF60E2" w:rsidR="004B345B">
        <w:rPr>
          <w:rStyle w:val="legds"/>
          <w:rFonts w:ascii="Arial" w:hAnsi="Arial" w:eastAsiaTheme="majorEastAsia" w:cs="Arial"/>
          <w:color w:val="1E1E1E"/>
        </w:rPr>
        <w:t xml:space="preserve">downstream </w:t>
      </w:r>
      <w:r w:rsidRPr="00AF60E2" w:rsidR="0066347A">
        <w:rPr>
          <w:rStyle w:val="legds"/>
          <w:rFonts w:ascii="Arial" w:hAnsi="Arial" w:eastAsiaTheme="majorEastAsia" w:cs="Arial"/>
          <w:color w:val="1E1E1E"/>
        </w:rPr>
        <w:t xml:space="preserve">businesses and </w:t>
      </w:r>
      <w:r w:rsidRPr="00AF60E2" w:rsidR="00B36752">
        <w:rPr>
          <w:rStyle w:val="legds"/>
          <w:rFonts w:ascii="Arial" w:hAnsi="Arial" w:eastAsiaTheme="majorEastAsia" w:cs="Arial"/>
          <w:color w:val="1E1E1E"/>
        </w:rPr>
        <w:t xml:space="preserve">UK </w:t>
      </w:r>
      <w:r w:rsidRPr="00AF60E2" w:rsidR="0066347A">
        <w:rPr>
          <w:rStyle w:val="legds"/>
          <w:rFonts w:ascii="Arial" w:hAnsi="Arial" w:eastAsiaTheme="majorEastAsia" w:cs="Arial"/>
          <w:color w:val="1E1E1E"/>
        </w:rPr>
        <w:t>consumers.</w:t>
      </w:r>
    </w:p>
    <w:p w:rsidR="00C262FA" w:rsidRPr="00AF60E2" w:rsidP="00BB4417" w14:paraId="129A87A7" w14:textId="77777777">
      <w:pPr>
        <w:pStyle w:val="legclearfix"/>
        <w:shd w:val="clear" w:color="auto" w:fill="FFFFFF"/>
        <w:spacing w:before="0" w:beforeAutospacing="0" w:after="120" w:afterAutospacing="0" w:line="276" w:lineRule="auto"/>
        <w:rPr>
          <w:rStyle w:val="legds"/>
          <w:rFonts w:ascii="Arial" w:hAnsi="Arial" w:eastAsiaTheme="majorEastAsia" w:cs="Arial"/>
          <w:color w:val="1E1E1E"/>
        </w:rPr>
      </w:pPr>
    </w:p>
    <w:p w:rsidR="00BC5FE1" w:rsidRPr="00AF60E2" w:rsidP="00BB4417" w14:paraId="4D52BB2E" w14:textId="77777777">
      <w:pPr>
        <w:pStyle w:val="legclearfix"/>
        <w:shd w:val="clear" w:color="auto" w:fill="FFFFFF"/>
        <w:spacing w:before="0" w:beforeAutospacing="0" w:after="120" w:afterAutospacing="0" w:line="276" w:lineRule="auto"/>
        <w:rPr>
          <w:rStyle w:val="legds"/>
          <w:rFonts w:ascii="Arial" w:hAnsi="Arial" w:eastAsiaTheme="majorEastAsia" w:cs="Arial"/>
          <w:b/>
          <w:bCs/>
          <w:color w:val="1E1E1E"/>
        </w:rPr>
      </w:pPr>
      <w:r w:rsidRPr="00AF60E2">
        <w:rPr>
          <w:rStyle w:val="legds"/>
          <w:rFonts w:ascii="Arial" w:hAnsi="Arial" w:eastAsiaTheme="majorEastAsia" w:cs="Arial"/>
          <w:b/>
          <w:bCs/>
          <w:color w:val="1E1E1E"/>
        </w:rPr>
        <w:t>United Arab Emirates (“UAE”)</w:t>
      </w:r>
    </w:p>
    <w:p w:rsidR="00272672" w:rsidRPr="00AF60E2" w:rsidP="00BB4417" w14:paraId="79E39F4F" w14:textId="77777777">
      <w:pPr>
        <w:pStyle w:val="legclearfix"/>
        <w:shd w:val="clear" w:color="auto" w:fill="FFFFFF"/>
        <w:spacing w:before="0" w:beforeAutospacing="0" w:after="120" w:afterAutospacing="0" w:line="276" w:lineRule="auto"/>
        <w:rPr>
          <w:rStyle w:val="legds"/>
          <w:rFonts w:ascii="Arial" w:hAnsi="Arial" w:eastAsiaTheme="majorEastAsia" w:cs="Arial"/>
          <w:b/>
          <w:bCs/>
          <w:color w:val="1E1E1E"/>
        </w:rPr>
      </w:pPr>
    </w:p>
    <w:p w:rsidR="00794D32" w:rsidRPr="00AF60E2" w:rsidP="00BB4417" w14:paraId="2C63A478" w14:textId="77777777">
      <w:pPr>
        <w:pStyle w:val="legclearfix"/>
        <w:numPr>
          <w:ilvl w:val="0"/>
          <w:numId w:val="1"/>
        </w:numPr>
        <w:shd w:val="clear" w:color="auto" w:fill="FFFFFF"/>
        <w:spacing w:before="0" w:beforeAutospacing="0" w:after="120" w:afterAutospacing="0" w:line="276" w:lineRule="auto"/>
        <w:rPr>
          <w:rStyle w:val="legds"/>
          <w:rFonts w:ascii="Arial" w:hAnsi="Arial" w:eastAsiaTheme="majorEastAsia" w:cs="Arial"/>
          <w:color w:val="1E1E1E"/>
        </w:rPr>
      </w:pPr>
      <w:r w:rsidRPr="00AF60E2">
        <w:rPr>
          <w:rStyle w:val="legds"/>
          <w:rFonts w:ascii="Arial" w:hAnsi="Arial" w:eastAsiaTheme="majorEastAsia" w:cs="Arial"/>
          <w:color w:val="1E1E1E"/>
        </w:rPr>
        <w:t xml:space="preserve">It is accepted that the </w:t>
      </w:r>
      <w:r w:rsidRPr="00AF60E2" w:rsidR="00DB6550">
        <w:rPr>
          <w:rStyle w:val="legds"/>
          <w:rFonts w:ascii="Arial" w:hAnsi="Arial" w:eastAsiaTheme="majorEastAsia" w:cs="Arial"/>
          <w:color w:val="1E1E1E"/>
        </w:rPr>
        <w:t xml:space="preserve">imports from the UAE are in excess of the </w:t>
      </w:r>
      <w:r w:rsidRPr="00AF60E2" w:rsidR="00AD26BB">
        <w:rPr>
          <w:rStyle w:val="legds"/>
          <w:rFonts w:ascii="Arial" w:hAnsi="Arial" w:eastAsiaTheme="majorEastAsia" w:cs="Arial"/>
          <w:color w:val="1E1E1E"/>
        </w:rPr>
        <w:t>negligible criteria</w:t>
      </w:r>
      <w:r w:rsidRPr="00AF60E2" w:rsidR="00E662FE">
        <w:rPr>
          <w:rStyle w:val="legds"/>
          <w:rFonts w:ascii="Arial" w:hAnsi="Arial" w:eastAsiaTheme="majorEastAsia" w:cs="Arial"/>
          <w:color w:val="1E1E1E"/>
        </w:rPr>
        <w:t xml:space="preserve"> under the Regulations.</w:t>
      </w:r>
    </w:p>
    <w:p w:rsidR="00BC5FE1" w:rsidRPr="00AF60E2" w:rsidP="00BB4417" w14:paraId="05A9525C" w14:textId="77777777">
      <w:pPr>
        <w:pStyle w:val="legclearfix"/>
        <w:numPr>
          <w:ilvl w:val="0"/>
          <w:numId w:val="1"/>
        </w:numPr>
        <w:shd w:val="clear" w:color="auto" w:fill="FFFFFF"/>
        <w:spacing w:before="0" w:beforeAutospacing="0" w:after="120" w:afterAutospacing="0" w:line="276" w:lineRule="auto"/>
        <w:rPr>
          <w:rStyle w:val="legds"/>
          <w:rFonts w:ascii="Arial" w:hAnsi="Arial" w:eastAsiaTheme="majorEastAsia" w:cs="Arial"/>
          <w:color w:val="1E1E1E"/>
        </w:rPr>
      </w:pPr>
      <w:r w:rsidRPr="00AF60E2">
        <w:rPr>
          <w:rStyle w:val="legds"/>
          <w:rFonts w:ascii="Arial" w:hAnsi="Arial" w:eastAsiaTheme="majorEastAsia" w:cs="Arial"/>
          <w:color w:val="1E1E1E"/>
        </w:rPr>
        <w:t xml:space="preserve"> </w:t>
      </w:r>
      <w:r w:rsidRPr="00AF60E2" w:rsidR="00794D32">
        <w:rPr>
          <w:rStyle w:val="legds"/>
          <w:rFonts w:ascii="Arial" w:hAnsi="Arial" w:eastAsiaTheme="majorEastAsia" w:cs="Arial"/>
          <w:color w:val="1E1E1E"/>
        </w:rPr>
        <w:t>As set out previously the relevant exercise when assessing whether there has been product dumping in accordance with paragraph 1(1) of Schedule 4 to the Act is to determine whether the export price is less than the “normal” value of the goods.</w:t>
      </w:r>
    </w:p>
    <w:p w:rsidR="005D0E2C" w:rsidRPr="00AF60E2" w:rsidP="00BB4417" w14:paraId="4BC940D4" w14:textId="77777777">
      <w:pPr>
        <w:pStyle w:val="legclearfix"/>
        <w:numPr>
          <w:ilvl w:val="0"/>
          <w:numId w:val="1"/>
        </w:numPr>
        <w:shd w:val="clear" w:color="auto" w:fill="FFFFFF"/>
        <w:spacing w:before="0" w:beforeAutospacing="0" w:after="120" w:afterAutospacing="0" w:line="276" w:lineRule="auto"/>
        <w:rPr>
          <w:rStyle w:val="legds"/>
          <w:rFonts w:ascii="Arial" w:hAnsi="Arial" w:eastAsiaTheme="majorEastAsia" w:cs="Arial"/>
          <w:color w:val="1E1E1E"/>
        </w:rPr>
      </w:pPr>
      <w:r w:rsidRPr="00AF60E2">
        <w:rPr>
          <w:rStyle w:val="legds"/>
          <w:rFonts w:ascii="Arial" w:hAnsi="Arial" w:eastAsiaTheme="majorEastAsia" w:cs="Arial"/>
          <w:color w:val="1E1E1E"/>
        </w:rPr>
        <w:t xml:space="preserve">The dumping margin is then the difference between the </w:t>
      </w:r>
      <w:r w:rsidRPr="00AF60E2" w:rsidR="00D742EC">
        <w:rPr>
          <w:rStyle w:val="legds"/>
          <w:rFonts w:ascii="Arial" w:hAnsi="Arial" w:eastAsiaTheme="majorEastAsia" w:cs="Arial"/>
          <w:color w:val="1E1E1E"/>
        </w:rPr>
        <w:t>export price and the normal value of the goods</w:t>
      </w:r>
      <w:r w:rsidRPr="00AF60E2" w:rsidR="00FC73E3">
        <w:rPr>
          <w:rStyle w:val="legds"/>
          <w:rFonts w:ascii="Arial" w:hAnsi="Arial" w:eastAsiaTheme="majorEastAsia" w:cs="Arial"/>
          <w:color w:val="1E1E1E"/>
        </w:rPr>
        <w:t>. This is expressed as a percentage of the export price at CIF level.</w:t>
      </w:r>
    </w:p>
    <w:p w:rsidR="006B13D0" w:rsidRPr="00AF60E2" w:rsidP="00BB4417" w14:paraId="02C8E1B5" w14:textId="77777777">
      <w:pPr>
        <w:pStyle w:val="legclearfix"/>
        <w:numPr>
          <w:ilvl w:val="0"/>
          <w:numId w:val="1"/>
        </w:numPr>
        <w:shd w:val="clear" w:color="auto" w:fill="FFFFFF"/>
        <w:spacing w:before="0" w:beforeAutospacing="0" w:after="120" w:afterAutospacing="0" w:line="276" w:lineRule="auto"/>
        <w:rPr>
          <w:rStyle w:val="legds"/>
          <w:rFonts w:ascii="Arial" w:hAnsi="Arial" w:eastAsiaTheme="majorEastAsia" w:cs="Arial"/>
          <w:color w:val="1E1E1E"/>
        </w:rPr>
      </w:pPr>
      <w:r w:rsidRPr="00AF60E2">
        <w:rPr>
          <w:rStyle w:val="legds"/>
          <w:rFonts w:ascii="Arial" w:hAnsi="Arial" w:eastAsiaTheme="majorEastAsia" w:cs="Arial"/>
          <w:color w:val="1E1E1E"/>
        </w:rPr>
        <w:t xml:space="preserve">It is submitted that </w:t>
      </w:r>
      <w:r w:rsidRPr="00AF60E2" w:rsidR="00A63C78">
        <w:rPr>
          <w:rStyle w:val="legds"/>
          <w:rFonts w:ascii="Arial" w:hAnsi="Arial" w:eastAsiaTheme="majorEastAsia" w:cs="Arial"/>
          <w:color w:val="1E1E1E"/>
        </w:rPr>
        <w:t>the determination of the issue as to whether there has been product dumping has been distorted by an uncritical acceptance</w:t>
      </w:r>
      <w:r w:rsidRPr="00AF60E2" w:rsidR="00566297">
        <w:rPr>
          <w:rStyle w:val="legds"/>
          <w:rFonts w:ascii="Arial" w:hAnsi="Arial" w:eastAsiaTheme="majorEastAsia" w:cs="Arial"/>
          <w:color w:val="1E1E1E"/>
        </w:rPr>
        <w:t xml:space="preserve"> of </w:t>
      </w:r>
      <w:r w:rsidRPr="00AF60E2">
        <w:rPr>
          <w:rStyle w:val="legds"/>
          <w:rFonts w:ascii="Arial" w:hAnsi="Arial" w:eastAsiaTheme="majorEastAsia" w:cs="Arial"/>
          <w:color w:val="1E1E1E"/>
        </w:rPr>
        <w:t>data and submissions made by Aztec Oils</w:t>
      </w:r>
      <w:r w:rsidRPr="00AF60E2" w:rsidR="00551EE1">
        <w:rPr>
          <w:rStyle w:val="legds"/>
          <w:rFonts w:ascii="Arial" w:hAnsi="Arial" w:eastAsiaTheme="majorEastAsia" w:cs="Arial"/>
          <w:color w:val="1E1E1E"/>
        </w:rPr>
        <w:t xml:space="preserve"> as set out in the PAD:</w:t>
      </w:r>
    </w:p>
    <w:p w:rsidR="00D01FC6" w:rsidRPr="00AF60E2" w:rsidP="00BB4417" w14:paraId="6F878450" w14:textId="77777777">
      <w:pPr>
        <w:pStyle w:val="legclearfix"/>
        <w:shd w:val="clear" w:color="auto" w:fill="FFFFFF"/>
        <w:spacing w:before="0" w:beforeAutospacing="0" w:after="120" w:afterAutospacing="0" w:line="276" w:lineRule="auto"/>
        <w:ind w:left="720"/>
        <w:rPr>
          <w:rFonts w:ascii="Arial" w:hAnsi="Arial" w:cs="Arial"/>
          <w:i/>
          <w:iCs/>
        </w:rPr>
      </w:pPr>
      <w:r w:rsidRPr="00AF60E2">
        <w:rPr>
          <w:rFonts w:ascii="Arial" w:hAnsi="Arial" w:cs="Arial"/>
          <w:i/>
          <w:iCs/>
        </w:rPr>
        <w:t xml:space="preserve">“72. </w:t>
      </w:r>
      <w:r w:rsidRPr="00AF60E2">
        <w:rPr>
          <w:rFonts w:ascii="Arial" w:hAnsi="Arial" w:cs="Arial"/>
          <w:i/>
          <w:iCs/>
        </w:rPr>
        <w:t xml:space="preserve">The applicant, Aztec, have submitted that “base oils are procured on the open market with a price indicator (ICIS - Independent Commodity Intelligence Services). Additives are also procured on the open market mainly through distribution companies.” This means that prices are dynamic across the industry as both customers and suppliers use ICIS as a basis for cost indication. </w:t>
      </w:r>
    </w:p>
    <w:p w:rsidR="00D01FC6" w:rsidRPr="00AF60E2" w:rsidP="00BB4417" w14:paraId="3CEBEDAC" w14:textId="77777777">
      <w:pPr>
        <w:pStyle w:val="legclearfix"/>
        <w:shd w:val="clear" w:color="auto" w:fill="FFFFFF"/>
        <w:spacing w:before="0" w:beforeAutospacing="0" w:after="120" w:afterAutospacing="0" w:line="276" w:lineRule="auto"/>
        <w:ind w:left="720"/>
        <w:rPr>
          <w:rFonts w:ascii="Arial" w:hAnsi="Arial" w:cs="Arial"/>
          <w:i/>
          <w:iCs/>
        </w:rPr>
      </w:pPr>
      <w:r w:rsidRPr="00AF60E2">
        <w:rPr>
          <w:rFonts w:ascii="Arial" w:hAnsi="Arial" w:cs="Arial"/>
          <w:i/>
          <w:iCs/>
        </w:rPr>
        <w:t xml:space="preserve">73. Oil products are distributed in a variety of pack sizes (Bulk, IBC (Intermediate bulk containers), Barrels, Drums, 5Litre, 4Litre + 1Litre) which are standard across the industry with few variations. Cost differences can arise between plastic and metal containers. </w:t>
      </w:r>
    </w:p>
    <w:p w:rsidR="00272F4F" w:rsidRPr="00AF60E2" w:rsidP="00BB4417" w14:paraId="4209AC96" w14:textId="77777777">
      <w:pPr>
        <w:pStyle w:val="legclearfix"/>
        <w:shd w:val="clear" w:color="auto" w:fill="FFFFFF"/>
        <w:spacing w:before="0" w:beforeAutospacing="0" w:after="120" w:afterAutospacing="0" w:line="276" w:lineRule="auto"/>
        <w:ind w:left="720"/>
        <w:rPr>
          <w:rFonts w:ascii="Arial" w:hAnsi="Arial" w:cs="Arial"/>
          <w:i/>
          <w:iCs/>
        </w:rPr>
      </w:pPr>
    </w:p>
    <w:p w:rsidR="00387FB0" w:rsidRPr="00AF60E2" w:rsidP="00BB4417" w14:paraId="082ECCD0" w14:textId="77777777">
      <w:pPr>
        <w:pStyle w:val="legclearfix"/>
        <w:shd w:val="clear" w:color="auto" w:fill="FFFFFF"/>
        <w:spacing w:before="0" w:beforeAutospacing="0" w:after="120" w:afterAutospacing="0" w:line="276" w:lineRule="auto"/>
        <w:ind w:left="720"/>
        <w:rPr>
          <w:rFonts w:ascii="Arial" w:hAnsi="Arial" w:cs="Arial"/>
          <w:b/>
          <w:bCs/>
          <w:i/>
          <w:iCs/>
          <w:u w:val="single"/>
        </w:rPr>
      </w:pPr>
      <w:r w:rsidRPr="00AF60E2">
        <w:rPr>
          <w:rFonts w:ascii="Arial" w:hAnsi="Arial" w:cs="Arial"/>
          <w:i/>
          <w:iCs/>
        </w:rPr>
        <w:t>74</w:t>
      </w:r>
      <w:r w:rsidRPr="00AF60E2">
        <w:rPr>
          <w:rFonts w:ascii="Arial" w:hAnsi="Arial" w:cs="Arial"/>
          <w:b/>
          <w:bCs/>
          <w:i/>
          <w:iCs/>
          <w:u w:val="single"/>
        </w:rPr>
        <w:t xml:space="preserve">. UK industry is “…suffering injury from the product dumping activities as we are facing prices in the marketplace which are substantially below our raw material costs”. The TRA has, based on preliminary data, found this to be the case. </w:t>
      </w:r>
    </w:p>
    <w:p w:rsidR="00A84306" w:rsidRPr="00AF60E2" w:rsidP="00BB4417" w14:paraId="067404A2" w14:textId="77777777">
      <w:pPr>
        <w:pStyle w:val="legclearfix"/>
        <w:shd w:val="clear" w:color="auto" w:fill="FFFFFF"/>
        <w:spacing w:before="0" w:beforeAutospacing="0" w:after="120" w:afterAutospacing="0" w:line="276" w:lineRule="auto"/>
        <w:ind w:left="720"/>
        <w:rPr>
          <w:rFonts w:ascii="Arial" w:hAnsi="Arial" w:cs="Arial"/>
          <w:i/>
          <w:iCs/>
        </w:rPr>
      </w:pPr>
      <w:r w:rsidRPr="00AF60E2">
        <w:rPr>
          <w:rFonts w:ascii="Arial" w:hAnsi="Arial" w:cs="Arial"/>
          <w:i/>
          <w:iCs/>
        </w:rPr>
        <w:t>75. Aztec claim to have first noticed dumping activity in 2019, which then increased following the outbreak of war in the Ukraine, when prices of some imports of the goods concerned and like goods dropped significantly. Volumes of these imports have been increasing during 2024</w:t>
      </w:r>
      <w:r w:rsidRPr="00AF60E2" w:rsidR="00197E38">
        <w:rPr>
          <w:rFonts w:ascii="Arial" w:hAnsi="Arial" w:cs="Arial"/>
          <w:i/>
          <w:iCs/>
        </w:rPr>
        <w:t>.</w:t>
      </w:r>
      <w:r w:rsidRPr="00AF60E2" w:rsidR="00F10C69">
        <w:rPr>
          <w:rFonts w:ascii="Arial" w:hAnsi="Arial" w:cs="Arial"/>
          <w:i/>
          <w:iCs/>
        </w:rPr>
        <w:t>”</w:t>
      </w:r>
    </w:p>
    <w:p w:rsidR="00761DDC" w:rsidRPr="00AF60E2" w:rsidP="00BB4417" w14:paraId="2BE26FC1" w14:textId="77777777">
      <w:pPr>
        <w:pStyle w:val="legclearfix"/>
        <w:shd w:val="clear" w:color="auto" w:fill="FFFFFF"/>
        <w:spacing w:before="0" w:beforeAutospacing="0" w:after="120" w:afterAutospacing="0" w:line="276" w:lineRule="auto"/>
        <w:ind w:left="720"/>
        <w:rPr>
          <w:rFonts w:ascii="Arial" w:hAnsi="Arial" w:cs="Arial"/>
          <w:i/>
          <w:iCs/>
        </w:rPr>
      </w:pPr>
    </w:p>
    <w:p w:rsidR="00761DDC" w:rsidRPr="00AF60E2" w:rsidP="00BB4417" w14:paraId="28E5FBBB" w14:textId="77777777">
      <w:pPr>
        <w:pStyle w:val="legclearfix"/>
        <w:numPr>
          <w:ilvl w:val="0"/>
          <w:numId w:val="1"/>
        </w:numPr>
        <w:shd w:val="clear" w:color="auto" w:fill="FFFFFF"/>
        <w:spacing w:before="0" w:beforeAutospacing="0" w:after="120" w:afterAutospacing="0" w:line="276" w:lineRule="auto"/>
        <w:rPr>
          <w:rStyle w:val="legds"/>
          <w:rFonts w:ascii="Arial" w:hAnsi="Arial" w:cs="Arial"/>
        </w:rPr>
      </w:pPr>
      <w:r w:rsidRPr="00AF60E2">
        <w:rPr>
          <w:rStyle w:val="legds"/>
          <w:rFonts w:ascii="Arial" w:hAnsi="Arial" w:cs="Arial"/>
        </w:rPr>
        <w:t xml:space="preserve">It is submitted that the assessment of whether there has been product dumping has failed to take sufficiently into account the effect of (a) efficiencies in base oil purchasing by the UAE producer SCT </w:t>
      </w:r>
      <w:r w:rsidRPr="00AF60E2">
        <w:rPr>
          <w:rStyle w:val="legds"/>
          <w:rFonts w:ascii="Arial" w:hAnsi="Arial" w:cs="Arial"/>
        </w:rPr>
        <w:t>Chmicals</w:t>
      </w:r>
      <w:r w:rsidRPr="00AF60E2">
        <w:rPr>
          <w:rStyle w:val="legds"/>
          <w:rFonts w:ascii="Arial" w:hAnsi="Arial" w:cs="Arial"/>
        </w:rPr>
        <w:t xml:space="preserve"> FZE and (b) the </w:t>
      </w:r>
      <w:r w:rsidRPr="00AF60E2" w:rsidR="00E662FE">
        <w:rPr>
          <w:rStyle w:val="legds"/>
          <w:rFonts w:ascii="Arial" w:hAnsi="Arial" w:cs="Arial"/>
        </w:rPr>
        <w:t xml:space="preserve">global </w:t>
      </w:r>
      <w:r w:rsidRPr="00AF60E2">
        <w:rPr>
          <w:rStyle w:val="legds"/>
          <w:rFonts w:ascii="Arial" w:hAnsi="Arial" w:cs="Arial"/>
        </w:rPr>
        <w:t>decline in base oil prices. Both factors pass on the benefits of lower priced goods</w:t>
      </w:r>
      <w:r w:rsidRPr="00AF60E2" w:rsidR="008F6E2F">
        <w:rPr>
          <w:rStyle w:val="legds"/>
          <w:rFonts w:ascii="Arial" w:hAnsi="Arial" w:cs="Arial"/>
        </w:rPr>
        <w:t xml:space="preserve"> via importers </w:t>
      </w:r>
      <w:r w:rsidRPr="00AF60E2">
        <w:rPr>
          <w:rStyle w:val="legds"/>
          <w:rFonts w:ascii="Arial" w:hAnsi="Arial" w:cs="Arial"/>
        </w:rPr>
        <w:t>to UK downstream businesses and UK consumers without product dumping occurring.</w:t>
      </w:r>
    </w:p>
    <w:p w:rsidR="00BB4417" w:rsidRPr="00AF60E2" w:rsidP="00BB4417" w14:paraId="19F70CC1" w14:textId="77777777">
      <w:pPr>
        <w:pStyle w:val="legclearfix"/>
        <w:shd w:val="clear" w:color="auto" w:fill="FFFFFF"/>
        <w:spacing w:before="0" w:beforeAutospacing="0" w:after="120" w:afterAutospacing="0" w:line="276" w:lineRule="auto"/>
        <w:ind w:left="720"/>
        <w:rPr>
          <w:rStyle w:val="legds"/>
          <w:rFonts w:ascii="Arial" w:hAnsi="Arial" w:cs="Arial"/>
        </w:rPr>
      </w:pPr>
    </w:p>
    <w:p w:rsidR="00A84306" w:rsidRPr="00AF60E2" w:rsidP="00BB4417" w14:paraId="35B0F718" w14:textId="77777777">
      <w:pPr>
        <w:pStyle w:val="legclearfix"/>
        <w:numPr>
          <w:ilvl w:val="0"/>
          <w:numId w:val="1"/>
        </w:numPr>
        <w:shd w:val="clear" w:color="auto" w:fill="FFFFFF"/>
        <w:spacing w:before="0" w:beforeAutospacing="0" w:after="120" w:afterAutospacing="0" w:line="276" w:lineRule="auto"/>
        <w:rPr>
          <w:rFonts w:ascii="Arial" w:hAnsi="Arial" w:cs="Arial"/>
        </w:rPr>
      </w:pPr>
      <w:r w:rsidRPr="00AF60E2">
        <w:rPr>
          <w:rStyle w:val="legds"/>
          <w:rFonts w:ascii="Arial" w:hAnsi="Arial" w:eastAsiaTheme="majorEastAsia" w:cs="Arial"/>
          <w:color w:val="1E1E1E"/>
        </w:rPr>
        <w:t>The statement at paragraph 7</w:t>
      </w:r>
      <w:r w:rsidRPr="00AF60E2" w:rsidR="00111581">
        <w:rPr>
          <w:rStyle w:val="legds"/>
          <w:rFonts w:ascii="Arial" w:hAnsi="Arial" w:eastAsiaTheme="majorEastAsia" w:cs="Arial"/>
          <w:color w:val="1E1E1E"/>
        </w:rPr>
        <w:t>2</w:t>
      </w:r>
      <w:r w:rsidRPr="00AF60E2">
        <w:rPr>
          <w:rStyle w:val="legds"/>
          <w:rFonts w:ascii="Arial" w:hAnsi="Arial" w:eastAsiaTheme="majorEastAsia" w:cs="Arial"/>
          <w:color w:val="1E1E1E"/>
        </w:rPr>
        <w:t xml:space="preserve"> that </w:t>
      </w:r>
      <w:r w:rsidRPr="00AF60E2">
        <w:rPr>
          <w:rFonts w:ascii="Arial" w:hAnsi="Arial" w:cs="Arial"/>
        </w:rPr>
        <w:t xml:space="preserve"> “prices are dynamic across the industry as both customers and suppliers use ICIS as a basis for cost indication</w:t>
      </w:r>
      <w:r w:rsidRPr="00AF60E2" w:rsidR="00B83770">
        <w:rPr>
          <w:rFonts w:ascii="Arial" w:hAnsi="Arial" w:cs="Arial"/>
        </w:rPr>
        <w:t>”</w:t>
      </w:r>
      <w:r w:rsidRPr="00AF60E2" w:rsidR="00F10C69">
        <w:rPr>
          <w:rFonts w:ascii="Arial" w:hAnsi="Arial" w:cs="Arial"/>
        </w:rPr>
        <w:t xml:space="preserve"> does not represent a complete factual matrix of how pricing of base oils operates within the industry.</w:t>
      </w:r>
    </w:p>
    <w:p w:rsidR="00272F4F" w:rsidRPr="00AF60E2" w:rsidP="00272F4F" w14:paraId="61042949" w14:textId="77777777">
      <w:pPr>
        <w:pStyle w:val="ListParagraph"/>
        <w:rPr>
          <w:rFonts w:ascii="Arial" w:hAnsi="Arial" w:cs="Arial"/>
          <w:sz w:val="24"/>
          <w:szCs w:val="24"/>
        </w:rPr>
      </w:pPr>
    </w:p>
    <w:p w:rsidR="003323C0" w:rsidRPr="00AF60E2" w:rsidP="00BB4417" w14:paraId="77B0BFFD" w14:textId="77777777">
      <w:pPr>
        <w:pStyle w:val="xmsonormal"/>
        <w:numPr>
          <w:ilvl w:val="0"/>
          <w:numId w:val="1"/>
        </w:numPr>
        <w:spacing w:line="276" w:lineRule="auto"/>
        <w:rPr>
          <w:rFonts w:ascii="Arial" w:hAnsi="Arial" w:cs="Arial"/>
        </w:rPr>
      </w:pPr>
      <w:r w:rsidRPr="00AF60E2">
        <w:rPr>
          <w:rFonts w:ascii="Arial" w:hAnsi="Arial" w:cs="Arial"/>
        </w:rPr>
        <w:t xml:space="preserve">It is </w:t>
      </w:r>
      <w:r w:rsidRPr="00AF60E2" w:rsidR="004D2735">
        <w:rPr>
          <w:rFonts w:ascii="Arial" w:hAnsi="Arial" w:cs="Arial"/>
        </w:rPr>
        <w:t xml:space="preserve"> important to note that </w:t>
      </w:r>
      <w:hyperlink r:id="rId9" w:history="1">
        <w:r w:rsidRPr="00AF60E2" w:rsidR="004D2735">
          <w:rPr>
            <w:rStyle w:val="Hyperlink"/>
            <w:rFonts w:ascii="Arial" w:hAnsi="Arial" w:cs="Arial"/>
            <w:color w:val="auto"/>
            <w:u w:val="none"/>
          </w:rPr>
          <w:t>Argus</w:t>
        </w:r>
      </w:hyperlink>
      <w:r w:rsidRPr="00AF60E2" w:rsidR="004D2735">
        <w:rPr>
          <w:rFonts w:ascii="Arial" w:hAnsi="Arial" w:cs="Arial"/>
        </w:rPr>
        <w:t xml:space="preserve"> is another major provider of base oil price data. Both ICIS and Argus are independent, competing agencies that publish weekly base oil spot prices across global markets </w:t>
      </w:r>
      <w:r w:rsidRPr="00AF60E2" w:rsidR="00F10C69">
        <w:rPr>
          <w:rFonts w:ascii="Arial" w:hAnsi="Arial" w:cs="Arial"/>
        </w:rPr>
        <w:t xml:space="preserve">in </w:t>
      </w:r>
      <w:r w:rsidRPr="00AF60E2" w:rsidR="004D2735">
        <w:rPr>
          <w:rFonts w:ascii="Arial" w:hAnsi="Arial" w:cs="Arial"/>
        </w:rPr>
        <w:t>the US, Europe, and Asia.</w:t>
      </w:r>
      <w:r w:rsidRPr="00AF60E2" w:rsidR="00E111A9">
        <w:rPr>
          <w:rFonts w:ascii="Arial" w:hAnsi="Arial" w:cs="Arial"/>
        </w:rPr>
        <w:t xml:space="preserve"> The pricing between the two agencies is </w:t>
      </w:r>
      <w:r w:rsidRPr="00AF60E2" w:rsidR="00A70A30">
        <w:rPr>
          <w:rFonts w:ascii="Arial" w:hAnsi="Arial" w:cs="Arial"/>
        </w:rPr>
        <w:t xml:space="preserve">usually </w:t>
      </w:r>
      <w:r w:rsidR="003E27A2">
        <w:rPr>
          <w:rFonts w:ascii="Arial" w:hAnsi="Arial" w:cs="Arial"/>
        </w:rPr>
        <w:t xml:space="preserve">slightly </w:t>
      </w:r>
      <w:r w:rsidRPr="00AF60E2" w:rsidR="00E111A9">
        <w:rPr>
          <w:rFonts w:ascii="Arial" w:hAnsi="Arial" w:cs="Arial"/>
        </w:rPr>
        <w:t>different</w:t>
      </w:r>
      <w:r w:rsidRPr="00AF60E2" w:rsidR="006B295C">
        <w:rPr>
          <w:rFonts w:ascii="Arial" w:hAnsi="Arial" w:cs="Arial"/>
        </w:rPr>
        <w:t>. The following tables illustrate recent price differentials between ICIS and Argus</w:t>
      </w:r>
      <w:r w:rsidR="007E7CDF">
        <w:rPr>
          <w:rFonts w:ascii="Arial" w:hAnsi="Arial" w:cs="Arial"/>
        </w:rPr>
        <w:t>.</w:t>
      </w:r>
    </w:p>
    <w:p w:rsidR="003323C0" w:rsidRPr="00AF60E2" w:rsidP="00BB4417" w14:paraId="52C25162" w14:textId="77777777">
      <w:pPr>
        <w:pStyle w:val="ListParagraph"/>
        <w:spacing w:line="276" w:lineRule="auto"/>
        <w:rPr>
          <w:rFonts w:ascii="Arial" w:hAnsi="Arial" w:cs="Arial"/>
          <w:sz w:val="24"/>
          <w:szCs w:val="24"/>
        </w:rPr>
      </w:pPr>
    </w:p>
    <w:p w:rsidR="00272F4F" w:rsidRPr="00AF60E2" w:rsidP="006B295C" w14:paraId="03B8FBD7" w14:textId="77777777">
      <w:pPr>
        <w:pStyle w:val="xmsonormal"/>
        <w:rPr>
          <w:rFonts w:ascii="Arial" w:hAnsi="Arial" w:cs="Arial"/>
          <w:b/>
          <w:bCs/>
        </w:rPr>
      </w:pPr>
    </w:p>
    <w:p w:rsidR="00272F4F" w:rsidRPr="00AF60E2" w:rsidP="006B295C" w14:paraId="6AA21569" w14:textId="77777777">
      <w:pPr>
        <w:pStyle w:val="xmsonormal"/>
        <w:rPr>
          <w:rFonts w:ascii="Arial" w:hAnsi="Arial" w:cs="Arial"/>
          <w:b/>
          <w:bCs/>
        </w:rPr>
      </w:pPr>
    </w:p>
    <w:p w:rsidR="00272F4F" w:rsidRPr="00AF60E2" w:rsidP="006B295C" w14:paraId="671C40B9" w14:textId="77777777">
      <w:pPr>
        <w:pStyle w:val="xmsonormal"/>
        <w:rPr>
          <w:rFonts w:ascii="Arial" w:hAnsi="Arial" w:cs="Arial"/>
          <w:b/>
          <w:bCs/>
        </w:rPr>
      </w:pPr>
    </w:p>
    <w:p w:rsidR="00272F4F" w:rsidRPr="00AF60E2" w:rsidP="006B295C" w14:paraId="41EBE268" w14:textId="77777777">
      <w:pPr>
        <w:pStyle w:val="xmsonormal"/>
        <w:rPr>
          <w:rFonts w:ascii="Arial" w:hAnsi="Arial" w:cs="Arial"/>
          <w:b/>
          <w:bCs/>
        </w:rPr>
      </w:pPr>
    </w:p>
    <w:p w:rsidR="00272F4F" w:rsidRPr="00AF60E2" w:rsidP="006B295C" w14:paraId="11598A86" w14:textId="77777777">
      <w:pPr>
        <w:pStyle w:val="xmsonormal"/>
        <w:rPr>
          <w:rFonts w:ascii="Arial" w:hAnsi="Arial" w:cs="Arial"/>
          <w:b/>
          <w:bCs/>
        </w:rPr>
      </w:pPr>
    </w:p>
    <w:p w:rsidR="00272F4F" w:rsidRPr="00AF60E2" w:rsidP="006B295C" w14:paraId="3323E8E2" w14:textId="77777777">
      <w:pPr>
        <w:pStyle w:val="xmsonormal"/>
        <w:rPr>
          <w:rFonts w:ascii="Arial" w:hAnsi="Arial" w:cs="Arial"/>
          <w:b/>
          <w:bCs/>
        </w:rPr>
      </w:pPr>
    </w:p>
    <w:p w:rsidR="00272F4F" w:rsidRPr="00AF60E2" w:rsidP="006B295C" w14:paraId="03A9F468" w14:textId="77777777">
      <w:pPr>
        <w:pStyle w:val="xmsonormal"/>
        <w:rPr>
          <w:rFonts w:ascii="Arial" w:hAnsi="Arial" w:cs="Arial"/>
          <w:b/>
          <w:bCs/>
        </w:rPr>
      </w:pPr>
    </w:p>
    <w:p w:rsidR="00272F4F" w:rsidRPr="00AF60E2" w:rsidP="006B295C" w14:paraId="2A11E624" w14:textId="77777777">
      <w:pPr>
        <w:pStyle w:val="xmsonormal"/>
        <w:rPr>
          <w:rFonts w:ascii="Arial" w:hAnsi="Arial" w:cs="Arial"/>
          <w:b/>
          <w:bCs/>
        </w:rPr>
      </w:pPr>
    </w:p>
    <w:p w:rsidR="00272F4F" w:rsidRPr="00AF60E2" w:rsidP="006B295C" w14:paraId="0BB6BAF0" w14:textId="77777777">
      <w:pPr>
        <w:pStyle w:val="xmsonormal"/>
        <w:rPr>
          <w:rFonts w:ascii="Arial" w:hAnsi="Arial" w:cs="Arial"/>
          <w:b/>
          <w:bCs/>
        </w:rPr>
      </w:pPr>
    </w:p>
    <w:p w:rsidR="00272F4F" w:rsidRPr="00AF60E2" w:rsidP="006B295C" w14:paraId="7C2E4414" w14:textId="77777777">
      <w:pPr>
        <w:pStyle w:val="xmsonormal"/>
        <w:rPr>
          <w:rFonts w:ascii="Arial" w:hAnsi="Arial" w:cs="Arial"/>
          <w:b/>
          <w:bCs/>
        </w:rPr>
      </w:pPr>
    </w:p>
    <w:p w:rsidR="00272F4F" w:rsidRPr="00AF60E2" w:rsidP="006B295C" w14:paraId="15F6AAA1" w14:textId="77777777">
      <w:pPr>
        <w:pStyle w:val="xmsonormal"/>
        <w:rPr>
          <w:rFonts w:ascii="Arial" w:hAnsi="Arial" w:cs="Arial"/>
          <w:b/>
          <w:bCs/>
        </w:rPr>
      </w:pPr>
    </w:p>
    <w:p w:rsidR="006B295C" w:rsidRPr="00AF60E2" w:rsidP="006B295C" w14:paraId="32FCA39A" w14:textId="77777777">
      <w:pPr>
        <w:pStyle w:val="xmsonormal"/>
        <w:rPr>
          <w:rFonts w:ascii="Arial" w:hAnsi="Arial" w:cs="Arial"/>
          <w:b/>
          <w:bCs/>
        </w:rPr>
      </w:pPr>
      <w:r w:rsidRPr="00AF60E2">
        <w:rPr>
          <w:rFonts w:ascii="Arial" w:hAnsi="Arial" w:cs="Arial"/>
          <w:b/>
          <w:bCs/>
        </w:rPr>
        <w:t>Argus price indication for base oils Group 1 grades of March 14, 2025</w:t>
      </w:r>
    </w:p>
    <w:p w:rsidR="006B295C" w:rsidRPr="00AF60E2" w:rsidP="006B295C" w14:paraId="211D1EDE" w14:textId="77777777">
      <w:pPr>
        <w:pStyle w:val="xmsonormal"/>
        <w:rPr>
          <w:rFonts w:ascii="Arial" w:hAnsi="Arial" w:cs="Arial"/>
        </w:rPr>
      </w:pPr>
      <w:r w:rsidRPr="00AF60E2">
        <w:rPr>
          <w:rFonts w:ascii="Arial" w:hAnsi="Arial" w:cs="Arial"/>
        </w:rPr>
        <w:t> </w:t>
      </w:r>
    </w:p>
    <w:p w:rsidR="006B295C" w:rsidRPr="00AF60E2" w:rsidP="006B295C" w14:paraId="7535EEE8" w14:textId="77777777">
      <w:pPr>
        <w:pStyle w:val="xmsonormal"/>
        <w:rPr>
          <w:rFonts w:ascii="Arial" w:hAnsi="Arial" w:cs="Arial"/>
        </w:rPr>
      </w:pPr>
    </w:p>
    <w:p w:rsidR="006B295C" w:rsidRPr="00AF60E2" w:rsidP="006B295C" w14:paraId="311B2654" w14:textId="77777777">
      <w:pPr>
        <w:rPr>
          <w:rFonts w:ascii="Arial" w:hAnsi="Arial" w:cs="Arial"/>
          <w:sz w:val="24"/>
          <w:szCs w:val="24"/>
        </w:rPr>
      </w:pPr>
      <w:r w:rsidRPr="00AF60E2">
        <w:rPr>
          <w:rFonts w:ascii="Arial" w:hAnsi="Arial" w:cs="Arial"/>
          <w:noProof/>
          <w:sz w:val="24"/>
          <w:szCs w:val="24"/>
        </w:rPr>
        <w:drawing>
          <wp:inline distT="0" distB="0" distL="0" distR="0">
            <wp:extent cx="5638800" cy="2095500"/>
            <wp:effectExtent l="0" t="0" r="0" b="0"/>
            <wp:docPr id="17977358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35806" name="Picture 6"/>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8800" cy="2095500"/>
                    </a:xfrm>
                    <a:prstGeom prst="rect">
                      <a:avLst/>
                    </a:prstGeom>
                    <a:noFill/>
                    <a:ln>
                      <a:noFill/>
                    </a:ln>
                  </pic:spPr>
                </pic:pic>
              </a:graphicData>
            </a:graphic>
          </wp:inline>
        </w:drawing>
      </w:r>
    </w:p>
    <w:p w:rsidR="006B295C" w:rsidRPr="00AF60E2" w:rsidP="006B295C" w14:paraId="799A3BA7" w14:textId="77777777">
      <w:pPr>
        <w:pStyle w:val="xmsonormal"/>
        <w:rPr>
          <w:rFonts w:ascii="Arial" w:hAnsi="Arial" w:cs="Arial"/>
        </w:rPr>
      </w:pPr>
      <w:r w:rsidRPr="00AF60E2">
        <w:rPr>
          <w:rFonts w:ascii="Arial" w:hAnsi="Arial" w:cs="Arial"/>
        </w:rPr>
        <w:t> </w:t>
      </w:r>
    </w:p>
    <w:p w:rsidR="006B295C" w:rsidRPr="00AF60E2" w:rsidP="006B295C" w14:paraId="2CEF7F63" w14:textId="77777777">
      <w:pPr>
        <w:pStyle w:val="xmsonormal"/>
        <w:rPr>
          <w:rFonts w:ascii="Arial" w:hAnsi="Arial" w:cs="Arial"/>
        </w:rPr>
      </w:pPr>
    </w:p>
    <w:p w:rsidR="006B295C" w:rsidRPr="00AF60E2" w:rsidP="006B295C" w14:paraId="7AF6CD68" w14:textId="77777777">
      <w:pPr>
        <w:pStyle w:val="xmsonormal"/>
        <w:rPr>
          <w:rFonts w:ascii="Arial" w:hAnsi="Arial" w:cs="Arial"/>
        </w:rPr>
      </w:pPr>
    </w:p>
    <w:p w:rsidR="0086243E" w:rsidRPr="00AF60E2" w:rsidP="0086243E" w14:paraId="693303D1" w14:textId="77777777">
      <w:pPr>
        <w:pStyle w:val="xmsonormal"/>
        <w:rPr>
          <w:rFonts w:ascii="Arial" w:hAnsi="Arial" w:cs="Arial"/>
          <w:b/>
          <w:bCs/>
        </w:rPr>
      </w:pPr>
      <w:r w:rsidRPr="00AF60E2">
        <w:rPr>
          <w:rFonts w:ascii="Arial" w:hAnsi="Arial" w:cs="Arial"/>
          <w:b/>
          <w:bCs/>
        </w:rPr>
        <w:t>ICIS price indication for base oils Group 1 grades, of March 11, 2025</w:t>
      </w:r>
    </w:p>
    <w:p w:rsidR="006B295C" w:rsidRPr="00AF60E2" w:rsidP="006B295C" w14:paraId="65265EA3" w14:textId="77777777">
      <w:pPr>
        <w:pStyle w:val="xmsonormal"/>
        <w:rPr>
          <w:rFonts w:ascii="Arial" w:hAnsi="Arial" w:cs="Arial"/>
        </w:rPr>
      </w:pPr>
    </w:p>
    <w:p w:rsidR="006B295C" w:rsidRPr="00AF60E2" w:rsidP="006B295C" w14:paraId="0C097AC5" w14:textId="77777777">
      <w:pPr>
        <w:pStyle w:val="xmsonormal"/>
        <w:rPr>
          <w:rFonts w:ascii="Arial" w:hAnsi="Arial" w:cs="Arial"/>
        </w:rPr>
      </w:pPr>
    </w:p>
    <w:p w:rsidR="006B295C" w:rsidRPr="00AF60E2" w:rsidP="006B295C" w14:paraId="62B78C17" w14:textId="77777777">
      <w:pPr>
        <w:rPr>
          <w:rFonts w:ascii="Arial" w:hAnsi="Arial" w:cs="Arial"/>
          <w:sz w:val="24"/>
          <w:szCs w:val="24"/>
        </w:rPr>
      </w:pPr>
      <w:r w:rsidRPr="00AF60E2">
        <w:rPr>
          <w:rFonts w:ascii="Arial" w:hAnsi="Arial" w:cs="Arial"/>
          <w:noProof/>
          <w:sz w:val="24"/>
          <w:szCs w:val="24"/>
        </w:rPr>
        <w:drawing>
          <wp:inline distT="0" distB="0" distL="0" distR="0">
            <wp:extent cx="5076825" cy="2295525"/>
            <wp:effectExtent l="0" t="0" r="0" b="0"/>
            <wp:docPr id="9444998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99846" name="Picture 5"/>
                    <pic:cNvPicPr>
                      <a:picLocks noChangeAspect="1" noChangeArrowheads="1"/>
                    </pic:cNvPicPr>
                  </pic:nvPicPr>
                  <pic:blipFill>
                    <a:blip xmlns:r="http://schemas.openxmlformats.org/officeDocument/2006/relationships" r:embed="rId12"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076825" cy="2295525"/>
                    </a:xfrm>
                    <a:prstGeom prst="rect">
                      <a:avLst/>
                    </a:prstGeom>
                    <a:noFill/>
                    <a:ln>
                      <a:noFill/>
                    </a:ln>
                  </pic:spPr>
                </pic:pic>
              </a:graphicData>
            </a:graphic>
          </wp:inline>
        </w:drawing>
      </w:r>
    </w:p>
    <w:p w:rsidR="006B295C" w:rsidRPr="00AF60E2" w:rsidP="00BB4417" w14:paraId="368634DC" w14:textId="77777777">
      <w:pPr>
        <w:pStyle w:val="ListParagraph"/>
        <w:spacing w:line="276" w:lineRule="auto"/>
        <w:rPr>
          <w:rFonts w:ascii="Arial" w:hAnsi="Arial" w:cs="Arial"/>
          <w:sz w:val="24"/>
          <w:szCs w:val="24"/>
        </w:rPr>
      </w:pPr>
    </w:p>
    <w:p w:rsidR="007933F5" w:rsidRPr="00AF60E2" w:rsidP="00CD208E" w14:paraId="55A6A1FB" w14:textId="77777777">
      <w:pPr>
        <w:pStyle w:val="xmsonormal"/>
        <w:numPr>
          <w:ilvl w:val="0"/>
          <w:numId w:val="1"/>
        </w:numPr>
        <w:spacing w:before="240" w:line="276" w:lineRule="auto"/>
        <w:rPr>
          <w:rFonts w:ascii="Arial" w:hAnsi="Arial" w:cs="Arial"/>
        </w:rPr>
      </w:pPr>
      <w:r w:rsidRPr="00AF60E2">
        <w:rPr>
          <w:rFonts w:ascii="Arial" w:hAnsi="Arial" w:cs="Arial"/>
        </w:rPr>
        <w:t xml:space="preserve">Sellers and buyers of base oils can </w:t>
      </w:r>
      <w:r w:rsidRPr="00AF60E2" w:rsidR="00C74720">
        <w:rPr>
          <w:rFonts w:ascii="Arial" w:hAnsi="Arial" w:cs="Arial"/>
        </w:rPr>
        <w:t xml:space="preserve">therefore </w:t>
      </w:r>
      <w:r w:rsidRPr="00AF60E2">
        <w:rPr>
          <w:rFonts w:ascii="Arial" w:hAnsi="Arial" w:cs="Arial"/>
        </w:rPr>
        <w:t>choose which price source to follow</w:t>
      </w:r>
      <w:r w:rsidRPr="00AF60E2" w:rsidR="00E752A3">
        <w:rPr>
          <w:rFonts w:ascii="Arial" w:hAnsi="Arial" w:cs="Arial"/>
        </w:rPr>
        <w:t xml:space="preserve">, </w:t>
      </w:r>
      <w:r w:rsidRPr="00AF60E2">
        <w:rPr>
          <w:rFonts w:ascii="Arial" w:hAnsi="Arial" w:cs="Arial"/>
        </w:rPr>
        <w:t>ICIS or Argus</w:t>
      </w:r>
      <w:r w:rsidRPr="00AF60E2" w:rsidR="00E752A3">
        <w:rPr>
          <w:rFonts w:ascii="Arial" w:hAnsi="Arial" w:cs="Arial"/>
        </w:rPr>
        <w:t xml:space="preserve"> </w:t>
      </w:r>
      <w:r w:rsidRPr="00AF60E2">
        <w:rPr>
          <w:rFonts w:ascii="Arial" w:hAnsi="Arial" w:cs="Arial"/>
        </w:rPr>
        <w:t xml:space="preserve">when negotiating </w:t>
      </w:r>
      <w:r w:rsidRPr="00AF60E2">
        <w:rPr>
          <w:rFonts w:ascii="Arial" w:hAnsi="Arial" w:cs="Arial"/>
        </w:rPr>
        <w:t>deals, depending on which one better reflects their market position or offers more favo</w:t>
      </w:r>
      <w:r w:rsidRPr="00AF60E2" w:rsidR="00734885">
        <w:rPr>
          <w:rFonts w:ascii="Arial" w:hAnsi="Arial" w:cs="Arial"/>
        </w:rPr>
        <w:t>u</w:t>
      </w:r>
      <w:r w:rsidRPr="00AF60E2">
        <w:rPr>
          <w:rFonts w:ascii="Arial" w:hAnsi="Arial" w:cs="Arial"/>
        </w:rPr>
        <w:t xml:space="preserve">rable pricing. </w:t>
      </w:r>
      <w:r w:rsidRPr="00AF60E2" w:rsidR="00BB4417">
        <w:rPr>
          <w:rFonts w:ascii="Arial" w:hAnsi="Arial" w:cs="Arial"/>
        </w:rPr>
        <w:t>T</w:t>
      </w:r>
      <w:r w:rsidRPr="00AF60E2" w:rsidR="00A70A30">
        <w:rPr>
          <w:rFonts w:ascii="Arial" w:hAnsi="Arial" w:cs="Arial"/>
        </w:rPr>
        <w:t>he attached Excel file</w:t>
      </w:r>
      <w:r w:rsidRPr="00AF60E2" w:rsidR="00BB4417">
        <w:rPr>
          <w:rFonts w:ascii="Arial" w:hAnsi="Arial" w:cs="Arial"/>
        </w:rPr>
        <w:t xml:space="preserve"> </w:t>
      </w:r>
      <w:r>
        <w:rPr>
          <w:rFonts w:ascii="Arial" w:hAnsi="Arial" w:cs="Arial"/>
        </w:rPr>
        <w:t>(marked ‘</w:t>
      </w:r>
      <w:r w:rsidRPr="00CD208E">
        <w:rPr>
          <w:rFonts w:ascii="Arial" w:hAnsi="Arial" w:cs="Arial"/>
        </w:rPr>
        <w:t>Lubriage</w:t>
      </w:r>
      <w:r w:rsidRPr="00CD208E">
        <w:rPr>
          <w:rFonts w:ascii="Arial" w:hAnsi="Arial" w:cs="Arial"/>
        </w:rPr>
        <w:t xml:space="preserve"> Limited 01 May 2025 Annex 1</w:t>
      </w:r>
      <w:r>
        <w:rPr>
          <w:rFonts w:ascii="Arial" w:hAnsi="Arial" w:cs="Arial"/>
        </w:rPr>
        <w:t xml:space="preserve">’) </w:t>
      </w:r>
      <w:r w:rsidRPr="00AF60E2" w:rsidR="00BB4417">
        <w:rPr>
          <w:rFonts w:ascii="Arial" w:hAnsi="Arial" w:cs="Arial"/>
        </w:rPr>
        <w:t xml:space="preserve">contains </w:t>
      </w:r>
      <w:r w:rsidRPr="00AF60E2" w:rsidR="00A70A30">
        <w:rPr>
          <w:rFonts w:ascii="Arial" w:hAnsi="Arial" w:cs="Arial"/>
        </w:rPr>
        <w:t>a comparison of Argus prices from 2020 to 2024, all shown in USD (with original European market EUR prices converted to USD for a fair comparison) comparing the US and Europe markets for base oils group 1, group 2</w:t>
      </w:r>
      <w:r w:rsidR="005C2C5E">
        <w:rPr>
          <w:rFonts w:ascii="Arial" w:hAnsi="Arial" w:cs="Arial"/>
        </w:rPr>
        <w:t xml:space="preserve"> and </w:t>
      </w:r>
      <w:r w:rsidRPr="00AF60E2" w:rsidR="00A70A30">
        <w:rPr>
          <w:rFonts w:ascii="Arial" w:hAnsi="Arial" w:cs="Arial"/>
        </w:rPr>
        <w:t xml:space="preserve">group 3. </w:t>
      </w:r>
      <w:r w:rsidRPr="00AF60E2">
        <w:rPr>
          <w:rFonts w:ascii="Arial" w:hAnsi="Arial" w:cs="Arial"/>
        </w:rPr>
        <w:t xml:space="preserve">This illustrates that </w:t>
      </w:r>
      <w:r w:rsidRPr="00AF60E2" w:rsidR="00A70A30">
        <w:rPr>
          <w:rFonts w:ascii="Arial" w:hAnsi="Arial" w:cs="Arial"/>
        </w:rPr>
        <w:t xml:space="preserve">prices vary for the same base oil grade, </w:t>
      </w:r>
      <w:r w:rsidRPr="00AF60E2">
        <w:rPr>
          <w:rFonts w:ascii="Arial" w:hAnsi="Arial" w:cs="Arial"/>
        </w:rPr>
        <w:t xml:space="preserve">during </w:t>
      </w:r>
      <w:r w:rsidRPr="00AF60E2" w:rsidR="00A70A30">
        <w:rPr>
          <w:rFonts w:ascii="Arial" w:hAnsi="Arial" w:cs="Arial"/>
        </w:rPr>
        <w:t>same period of time in the US market and the European market.</w:t>
      </w:r>
    </w:p>
    <w:p w:rsidR="007933F5" w:rsidRPr="00AF60E2" w:rsidP="007933F5" w14:paraId="74A0EDA7" w14:textId="77777777">
      <w:pPr>
        <w:pStyle w:val="ListParagraph"/>
        <w:rPr>
          <w:rFonts w:ascii="Arial" w:hAnsi="Arial" w:cs="Arial"/>
          <w:sz w:val="24"/>
          <w:szCs w:val="24"/>
        </w:rPr>
      </w:pPr>
    </w:p>
    <w:p w:rsidR="00A70A30" w:rsidRPr="00AF60E2" w:rsidP="00BB4417" w14:paraId="5CCA06D8" w14:textId="77777777">
      <w:pPr>
        <w:pStyle w:val="xmsonormal"/>
        <w:numPr>
          <w:ilvl w:val="0"/>
          <w:numId w:val="1"/>
        </w:numPr>
        <w:spacing w:line="276" w:lineRule="auto"/>
        <w:rPr>
          <w:rFonts w:ascii="Arial" w:hAnsi="Arial" w:cs="Arial"/>
        </w:rPr>
      </w:pPr>
      <w:r w:rsidRPr="00AF60E2">
        <w:rPr>
          <w:rFonts w:ascii="Arial" w:hAnsi="Arial" w:cs="Arial"/>
        </w:rPr>
        <w:t>To illustrate this point further is a screenshot from the excel file</w:t>
      </w:r>
      <w:r w:rsidRPr="00AF60E2" w:rsidR="00490CEB">
        <w:rPr>
          <w:rFonts w:ascii="Arial" w:hAnsi="Arial" w:cs="Arial"/>
        </w:rPr>
        <w:t xml:space="preserve"> </w:t>
      </w:r>
      <w:r w:rsidRPr="00AF60E2" w:rsidR="00D3150D">
        <w:rPr>
          <w:rFonts w:ascii="Arial" w:hAnsi="Arial" w:cs="Arial"/>
        </w:rPr>
        <w:t xml:space="preserve">showing </w:t>
      </w:r>
      <w:r w:rsidRPr="00AF60E2">
        <w:rPr>
          <w:rFonts w:ascii="Arial" w:hAnsi="Arial" w:cs="Arial"/>
        </w:rPr>
        <w:t xml:space="preserve">each group (Group 1 / 2/ 3) of base oils </w:t>
      </w:r>
      <w:r w:rsidR="005C2C5E">
        <w:rPr>
          <w:rFonts w:ascii="Arial" w:hAnsi="Arial" w:cs="Arial"/>
        </w:rPr>
        <w:t xml:space="preserve">appears below </w:t>
      </w:r>
      <w:r w:rsidRPr="00AF60E2" w:rsidR="00490CEB">
        <w:rPr>
          <w:rFonts w:ascii="Arial" w:hAnsi="Arial" w:cs="Arial"/>
        </w:rPr>
        <w:t xml:space="preserve">and is </w:t>
      </w:r>
      <w:r w:rsidRPr="00AF60E2">
        <w:rPr>
          <w:rFonts w:ascii="Arial" w:hAnsi="Arial" w:cs="Arial"/>
        </w:rPr>
        <w:t xml:space="preserve">divided into </w:t>
      </w:r>
      <w:r w:rsidRPr="00AF60E2" w:rsidR="00490CEB">
        <w:rPr>
          <w:rFonts w:ascii="Arial" w:hAnsi="Arial" w:cs="Arial"/>
        </w:rPr>
        <w:t xml:space="preserve">the </w:t>
      </w:r>
      <w:r w:rsidRPr="00AF60E2">
        <w:rPr>
          <w:rFonts w:ascii="Arial" w:hAnsi="Arial" w:cs="Arial"/>
        </w:rPr>
        <w:t>US and EU market.</w:t>
      </w:r>
      <w:r w:rsidRPr="00AF60E2" w:rsidR="00490CEB">
        <w:rPr>
          <w:rFonts w:ascii="Arial" w:hAnsi="Arial" w:cs="Arial"/>
        </w:rPr>
        <w:t xml:space="preserve"> The screenshot compares Group</w:t>
      </w:r>
      <w:r w:rsidRPr="00AF60E2">
        <w:rPr>
          <w:rFonts w:ascii="Arial" w:hAnsi="Arial" w:cs="Arial"/>
        </w:rPr>
        <w:t xml:space="preserve"> 1, grade SN150 prices in US and Europe.   </w:t>
      </w:r>
    </w:p>
    <w:p w:rsidR="00A70A30" w:rsidRPr="00AF60E2" w:rsidP="00BB4417" w14:paraId="4D756AF4" w14:textId="77777777">
      <w:pPr>
        <w:pStyle w:val="xmsonormal"/>
        <w:spacing w:line="276" w:lineRule="auto"/>
        <w:rPr>
          <w:rFonts w:ascii="Arial" w:hAnsi="Arial" w:cs="Arial"/>
        </w:rPr>
      </w:pPr>
      <w:r w:rsidRPr="00AF60E2">
        <w:rPr>
          <w:rFonts w:ascii="Arial" w:hAnsi="Arial" w:cs="Arial"/>
        </w:rPr>
        <w:t> </w:t>
      </w:r>
    </w:p>
    <w:p w:rsidR="00A70A30" w:rsidRPr="00AF60E2" w:rsidP="00BB4417" w14:paraId="2C94EE5B" w14:textId="77777777">
      <w:pPr>
        <w:spacing w:line="276" w:lineRule="auto"/>
        <w:rPr>
          <w:rFonts w:ascii="Arial" w:hAnsi="Arial" w:cs="Arial"/>
          <w:sz w:val="24"/>
          <w:szCs w:val="24"/>
        </w:rPr>
      </w:pPr>
      <w:r w:rsidRPr="00AF60E2">
        <w:rPr>
          <w:rFonts w:ascii="Arial" w:hAnsi="Arial" w:cs="Arial"/>
          <w:noProof/>
          <w:sz w:val="24"/>
          <w:szCs w:val="24"/>
        </w:rPr>
        <w:drawing>
          <wp:inline distT="0" distB="0" distL="0" distR="0">
            <wp:extent cx="5629275" cy="2762250"/>
            <wp:effectExtent l="0" t="0" r="0" b="0"/>
            <wp:docPr id="8550252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25253" name="Picture 11"/>
                    <pic:cNvPicPr>
                      <a:picLocks noChangeAspect="1" noChangeArrowheads="1"/>
                    </pic:cNvPicPr>
                  </pic:nvPicPr>
                  <pic:blipFill>
                    <a:blip xmlns:r="http://schemas.openxmlformats.org/officeDocument/2006/relationships" r:embed="rId14" r:link="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9275" cy="2762250"/>
                    </a:xfrm>
                    <a:prstGeom prst="rect">
                      <a:avLst/>
                    </a:prstGeom>
                    <a:noFill/>
                    <a:ln>
                      <a:noFill/>
                    </a:ln>
                  </pic:spPr>
                </pic:pic>
              </a:graphicData>
            </a:graphic>
          </wp:inline>
        </w:drawing>
      </w:r>
    </w:p>
    <w:p w:rsidR="00A70A30" w:rsidRPr="00AF60E2" w:rsidP="00BB4417" w14:paraId="6888D91F" w14:textId="77777777">
      <w:pPr>
        <w:pStyle w:val="xmsonormal"/>
        <w:spacing w:line="276" w:lineRule="auto"/>
        <w:rPr>
          <w:rFonts w:ascii="Arial" w:hAnsi="Arial" w:cs="Arial"/>
        </w:rPr>
      </w:pPr>
      <w:r w:rsidRPr="00AF60E2">
        <w:rPr>
          <w:rFonts w:ascii="Arial" w:hAnsi="Arial" w:cs="Arial"/>
        </w:rPr>
        <w:t> </w:t>
      </w:r>
    </w:p>
    <w:p w:rsidR="00A70A30" w:rsidRPr="00AF60E2" w:rsidP="007F2E2D" w14:paraId="64FE5FB6" w14:textId="77777777">
      <w:pPr>
        <w:pStyle w:val="xmsonormal"/>
        <w:numPr>
          <w:ilvl w:val="0"/>
          <w:numId w:val="1"/>
        </w:numPr>
        <w:spacing w:line="276" w:lineRule="auto"/>
        <w:rPr>
          <w:rFonts w:ascii="Arial" w:hAnsi="Arial" w:cs="Arial"/>
        </w:rPr>
      </w:pPr>
      <w:r w:rsidRPr="00AF60E2">
        <w:rPr>
          <w:rFonts w:ascii="Arial" w:hAnsi="Arial" w:cs="Arial"/>
        </w:rPr>
        <w:t>It is immediately apparent that there is considerable difference in the price for the same product. Further, buying on spot market and being able to accept bigger volumes of base oils, gives the advantage of having competitive raw material prices</w:t>
      </w:r>
      <w:r w:rsidRPr="00AF60E2" w:rsidR="00D8377D">
        <w:rPr>
          <w:rFonts w:ascii="Arial" w:hAnsi="Arial" w:cs="Arial"/>
        </w:rPr>
        <w:t xml:space="preserve"> unlike a </w:t>
      </w:r>
      <w:r w:rsidRPr="00AF60E2">
        <w:rPr>
          <w:rFonts w:ascii="Arial" w:hAnsi="Arial" w:cs="Arial"/>
        </w:rPr>
        <w:t xml:space="preserve">competitor who buys on a term contract based on </w:t>
      </w:r>
      <w:r w:rsidRPr="00AF60E2" w:rsidR="00D8377D">
        <w:rPr>
          <w:rFonts w:ascii="Arial" w:hAnsi="Arial" w:cs="Arial"/>
        </w:rPr>
        <w:t xml:space="preserve">a </w:t>
      </w:r>
      <w:r w:rsidRPr="00AF60E2" w:rsidR="0087128A">
        <w:rPr>
          <w:rFonts w:ascii="Arial" w:hAnsi="Arial" w:cs="Arial"/>
        </w:rPr>
        <w:t>I</w:t>
      </w:r>
      <w:r w:rsidRPr="00AF60E2">
        <w:rPr>
          <w:rFonts w:ascii="Arial" w:hAnsi="Arial" w:cs="Arial"/>
        </w:rPr>
        <w:t>CIS link</w:t>
      </w:r>
      <w:r w:rsidRPr="00AF60E2" w:rsidR="00D8377D">
        <w:rPr>
          <w:rFonts w:ascii="Arial" w:hAnsi="Arial" w:cs="Arial"/>
        </w:rPr>
        <w:t>ed</w:t>
      </w:r>
      <w:r w:rsidRPr="00AF60E2">
        <w:rPr>
          <w:rFonts w:ascii="Arial" w:hAnsi="Arial" w:cs="Arial"/>
        </w:rPr>
        <w:t xml:space="preserve"> price quotation. </w:t>
      </w:r>
    </w:p>
    <w:p w:rsidR="00A70A30" w:rsidRPr="00AF60E2" w:rsidP="00BB4417" w14:paraId="0DAAC713" w14:textId="77777777">
      <w:pPr>
        <w:pStyle w:val="xmsonormal"/>
        <w:spacing w:line="276" w:lineRule="auto"/>
        <w:rPr>
          <w:rFonts w:ascii="Arial" w:hAnsi="Arial" w:cs="Arial"/>
        </w:rPr>
      </w:pPr>
      <w:r w:rsidRPr="00AF60E2">
        <w:rPr>
          <w:rFonts w:ascii="Arial" w:hAnsi="Arial" w:cs="Arial"/>
        </w:rPr>
        <w:t> </w:t>
      </w:r>
    </w:p>
    <w:p w:rsidR="0087128A" w:rsidRPr="00AF60E2" w:rsidP="00BB4417" w14:paraId="6BA3E457" w14:textId="77777777">
      <w:pPr>
        <w:pStyle w:val="xmsonormal"/>
        <w:numPr>
          <w:ilvl w:val="0"/>
          <w:numId w:val="1"/>
        </w:numPr>
        <w:spacing w:line="276" w:lineRule="auto"/>
        <w:rPr>
          <w:rFonts w:ascii="Arial" w:hAnsi="Arial" w:cs="Arial"/>
        </w:rPr>
      </w:pPr>
      <w:r w:rsidRPr="00AF60E2">
        <w:rPr>
          <w:rFonts w:ascii="Arial" w:hAnsi="Arial" w:cs="Arial"/>
        </w:rPr>
        <w:t>P</w:t>
      </w:r>
      <w:r w:rsidRPr="00AF60E2" w:rsidR="004D2735">
        <w:rPr>
          <w:rFonts w:ascii="Arial" w:hAnsi="Arial" w:cs="Arial"/>
        </w:rPr>
        <w:t>ricing formula</w:t>
      </w:r>
      <w:r w:rsidRPr="00AF60E2" w:rsidR="004A73F4">
        <w:rPr>
          <w:rFonts w:ascii="Arial" w:hAnsi="Arial" w:cs="Arial"/>
        </w:rPr>
        <w:t>e</w:t>
      </w:r>
      <w:r w:rsidRPr="00AF60E2" w:rsidR="004D2735">
        <w:rPr>
          <w:rFonts w:ascii="Arial" w:hAnsi="Arial" w:cs="Arial"/>
        </w:rPr>
        <w:t xml:space="preserve"> var</w:t>
      </w:r>
      <w:r w:rsidRPr="00AF60E2" w:rsidR="004A73F4">
        <w:rPr>
          <w:rFonts w:ascii="Arial" w:hAnsi="Arial" w:cs="Arial"/>
        </w:rPr>
        <w:t>y</w:t>
      </w:r>
      <w:r w:rsidRPr="00AF60E2" w:rsidR="004D2735">
        <w:rPr>
          <w:rFonts w:ascii="Arial" w:hAnsi="Arial" w:cs="Arial"/>
        </w:rPr>
        <w:t xml:space="preserve"> from contract to contract, </w:t>
      </w:r>
      <w:r w:rsidRPr="00AF60E2" w:rsidR="00E111A9">
        <w:rPr>
          <w:rFonts w:ascii="Arial" w:hAnsi="Arial" w:cs="Arial"/>
        </w:rPr>
        <w:t xml:space="preserve">and on a deal specific basis. </w:t>
      </w:r>
      <w:r w:rsidRPr="00AF60E2" w:rsidR="008815C8">
        <w:rPr>
          <w:rFonts w:ascii="Arial" w:hAnsi="Arial" w:cs="Arial"/>
        </w:rPr>
        <w:t>T</w:t>
      </w:r>
      <w:r w:rsidRPr="00AF60E2" w:rsidR="004D2735">
        <w:rPr>
          <w:rFonts w:ascii="Arial" w:hAnsi="Arial" w:cs="Arial"/>
        </w:rPr>
        <w:t>he agreement of the price formula depends on the buyer/seller negotiation and their final agreement</w:t>
      </w:r>
      <w:r w:rsidRPr="00AF60E2">
        <w:rPr>
          <w:rFonts w:ascii="Arial" w:hAnsi="Arial" w:cs="Arial"/>
        </w:rPr>
        <w:t xml:space="preserve"> is based on volume, price and credit terms.</w:t>
      </w:r>
      <w:r w:rsidRPr="00AF60E2" w:rsidR="004D2735">
        <w:rPr>
          <w:rFonts w:ascii="Arial" w:hAnsi="Arial" w:cs="Arial"/>
        </w:rPr>
        <w:t xml:space="preserve"> </w:t>
      </w:r>
    </w:p>
    <w:p w:rsidR="0087128A" w:rsidRPr="00AF60E2" w:rsidP="0087128A" w14:paraId="097BBF8A" w14:textId="77777777">
      <w:pPr>
        <w:pStyle w:val="ListParagraph"/>
        <w:rPr>
          <w:rFonts w:ascii="Arial" w:hAnsi="Arial" w:cs="Arial"/>
          <w:sz w:val="24"/>
          <w:szCs w:val="24"/>
        </w:rPr>
      </w:pPr>
    </w:p>
    <w:p w:rsidR="004D2735" w:rsidRPr="00AF60E2" w:rsidP="00BB4417" w14:paraId="6B6FD431" w14:textId="77777777">
      <w:pPr>
        <w:pStyle w:val="xmsonormal"/>
        <w:numPr>
          <w:ilvl w:val="0"/>
          <w:numId w:val="1"/>
        </w:numPr>
        <w:spacing w:line="276" w:lineRule="auto"/>
        <w:rPr>
          <w:rFonts w:ascii="Arial" w:hAnsi="Arial" w:cs="Arial"/>
        </w:rPr>
      </w:pPr>
      <w:r w:rsidRPr="00AF60E2">
        <w:rPr>
          <w:rFonts w:ascii="Arial" w:hAnsi="Arial" w:cs="Arial"/>
        </w:rPr>
        <w:t xml:space="preserve">When buying on the spot market, the buyer and seller are free to choose which pricing reference to use </w:t>
      </w:r>
      <w:r w:rsidRPr="00AF60E2" w:rsidR="00D8377D">
        <w:rPr>
          <w:rFonts w:ascii="Arial" w:hAnsi="Arial" w:cs="Arial"/>
        </w:rPr>
        <w:t xml:space="preserve">whether </w:t>
      </w:r>
      <w:r w:rsidRPr="00AF60E2">
        <w:rPr>
          <w:rFonts w:ascii="Arial" w:hAnsi="Arial" w:cs="Arial"/>
        </w:rPr>
        <w:t>ICIS or Argus, depending on which suits them better and then fix the price. Spot market purchases allow</w:t>
      </w:r>
      <w:r w:rsidRPr="00AF60E2" w:rsidR="00DD769E">
        <w:rPr>
          <w:rFonts w:ascii="Arial" w:hAnsi="Arial" w:cs="Arial"/>
        </w:rPr>
        <w:t xml:space="preserve">s the industry </w:t>
      </w:r>
      <w:r w:rsidRPr="00AF60E2" w:rsidR="00774666">
        <w:rPr>
          <w:rFonts w:ascii="Arial" w:hAnsi="Arial" w:cs="Arial"/>
        </w:rPr>
        <w:t>to</w:t>
      </w:r>
      <w:r w:rsidRPr="00AF60E2">
        <w:rPr>
          <w:rFonts w:ascii="Arial" w:hAnsi="Arial" w:cs="Arial"/>
        </w:rPr>
        <w:t xml:space="preserve"> thoroughly compare offers</w:t>
      </w:r>
      <w:r w:rsidRPr="00AF60E2" w:rsidR="00774666">
        <w:rPr>
          <w:rFonts w:ascii="Arial" w:hAnsi="Arial" w:cs="Arial"/>
        </w:rPr>
        <w:t xml:space="preserve"> and prices </w:t>
      </w:r>
      <w:r w:rsidRPr="00AF60E2">
        <w:rPr>
          <w:rFonts w:ascii="Arial" w:hAnsi="Arial" w:cs="Arial"/>
        </w:rPr>
        <w:t>across different markets</w:t>
      </w:r>
      <w:r w:rsidRPr="00AF60E2" w:rsidR="007C4DB4">
        <w:rPr>
          <w:rFonts w:ascii="Arial" w:hAnsi="Arial" w:cs="Arial"/>
        </w:rPr>
        <w:t xml:space="preserve"> and </w:t>
      </w:r>
      <w:r w:rsidRPr="00AF60E2">
        <w:rPr>
          <w:rFonts w:ascii="Arial" w:hAnsi="Arial" w:cs="Arial"/>
        </w:rPr>
        <w:t>regions and choose the most competitive price available</w:t>
      </w:r>
      <w:r w:rsidRPr="00AF60E2" w:rsidR="00FD2765">
        <w:rPr>
          <w:rFonts w:ascii="Arial" w:hAnsi="Arial" w:cs="Arial"/>
        </w:rPr>
        <w:t xml:space="preserve"> which is how </w:t>
      </w:r>
      <w:r w:rsidRPr="00AF60E2">
        <w:rPr>
          <w:rFonts w:ascii="Arial" w:hAnsi="Arial" w:cs="Arial"/>
        </w:rPr>
        <w:t>SCT Lubricants UAB</w:t>
      </w:r>
      <w:r w:rsidRPr="00AF60E2" w:rsidR="00FD2765">
        <w:rPr>
          <w:rFonts w:ascii="Arial" w:hAnsi="Arial" w:cs="Arial"/>
        </w:rPr>
        <w:t xml:space="preserve"> operates and </w:t>
      </w:r>
      <w:r w:rsidRPr="00AF60E2" w:rsidR="00940D25">
        <w:rPr>
          <w:rFonts w:ascii="Arial" w:hAnsi="Arial" w:cs="Arial"/>
        </w:rPr>
        <w:t xml:space="preserve">is </w:t>
      </w:r>
      <w:r w:rsidRPr="00AF60E2">
        <w:rPr>
          <w:rFonts w:ascii="Arial" w:hAnsi="Arial" w:cs="Arial"/>
        </w:rPr>
        <w:t xml:space="preserve">then </w:t>
      </w:r>
      <w:r w:rsidRPr="00AF60E2" w:rsidR="00940D25">
        <w:rPr>
          <w:rFonts w:ascii="Arial" w:hAnsi="Arial" w:cs="Arial"/>
        </w:rPr>
        <w:t xml:space="preserve">able to pass on the </w:t>
      </w:r>
      <w:r w:rsidRPr="00AF60E2" w:rsidR="00E35C69">
        <w:rPr>
          <w:rFonts w:ascii="Arial" w:hAnsi="Arial" w:cs="Arial"/>
        </w:rPr>
        <w:t xml:space="preserve">lower price </w:t>
      </w:r>
      <w:r w:rsidRPr="00AF60E2" w:rsidR="00940D25">
        <w:rPr>
          <w:rFonts w:ascii="Arial" w:hAnsi="Arial" w:cs="Arial"/>
        </w:rPr>
        <w:t xml:space="preserve">benefits of market </w:t>
      </w:r>
      <w:r w:rsidRPr="00AF60E2" w:rsidR="008B4BF2">
        <w:rPr>
          <w:rFonts w:ascii="Arial" w:hAnsi="Arial" w:cs="Arial"/>
        </w:rPr>
        <w:t>arbitrage to importers and ultimately to downstream UK busines</w:t>
      </w:r>
      <w:r w:rsidRPr="00AF60E2" w:rsidR="00E35C69">
        <w:rPr>
          <w:rFonts w:ascii="Arial" w:hAnsi="Arial" w:cs="Arial"/>
        </w:rPr>
        <w:t>s</w:t>
      </w:r>
      <w:r w:rsidRPr="00AF60E2" w:rsidR="008B4BF2">
        <w:rPr>
          <w:rFonts w:ascii="Arial" w:hAnsi="Arial" w:cs="Arial"/>
        </w:rPr>
        <w:t>es and end consumers.</w:t>
      </w:r>
      <w:r w:rsidRPr="00AF60E2" w:rsidR="00E35C69">
        <w:rPr>
          <w:rFonts w:ascii="Arial" w:hAnsi="Arial" w:cs="Arial"/>
        </w:rPr>
        <w:t xml:space="preserve"> </w:t>
      </w:r>
    </w:p>
    <w:p w:rsidR="004D2735" w:rsidRPr="00AF60E2" w:rsidP="00E35C69" w14:paraId="3C2C4B72" w14:textId="77777777">
      <w:pPr>
        <w:pStyle w:val="xmsonormal"/>
        <w:spacing w:line="276" w:lineRule="auto"/>
        <w:ind w:left="720"/>
        <w:rPr>
          <w:rFonts w:ascii="Arial" w:hAnsi="Arial" w:cs="Arial"/>
        </w:rPr>
      </w:pPr>
    </w:p>
    <w:p w:rsidR="00B83770" w:rsidRPr="00AF60E2" w:rsidP="00BB4417" w14:paraId="0A5720C5" w14:textId="77777777">
      <w:pPr>
        <w:pStyle w:val="legclearfix"/>
        <w:numPr>
          <w:ilvl w:val="0"/>
          <w:numId w:val="1"/>
        </w:numPr>
        <w:shd w:val="clear" w:color="auto" w:fill="FFFFFF"/>
        <w:spacing w:before="0" w:beforeAutospacing="0" w:after="120" w:afterAutospacing="0" w:line="276" w:lineRule="auto"/>
        <w:rPr>
          <w:rFonts w:ascii="Arial" w:hAnsi="Arial" w:cs="Arial"/>
        </w:rPr>
      </w:pPr>
      <w:r w:rsidRPr="00AF60E2">
        <w:rPr>
          <w:rFonts w:ascii="Arial" w:hAnsi="Arial" w:cs="Arial"/>
        </w:rPr>
        <w:t>In addition</w:t>
      </w:r>
      <w:r w:rsidRPr="00AF60E2" w:rsidR="0087128A">
        <w:rPr>
          <w:rFonts w:ascii="Arial" w:hAnsi="Arial" w:cs="Arial"/>
        </w:rPr>
        <w:t>,</w:t>
      </w:r>
      <w:r w:rsidRPr="00AF60E2">
        <w:rPr>
          <w:rFonts w:ascii="Arial" w:hAnsi="Arial" w:cs="Arial"/>
        </w:rPr>
        <w:t xml:space="preserve"> the TRA has not taken into sufficient account the downward pressure of global base oil prices during the POI.</w:t>
      </w:r>
    </w:p>
    <w:p w:rsidR="00954574" w:rsidRPr="00AF60E2" w:rsidP="00954574" w14:paraId="4B90DC90" w14:textId="77777777">
      <w:pPr>
        <w:pStyle w:val="ListParagraph"/>
        <w:rPr>
          <w:rFonts w:ascii="Arial" w:hAnsi="Arial" w:cs="Arial"/>
          <w:sz w:val="24"/>
          <w:szCs w:val="24"/>
        </w:rPr>
      </w:pPr>
    </w:p>
    <w:p w:rsidR="00954574" w:rsidRPr="00AF60E2" w:rsidP="00BB4417" w14:paraId="0F6A6698" w14:textId="77777777">
      <w:pPr>
        <w:pStyle w:val="legclearfix"/>
        <w:numPr>
          <w:ilvl w:val="0"/>
          <w:numId w:val="1"/>
        </w:numPr>
        <w:shd w:val="clear" w:color="auto" w:fill="FFFFFF"/>
        <w:spacing w:before="0" w:beforeAutospacing="0" w:after="120" w:afterAutospacing="0" w:line="276" w:lineRule="auto"/>
        <w:rPr>
          <w:rFonts w:ascii="Arial" w:hAnsi="Arial" w:cs="Arial"/>
        </w:rPr>
      </w:pPr>
      <w:r w:rsidRPr="00AF60E2">
        <w:rPr>
          <w:rFonts w:ascii="Arial" w:hAnsi="Arial" w:cs="Arial"/>
        </w:rPr>
        <w:t>The relevant par</w:t>
      </w:r>
      <w:r w:rsidRPr="00AF60E2" w:rsidR="00D8377D">
        <w:rPr>
          <w:rFonts w:ascii="Arial" w:hAnsi="Arial" w:cs="Arial"/>
        </w:rPr>
        <w:t xml:space="preserve">agraphs </w:t>
      </w:r>
      <w:r w:rsidRPr="00AF60E2">
        <w:rPr>
          <w:rFonts w:ascii="Arial" w:hAnsi="Arial" w:cs="Arial"/>
        </w:rPr>
        <w:t xml:space="preserve">at PAD para 156 and 162 </w:t>
      </w:r>
      <w:r w:rsidRPr="00AF60E2" w:rsidR="00D8377D">
        <w:rPr>
          <w:rFonts w:ascii="Arial" w:hAnsi="Arial" w:cs="Arial"/>
        </w:rPr>
        <w:t>provide:</w:t>
      </w:r>
    </w:p>
    <w:p w:rsidR="00D8377D" w:rsidRPr="00AF60E2" w:rsidP="00D8377D" w14:paraId="7FEE865E" w14:textId="77777777">
      <w:pPr>
        <w:pStyle w:val="ListParagraph"/>
        <w:rPr>
          <w:rFonts w:ascii="Arial" w:hAnsi="Arial" w:cs="Arial"/>
          <w:sz w:val="24"/>
          <w:szCs w:val="24"/>
        </w:rPr>
      </w:pPr>
    </w:p>
    <w:p w:rsidR="00D8377D" w:rsidRPr="00AF60E2" w:rsidP="00D8377D" w14:paraId="7CA5CA57" w14:textId="77777777">
      <w:pPr>
        <w:pStyle w:val="legclearfix"/>
        <w:shd w:val="clear" w:color="auto" w:fill="FFFFFF"/>
        <w:spacing w:before="0" w:beforeAutospacing="0" w:after="120" w:afterAutospacing="0" w:line="276" w:lineRule="auto"/>
        <w:ind w:left="720"/>
        <w:rPr>
          <w:rFonts w:ascii="Arial" w:hAnsi="Arial" w:cs="Arial"/>
          <w:i/>
          <w:iCs/>
        </w:rPr>
      </w:pPr>
      <w:r w:rsidRPr="00AF60E2">
        <w:rPr>
          <w:rFonts w:ascii="Arial" w:hAnsi="Arial" w:cs="Arial"/>
          <w:i/>
          <w:iCs/>
        </w:rPr>
        <w:t>“156. Price depression occurs when the UK industry is forced to reduce its prices to compete against lower priced dumped goods.</w:t>
      </w:r>
      <w:r w:rsidRPr="00AF60E2" w:rsidR="00DB0AB0">
        <w:rPr>
          <w:rFonts w:ascii="Arial" w:hAnsi="Arial" w:cs="Arial"/>
          <w:i/>
          <w:iCs/>
        </w:rPr>
        <w:t>”</w:t>
      </w:r>
    </w:p>
    <w:p w:rsidR="00FE71ED" w:rsidRPr="00AF60E2" w:rsidP="00D8377D" w14:paraId="7F507818" w14:textId="77777777">
      <w:pPr>
        <w:pStyle w:val="legclearfix"/>
        <w:shd w:val="clear" w:color="auto" w:fill="FFFFFF"/>
        <w:spacing w:before="0" w:beforeAutospacing="0" w:after="120" w:afterAutospacing="0" w:line="276" w:lineRule="auto"/>
        <w:ind w:left="720"/>
        <w:rPr>
          <w:rFonts w:ascii="Arial" w:hAnsi="Arial" w:cs="Arial"/>
          <w:i/>
          <w:iCs/>
        </w:rPr>
      </w:pPr>
      <w:r w:rsidRPr="00AF60E2">
        <w:rPr>
          <w:rFonts w:ascii="Arial" w:hAnsi="Arial" w:cs="Arial"/>
          <w:i/>
          <w:iCs/>
        </w:rPr>
        <w:t xml:space="preserve">162. To conclude, the TRA have established that imported prices are lower than UK sales prices (see price undercutting, above). Whilst domestic sales prices have increased, domestic interested parties have </w:t>
      </w:r>
      <w:r w:rsidRPr="00AF60E2">
        <w:rPr>
          <w:rFonts w:ascii="Arial" w:hAnsi="Arial" w:cs="Arial"/>
          <w:i/>
          <w:iCs/>
        </w:rPr>
        <w:t>stated that these dumped, lower priced imports are affecting their ability to set sales prices and sell at a profit (profitability is assessed in more detail below). The TRA has therefore determined that the dumped goods have suppressed domestic prices of the like goods produced in the UK to a significant degree, on the basis of the evidence available at the time that the assessments were conducted.</w:t>
      </w:r>
    </w:p>
    <w:p w:rsidR="00CB49EE" w:rsidRPr="00AF60E2" w:rsidP="00FE71ED" w14:paraId="4D1C20BC" w14:textId="77777777">
      <w:pPr>
        <w:pStyle w:val="xmsonormal"/>
        <w:numPr>
          <w:ilvl w:val="0"/>
          <w:numId w:val="1"/>
        </w:numPr>
        <w:spacing w:line="276" w:lineRule="auto"/>
        <w:rPr>
          <w:rFonts w:ascii="Arial" w:hAnsi="Arial" w:cs="Arial"/>
        </w:rPr>
      </w:pPr>
      <w:r w:rsidRPr="00AF60E2">
        <w:rPr>
          <w:rFonts w:ascii="Arial" w:hAnsi="Arial" w:cs="Arial"/>
        </w:rPr>
        <w:t xml:space="preserve">It is submitted that the decline in prices during the POI is also explained by the decline in global base oil prices. The decline in pricing noted by the TRA aligns with the downward pressure on the base oil prices across the markets. Illustrative of this the ICIS Base Oils price chart for 2022–2023, which shows </w:t>
      </w:r>
      <w:r w:rsidRPr="00AF60E2">
        <w:rPr>
          <w:rFonts w:ascii="Arial" w:hAnsi="Arial" w:cs="Arial"/>
        </w:rPr>
        <w:t>a price decrease during the same time period Aztec Oils claims they were forced to lower their prices:</w:t>
      </w:r>
    </w:p>
    <w:p w:rsidR="00FE71ED" w:rsidRPr="00AF60E2" w:rsidP="00BB4417" w14:paraId="4B20BB6A" w14:textId="77777777">
      <w:pPr>
        <w:pStyle w:val="xmsonormal"/>
        <w:spacing w:line="276" w:lineRule="auto"/>
        <w:rPr>
          <w:rFonts w:ascii="Arial" w:hAnsi="Arial" w:cs="Arial"/>
        </w:rPr>
      </w:pPr>
    </w:p>
    <w:p w:rsidR="00CB49EE" w:rsidRPr="00AF60E2" w:rsidP="00BB4417" w14:paraId="41C2B9A9" w14:textId="77777777">
      <w:pPr>
        <w:pStyle w:val="xmsonormal"/>
        <w:spacing w:line="276" w:lineRule="auto"/>
        <w:rPr>
          <w:rFonts w:ascii="Arial" w:hAnsi="Arial" w:cs="Arial"/>
        </w:rPr>
      </w:pPr>
      <w:r w:rsidRPr="00AF60E2">
        <w:rPr>
          <w:rFonts w:ascii="Arial" w:hAnsi="Arial" w:cs="Arial"/>
        </w:rPr>
        <w:t> </w:t>
      </w:r>
    </w:p>
    <w:p w:rsidR="00CB49EE" w:rsidRPr="00AF60E2" w:rsidP="00BB4417" w14:paraId="66594E4D" w14:textId="77777777">
      <w:pPr>
        <w:spacing w:line="276" w:lineRule="auto"/>
        <w:rPr>
          <w:rFonts w:ascii="Arial" w:hAnsi="Arial" w:cs="Arial"/>
          <w:sz w:val="24"/>
          <w:szCs w:val="24"/>
        </w:rPr>
      </w:pPr>
      <w:r w:rsidRPr="00AF60E2">
        <w:rPr>
          <w:rFonts w:ascii="Arial" w:hAnsi="Arial" w:cs="Arial"/>
          <w:noProof/>
          <w:sz w:val="24"/>
          <w:szCs w:val="24"/>
        </w:rPr>
        <w:drawing>
          <wp:inline distT="0" distB="0" distL="0" distR="0">
            <wp:extent cx="5731510" cy="3046730"/>
            <wp:effectExtent l="0" t="0" r="0" b="0"/>
            <wp:docPr id="8801104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10494" name="Picture 10"/>
                    <pic:cNvPicPr>
                      <a:picLocks noChangeAspect="1" noChangeArrowheads="1"/>
                    </pic:cNvPicPr>
                  </pic:nvPicPr>
                  <pic:blipFill>
                    <a:blip xmlns:r="http://schemas.openxmlformats.org/officeDocument/2006/relationships" r:embed="rId16" r:link="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731510" cy="3046730"/>
                    </a:xfrm>
                    <a:prstGeom prst="rect">
                      <a:avLst/>
                    </a:prstGeom>
                    <a:noFill/>
                    <a:ln>
                      <a:noFill/>
                    </a:ln>
                  </pic:spPr>
                </pic:pic>
              </a:graphicData>
            </a:graphic>
          </wp:inline>
        </w:drawing>
      </w:r>
    </w:p>
    <w:p w:rsidR="00CB49EE" w:rsidRPr="00AF60E2" w:rsidP="00BB4417" w14:paraId="0B1DCBDF" w14:textId="77777777">
      <w:pPr>
        <w:pStyle w:val="xmsonormal"/>
        <w:spacing w:line="276" w:lineRule="auto"/>
        <w:rPr>
          <w:rFonts w:ascii="Arial" w:hAnsi="Arial" w:cs="Arial"/>
        </w:rPr>
      </w:pPr>
    </w:p>
    <w:p w:rsidR="00CB49EE" w:rsidRPr="00AF60E2" w:rsidP="00BB4417" w14:paraId="1122F312" w14:textId="77777777">
      <w:pPr>
        <w:pStyle w:val="xmsonormal"/>
        <w:spacing w:line="276" w:lineRule="auto"/>
        <w:rPr>
          <w:rFonts w:ascii="Arial" w:hAnsi="Arial" w:cs="Arial"/>
        </w:rPr>
      </w:pPr>
      <w:r w:rsidRPr="00AF60E2">
        <w:rPr>
          <w:rFonts w:ascii="Arial" w:hAnsi="Arial" w:cs="Arial"/>
        </w:rPr>
        <w:t> </w:t>
      </w:r>
    </w:p>
    <w:p w:rsidR="00CB49EE" w:rsidRPr="00AF60E2" w:rsidP="00F07056" w14:paraId="04D3B0D7" w14:textId="77777777">
      <w:pPr>
        <w:pStyle w:val="xmsonormal"/>
        <w:numPr>
          <w:ilvl w:val="0"/>
          <w:numId w:val="1"/>
        </w:numPr>
        <w:spacing w:line="276" w:lineRule="auto"/>
        <w:rPr>
          <w:rFonts w:ascii="Arial" w:hAnsi="Arial" w:cs="Arial"/>
        </w:rPr>
      </w:pPr>
      <w:r w:rsidRPr="00AF60E2">
        <w:rPr>
          <w:rFonts w:ascii="Arial" w:hAnsi="Arial" w:cs="Arial"/>
        </w:rPr>
        <w:t xml:space="preserve">In addition, </w:t>
      </w:r>
      <w:r w:rsidRPr="00AF60E2" w:rsidR="00F07056">
        <w:rPr>
          <w:rFonts w:ascii="Arial" w:hAnsi="Arial" w:cs="Arial"/>
        </w:rPr>
        <w:t>t</w:t>
      </w:r>
      <w:r w:rsidRPr="00AF60E2">
        <w:rPr>
          <w:rFonts w:ascii="Arial" w:hAnsi="Arial" w:cs="Arial"/>
        </w:rPr>
        <w:t>he Argus reports of years 2022 to 2024</w:t>
      </w:r>
      <w:r w:rsidRPr="00AF60E2" w:rsidR="00E47AA4">
        <w:rPr>
          <w:rFonts w:ascii="Arial" w:hAnsi="Arial" w:cs="Arial"/>
        </w:rPr>
        <w:t xml:space="preserve"> also </w:t>
      </w:r>
      <w:r w:rsidRPr="00AF60E2" w:rsidR="00F07056">
        <w:rPr>
          <w:rFonts w:ascii="Arial" w:hAnsi="Arial" w:cs="Arial"/>
        </w:rPr>
        <w:t xml:space="preserve">demonstrate </w:t>
      </w:r>
      <w:r w:rsidRPr="00AF60E2">
        <w:rPr>
          <w:rFonts w:ascii="Arial" w:hAnsi="Arial" w:cs="Arial"/>
        </w:rPr>
        <w:t xml:space="preserve"> the base oils prices across the markets were decreasing </w:t>
      </w:r>
      <w:r w:rsidRPr="00AF60E2" w:rsidR="00F07056">
        <w:rPr>
          <w:rFonts w:ascii="Arial" w:hAnsi="Arial" w:cs="Arial"/>
        </w:rPr>
        <w:t xml:space="preserve">during </w:t>
      </w:r>
      <w:r w:rsidRPr="00AF60E2">
        <w:rPr>
          <w:rFonts w:ascii="Arial" w:hAnsi="Arial" w:cs="Arial"/>
        </w:rPr>
        <w:t>the same timeframe:</w:t>
      </w:r>
    </w:p>
    <w:p w:rsidR="00CB49EE" w:rsidRPr="00AF60E2" w:rsidP="00BB4417" w14:paraId="4833DD87" w14:textId="77777777">
      <w:pPr>
        <w:spacing w:line="276" w:lineRule="auto"/>
        <w:rPr>
          <w:rFonts w:ascii="Arial" w:hAnsi="Arial" w:cs="Arial"/>
          <w:sz w:val="24"/>
          <w:szCs w:val="24"/>
        </w:rPr>
      </w:pPr>
      <w:r w:rsidRPr="00AF60E2">
        <w:rPr>
          <w:rFonts w:ascii="Arial" w:hAnsi="Arial" w:cs="Arial"/>
          <w:noProof/>
          <w:sz w:val="24"/>
          <w:szCs w:val="24"/>
        </w:rPr>
        <w:drawing>
          <wp:inline distT="0" distB="0" distL="0" distR="0">
            <wp:extent cx="4219575" cy="3638550"/>
            <wp:effectExtent l="0" t="0" r="0" b="0"/>
            <wp:docPr id="11593553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55378" name="Picture 9"/>
                    <pic:cNvPicPr>
                      <a:picLocks noChangeAspect="1" noChangeArrowheads="1"/>
                    </pic:cNvPicPr>
                  </pic:nvPicPr>
                  <pic:blipFill>
                    <a:blip xmlns:r="http://schemas.openxmlformats.org/officeDocument/2006/relationships" r:embed="rId18" r:link="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19575" cy="3638550"/>
                    </a:xfrm>
                    <a:prstGeom prst="rect">
                      <a:avLst/>
                    </a:prstGeom>
                    <a:noFill/>
                    <a:ln>
                      <a:noFill/>
                    </a:ln>
                  </pic:spPr>
                </pic:pic>
              </a:graphicData>
            </a:graphic>
          </wp:inline>
        </w:drawing>
      </w:r>
    </w:p>
    <w:p w:rsidR="00CB49EE" w:rsidRPr="00AF60E2" w:rsidP="00BB4417" w14:paraId="08C67171" w14:textId="77777777">
      <w:pPr>
        <w:spacing w:line="276" w:lineRule="auto"/>
        <w:rPr>
          <w:rFonts w:ascii="Arial" w:hAnsi="Arial" w:cs="Arial"/>
          <w:sz w:val="24"/>
          <w:szCs w:val="24"/>
        </w:rPr>
      </w:pPr>
      <w:r w:rsidRPr="00AF60E2">
        <w:rPr>
          <w:rFonts w:ascii="Arial" w:hAnsi="Arial" w:cs="Arial"/>
          <w:noProof/>
          <w:sz w:val="24"/>
          <w:szCs w:val="24"/>
        </w:rPr>
        <w:drawing>
          <wp:inline distT="0" distB="0" distL="0" distR="0">
            <wp:extent cx="3943350" cy="3362325"/>
            <wp:effectExtent l="0" t="0" r="0" b="0"/>
            <wp:docPr id="11710448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44815" name="Picture 8"/>
                    <pic:cNvPicPr>
                      <a:picLocks noChangeAspect="1" noChangeArrowheads="1"/>
                    </pic:cNvPicPr>
                  </pic:nvPicPr>
                  <pic:blipFill>
                    <a:blip xmlns:r="http://schemas.openxmlformats.org/officeDocument/2006/relationships" r:embed="rId20" r:link="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943350" cy="3362325"/>
                    </a:xfrm>
                    <a:prstGeom prst="rect">
                      <a:avLst/>
                    </a:prstGeom>
                    <a:noFill/>
                    <a:ln>
                      <a:noFill/>
                    </a:ln>
                  </pic:spPr>
                </pic:pic>
              </a:graphicData>
            </a:graphic>
          </wp:inline>
        </w:drawing>
      </w:r>
    </w:p>
    <w:p w:rsidR="00CB49EE" w:rsidRPr="00AF60E2" w:rsidP="00BB4417" w14:paraId="3FFAB705" w14:textId="77777777">
      <w:pPr>
        <w:pStyle w:val="xmsonormal"/>
        <w:spacing w:line="276" w:lineRule="auto"/>
        <w:rPr>
          <w:rFonts w:ascii="Arial" w:hAnsi="Arial" w:cs="Arial"/>
        </w:rPr>
      </w:pPr>
      <w:r w:rsidRPr="00AF60E2">
        <w:rPr>
          <w:rFonts w:ascii="Arial" w:hAnsi="Arial" w:cs="Arial"/>
        </w:rPr>
        <w:t> </w:t>
      </w:r>
    </w:p>
    <w:p w:rsidR="00CB49EE" w:rsidRPr="00AF60E2" w:rsidP="00BB4417" w14:paraId="104C12C9" w14:textId="77777777">
      <w:pPr>
        <w:spacing w:line="276" w:lineRule="auto"/>
        <w:rPr>
          <w:rFonts w:ascii="Arial" w:hAnsi="Arial" w:cs="Arial"/>
          <w:sz w:val="24"/>
          <w:szCs w:val="24"/>
        </w:rPr>
      </w:pPr>
      <w:r w:rsidRPr="00AF60E2">
        <w:rPr>
          <w:rFonts w:ascii="Arial" w:hAnsi="Arial" w:cs="Arial"/>
          <w:noProof/>
          <w:sz w:val="24"/>
          <w:szCs w:val="24"/>
        </w:rPr>
        <w:drawing>
          <wp:inline distT="0" distB="0" distL="0" distR="0">
            <wp:extent cx="3914775" cy="3305175"/>
            <wp:effectExtent l="0" t="0" r="0" b="0"/>
            <wp:docPr id="265563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6316" name="Picture 7"/>
                    <pic:cNvPicPr>
                      <a:picLocks noChangeAspect="1" noChangeArrowheads="1"/>
                    </pic:cNvPicPr>
                  </pic:nvPicPr>
                  <pic:blipFill>
                    <a:blip xmlns:r="http://schemas.openxmlformats.org/officeDocument/2006/relationships" r:embed="rId22" r:link="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914775" cy="3305175"/>
                    </a:xfrm>
                    <a:prstGeom prst="rect">
                      <a:avLst/>
                    </a:prstGeom>
                    <a:noFill/>
                    <a:ln>
                      <a:noFill/>
                    </a:ln>
                  </pic:spPr>
                </pic:pic>
              </a:graphicData>
            </a:graphic>
          </wp:inline>
        </w:drawing>
      </w:r>
    </w:p>
    <w:p w:rsidR="00CB49EE" w:rsidRPr="00AF60E2" w:rsidP="00BB4417" w14:paraId="517965EF" w14:textId="77777777">
      <w:pPr>
        <w:pStyle w:val="xmsonormal"/>
        <w:spacing w:line="276" w:lineRule="auto"/>
        <w:rPr>
          <w:rFonts w:ascii="Arial" w:hAnsi="Arial" w:cs="Arial"/>
        </w:rPr>
      </w:pPr>
      <w:r w:rsidRPr="00AF60E2">
        <w:rPr>
          <w:rFonts w:ascii="Arial" w:hAnsi="Arial" w:cs="Arial"/>
        </w:rPr>
        <w:t> </w:t>
      </w:r>
    </w:p>
    <w:p w:rsidR="00CB49EE" w:rsidRPr="00AF60E2" w:rsidP="00BB4417" w14:paraId="39487584" w14:textId="77777777">
      <w:pPr>
        <w:pStyle w:val="xmsonormal"/>
        <w:spacing w:line="276" w:lineRule="auto"/>
        <w:rPr>
          <w:rFonts w:ascii="Arial" w:hAnsi="Arial" w:cs="Arial"/>
        </w:rPr>
      </w:pPr>
      <w:r w:rsidRPr="00AF60E2">
        <w:rPr>
          <w:rFonts w:ascii="Arial" w:hAnsi="Arial" w:cs="Arial"/>
        </w:rPr>
        <w:t> </w:t>
      </w:r>
    </w:p>
    <w:p w:rsidR="00B44B08" w:rsidRPr="00AF60E2" w:rsidP="00E47AA4" w14:paraId="2BD10DD0"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 xml:space="preserve">The </w:t>
      </w:r>
      <w:r w:rsidRPr="00AF60E2" w:rsidR="00C035FE">
        <w:rPr>
          <w:rFonts w:ascii="Arial" w:hAnsi="Arial" w:cs="Arial"/>
          <w:sz w:val="24"/>
          <w:szCs w:val="24"/>
        </w:rPr>
        <w:t xml:space="preserve">TRA has failed to take sufficient account of the </w:t>
      </w:r>
      <w:r w:rsidRPr="00AF60E2" w:rsidR="001F5069">
        <w:rPr>
          <w:rFonts w:ascii="Arial" w:hAnsi="Arial" w:cs="Arial"/>
          <w:sz w:val="24"/>
          <w:szCs w:val="24"/>
        </w:rPr>
        <w:t xml:space="preserve">fact that </w:t>
      </w:r>
      <w:r w:rsidRPr="00AF60E2">
        <w:rPr>
          <w:rFonts w:ascii="Arial" w:hAnsi="Arial" w:cs="Arial"/>
          <w:sz w:val="24"/>
          <w:szCs w:val="24"/>
        </w:rPr>
        <w:t xml:space="preserve">the inability to compete of </w:t>
      </w:r>
      <w:r w:rsidRPr="00AF60E2" w:rsidR="001F5069">
        <w:rPr>
          <w:rFonts w:ascii="Arial" w:hAnsi="Arial" w:cs="Arial"/>
          <w:sz w:val="24"/>
          <w:szCs w:val="24"/>
        </w:rPr>
        <w:t xml:space="preserve">Aztec </w:t>
      </w:r>
      <w:r w:rsidRPr="00AF60E2">
        <w:rPr>
          <w:rFonts w:ascii="Arial" w:hAnsi="Arial" w:cs="Arial"/>
          <w:sz w:val="24"/>
          <w:szCs w:val="24"/>
        </w:rPr>
        <w:t>may be due to its own internal failures to compete and respond to market forces when other producers and importers are able to do so</w:t>
      </w:r>
      <w:r w:rsidRPr="00AF60E2" w:rsidR="00006C3B">
        <w:rPr>
          <w:rFonts w:ascii="Arial" w:hAnsi="Arial" w:cs="Arial"/>
          <w:sz w:val="24"/>
          <w:szCs w:val="24"/>
        </w:rPr>
        <w:t xml:space="preserve"> rather than any causative effect of product dumping.</w:t>
      </w:r>
      <w:r w:rsidR="00A814F9">
        <w:rPr>
          <w:rFonts w:ascii="Arial" w:hAnsi="Arial" w:cs="Arial"/>
          <w:sz w:val="24"/>
          <w:szCs w:val="24"/>
        </w:rPr>
        <w:t xml:space="preserve"> In particular Aztec may not be purchasing base oil at competitive prices when it is possible to do so.</w:t>
      </w:r>
    </w:p>
    <w:p w:rsidR="00BD0E29" w:rsidRPr="00AF60E2" w:rsidP="00BD0E29" w14:paraId="0E0BBBA2" w14:textId="77777777">
      <w:pPr>
        <w:rPr>
          <w:rFonts w:ascii="Arial" w:hAnsi="Arial" w:cs="Arial"/>
          <w:b/>
          <w:bCs/>
          <w:sz w:val="24"/>
          <w:szCs w:val="24"/>
        </w:rPr>
      </w:pPr>
      <w:r w:rsidRPr="00AF60E2">
        <w:rPr>
          <w:rFonts w:ascii="Arial" w:hAnsi="Arial" w:cs="Arial"/>
          <w:b/>
          <w:bCs/>
          <w:sz w:val="24"/>
          <w:szCs w:val="24"/>
        </w:rPr>
        <w:t xml:space="preserve">The provisional findings on injury </w:t>
      </w:r>
    </w:p>
    <w:p w:rsidR="00502484" w:rsidRPr="00AF60E2" w:rsidP="00502484" w14:paraId="7329EBDF"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The inconsistency of approach</w:t>
      </w:r>
      <w:r w:rsidRPr="00AF60E2" w:rsidR="002200F2">
        <w:rPr>
          <w:rFonts w:ascii="Arial" w:hAnsi="Arial" w:cs="Arial"/>
          <w:sz w:val="24"/>
          <w:szCs w:val="24"/>
        </w:rPr>
        <w:t xml:space="preserve"> identified </w:t>
      </w:r>
      <w:r w:rsidRPr="00AF60E2" w:rsidR="00DE31E8">
        <w:rPr>
          <w:rFonts w:ascii="Arial" w:hAnsi="Arial" w:cs="Arial"/>
          <w:sz w:val="24"/>
          <w:szCs w:val="24"/>
        </w:rPr>
        <w:t xml:space="preserve">previously </w:t>
      </w:r>
      <w:r w:rsidRPr="00AF60E2" w:rsidR="002200F2">
        <w:rPr>
          <w:rFonts w:ascii="Arial" w:hAnsi="Arial" w:cs="Arial"/>
          <w:sz w:val="24"/>
          <w:szCs w:val="24"/>
        </w:rPr>
        <w:t>with regard to the overiden</w:t>
      </w:r>
      <w:r w:rsidRPr="00AF60E2" w:rsidR="00DE31E8">
        <w:rPr>
          <w:rFonts w:ascii="Arial" w:hAnsi="Arial" w:cs="Arial"/>
          <w:sz w:val="24"/>
          <w:szCs w:val="24"/>
        </w:rPr>
        <w:t xml:space="preserve">tification of </w:t>
      </w:r>
      <w:r w:rsidRPr="00AF60E2" w:rsidR="00303B07">
        <w:rPr>
          <w:rFonts w:ascii="Arial" w:hAnsi="Arial" w:cs="Arial"/>
          <w:sz w:val="24"/>
          <w:szCs w:val="24"/>
        </w:rPr>
        <w:t xml:space="preserve">the interests of </w:t>
      </w:r>
      <w:r w:rsidRPr="00AF60E2" w:rsidR="00DE31E8">
        <w:rPr>
          <w:rFonts w:ascii="Arial" w:hAnsi="Arial" w:cs="Arial"/>
          <w:sz w:val="24"/>
          <w:szCs w:val="24"/>
        </w:rPr>
        <w:t xml:space="preserve">UK Industry </w:t>
      </w:r>
      <w:r w:rsidRPr="00AF60E2" w:rsidR="00303B07">
        <w:rPr>
          <w:rFonts w:ascii="Arial" w:hAnsi="Arial" w:cs="Arial"/>
          <w:sz w:val="24"/>
          <w:szCs w:val="24"/>
        </w:rPr>
        <w:t>with that of Azte</w:t>
      </w:r>
      <w:r w:rsidR="00A814F9">
        <w:rPr>
          <w:rFonts w:ascii="Arial" w:hAnsi="Arial" w:cs="Arial"/>
          <w:sz w:val="24"/>
          <w:szCs w:val="24"/>
        </w:rPr>
        <w:t xml:space="preserve">c </w:t>
      </w:r>
      <w:r w:rsidRPr="00AF60E2">
        <w:rPr>
          <w:rFonts w:ascii="Arial" w:hAnsi="Arial" w:cs="Arial"/>
          <w:sz w:val="24"/>
          <w:szCs w:val="24"/>
        </w:rPr>
        <w:t xml:space="preserve">is further prevalent in the PAD when the TRA deal with injury to the UK market. Contrary to their own indication at paragraphs 65-66 </w:t>
      </w:r>
      <w:r w:rsidR="00202D0C">
        <w:rPr>
          <w:rFonts w:ascii="Arial" w:hAnsi="Arial" w:cs="Arial"/>
          <w:sz w:val="24"/>
          <w:szCs w:val="24"/>
        </w:rPr>
        <w:t xml:space="preserve">of </w:t>
      </w:r>
      <w:r w:rsidRPr="00AF60E2">
        <w:rPr>
          <w:rFonts w:ascii="Arial" w:hAnsi="Arial" w:cs="Arial"/>
          <w:sz w:val="24"/>
          <w:szCs w:val="24"/>
        </w:rPr>
        <w:t xml:space="preserve">the PAD </w:t>
      </w:r>
      <w:r w:rsidR="00202D0C">
        <w:rPr>
          <w:rFonts w:ascii="Arial" w:hAnsi="Arial" w:cs="Arial"/>
          <w:sz w:val="24"/>
          <w:szCs w:val="24"/>
        </w:rPr>
        <w:t>para</w:t>
      </w:r>
      <w:r w:rsidR="00784792">
        <w:rPr>
          <w:rFonts w:ascii="Arial" w:hAnsi="Arial" w:cs="Arial"/>
          <w:sz w:val="24"/>
          <w:szCs w:val="24"/>
        </w:rPr>
        <w:t xml:space="preserve"> 164 </w:t>
      </w:r>
      <w:r w:rsidRPr="00AF60E2">
        <w:rPr>
          <w:rFonts w:ascii="Arial" w:hAnsi="Arial" w:cs="Arial"/>
          <w:sz w:val="24"/>
          <w:szCs w:val="24"/>
        </w:rPr>
        <w:t>provides:</w:t>
      </w:r>
    </w:p>
    <w:p w:rsidR="00502484" w:rsidRPr="00AF60E2" w:rsidP="00502484" w14:paraId="2A4AC8CB" w14:textId="77777777">
      <w:pPr>
        <w:pStyle w:val="ListParagraph"/>
        <w:spacing w:line="276" w:lineRule="auto"/>
        <w:rPr>
          <w:rFonts w:ascii="Arial" w:hAnsi="Arial" w:cs="Arial"/>
          <w:sz w:val="24"/>
          <w:szCs w:val="24"/>
        </w:rPr>
      </w:pPr>
    </w:p>
    <w:p w:rsidR="00502484" w:rsidRPr="00AF60E2" w:rsidP="00502484" w14:paraId="1205D41D" w14:textId="77777777">
      <w:pPr>
        <w:pStyle w:val="ListParagraph"/>
        <w:spacing w:line="276" w:lineRule="auto"/>
        <w:rPr>
          <w:rFonts w:ascii="Arial" w:hAnsi="Arial" w:cs="Arial"/>
          <w:i/>
          <w:iCs/>
          <w:sz w:val="24"/>
          <w:szCs w:val="24"/>
        </w:rPr>
      </w:pPr>
      <w:r w:rsidRPr="00AF60E2">
        <w:rPr>
          <w:rFonts w:ascii="Arial" w:hAnsi="Arial" w:cs="Arial"/>
          <w:i/>
          <w:iCs/>
          <w:sz w:val="24"/>
          <w:szCs w:val="24"/>
        </w:rPr>
        <w:t xml:space="preserve">“164. The UK </w:t>
      </w:r>
      <w:r w:rsidRPr="00AF60E2">
        <w:rPr>
          <w:rFonts w:ascii="Arial" w:hAnsi="Arial" w:cs="Arial"/>
          <w:i/>
          <w:iCs/>
          <w:sz w:val="24"/>
          <w:szCs w:val="24"/>
        </w:rPr>
        <w:t>industry that has participated fully in this investigation are the sampled UK domestic producers, Aztec, and Paterson. As can be seen from the non-confidential questionnaires that they have submitted to the public file, these two companies have experienced differing levels of injury. The TRA has assessed that these differing levels of injury are likely to be caused by the different market positions, and sales prices, of the two companies.”</w:t>
      </w:r>
    </w:p>
    <w:p w:rsidR="00502484" w:rsidRPr="00AF60E2" w:rsidP="00502484" w14:paraId="04A71124" w14:textId="77777777">
      <w:pPr>
        <w:pStyle w:val="ListParagraph"/>
        <w:spacing w:line="276" w:lineRule="auto"/>
        <w:rPr>
          <w:rFonts w:ascii="Arial" w:hAnsi="Arial" w:cs="Arial"/>
          <w:i/>
          <w:iCs/>
          <w:sz w:val="24"/>
          <w:szCs w:val="24"/>
        </w:rPr>
      </w:pPr>
    </w:p>
    <w:p w:rsidR="00502484" w:rsidRPr="00AF60E2" w:rsidP="00502484" w14:paraId="184932D3" w14:textId="77777777">
      <w:pPr>
        <w:pStyle w:val="ListParagraph"/>
        <w:spacing w:line="276" w:lineRule="auto"/>
        <w:rPr>
          <w:rFonts w:ascii="Arial" w:hAnsi="Arial" w:cs="Arial"/>
          <w:i/>
          <w:iCs/>
          <w:sz w:val="24"/>
          <w:szCs w:val="24"/>
          <w:u w:val="single"/>
        </w:rPr>
      </w:pPr>
      <w:r w:rsidRPr="00AF60E2">
        <w:rPr>
          <w:rFonts w:ascii="Arial" w:hAnsi="Arial" w:cs="Arial"/>
          <w:i/>
          <w:iCs/>
          <w:sz w:val="24"/>
          <w:szCs w:val="24"/>
        </w:rPr>
        <w:t>“192</w:t>
      </w:r>
      <w:r w:rsidRPr="00AF60E2">
        <w:rPr>
          <w:rFonts w:ascii="Arial" w:hAnsi="Arial" w:cs="Arial"/>
          <w:i/>
          <w:iCs/>
          <w:sz w:val="24"/>
          <w:szCs w:val="24"/>
          <w:u w:val="single"/>
        </w:rPr>
        <w:t xml:space="preserve">. </w:t>
      </w:r>
      <w:r w:rsidRPr="00AF60E2">
        <w:rPr>
          <w:rFonts w:ascii="Arial" w:hAnsi="Arial" w:cs="Arial"/>
          <w:b/>
          <w:bCs/>
          <w:i/>
          <w:iCs/>
          <w:sz w:val="24"/>
          <w:szCs w:val="24"/>
          <w:u w:val="single"/>
        </w:rPr>
        <w:t>Aztec and Paterson, who form part of UK industry and are representative of it, have claimed that they are subject to injury</w:t>
      </w:r>
      <w:r w:rsidRPr="00AF60E2">
        <w:rPr>
          <w:rFonts w:ascii="Arial" w:hAnsi="Arial" w:cs="Arial"/>
          <w:i/>
          <w:iCs/>
          <w:sz w:val="24"/>
          <w:szCs w:val="24"/>
          <w:u w:val="single"/>
        </w:rPr>
        <w:t xml:space="preserve">. </w:t>
      </w:r>
    </w:p>
    <w:p w:rsidR="00502484" w:rsidRPr="00AF60E2" w:rsidP="00502484" w14:paraId="4B2F8A97" w14:textId="77777777">
      <w:pPr>
        <w:pStyle w:val="ListParagraph"/>
        <w:spacing w:line="276" w:lineRule="auto"/>
        <w:rPr>
          <w:rFonts w:ascii="Arial" w:hAnsi="Arial" w:cs="Arial"/>
          <w:i/>
          <w:iCs/>
          <w:sz w:val="24"/>
          <w:szCs w:val="24"/>
          <w:u w:val="single"/>
        </w:rPr>
      </w:pPr>
    </w:p>
    <w:p w:rsidR="00502484" w:rsidRPr="00AF60E2" w:rsidP="00502484" w14:paraId="79E496B2" w14:textId="77777777">
      <w:pPr>
        <w:pStyle w:val="ListParagraph"/>
        <w:spacing w:line="276" w:lineRule="auto"/>
        <w:rPr>
          <w:rFonts w:ascii="Arial" w:hAnsi="Arial" w:cs="Arial"/>
          <w:i/>
          <w:iCs/>
          <w:sz w:val="24"/>
          <w:szCs w:val="24"/>
        </w:rPr>
      </w:pPr>
      <w:r w:rsidRPr="00AF60E2">
        <w:rPr>
          <w:rFonts w:ascii="Arial" w:hAnsi="Arial" w:cs="Arial"/>
          <w:i/>
          <w:iCs/>
          <w:sz w:val="24"/>
          <w:szCs w:val="24"/>
        </w:rPr>
        <w:t>193. The TRA has determined that UK industry</w:t>
      </w:r>
      <w:r w:rsidRPr="00AF60E2">
        <w:rPr>
          <w:rFonts w:ascii="Arial" w:hAnsi="Arial" w:cs="Arial"/>
          <w:b/>
          <w:bCs/>
          <w:i/>
          <w:iCs/>
          <w:sz w:val="24"/>
          <w:szCs w:val="24"/>
          <w:u w:val="single"/>
        </w:rPr>
        <w:t>, as a whole</w:t>
      </w:r>
      <w:r w:rsidRPr="00AF60E2">
        <w:rPr>
          <w:rFonts w:ascii="Arial" w:hAnsi="Arial" w:cs="Arial"/>
          <w:i/>
          <w:iCs/>
          <w:sz w:val="24"/>
          <w:szCs w:val="24"/>
        </w:rPr>
        <w:t xml:space="preserve">, has actually suffered from material injury in relation to sales, profitability, output, productivity, return on investments, capacity utilisation, the margin of dumping, employment, wages, and growth. This is because, whilst the injury data for the two cooperating domestic producers (Aztec and Paterson) is contrasting, both producers are being undercut and undersold, and </w:t>
      </w:r>
      <w:r w:rsidRPr="00AF60E2">
        <w:rPr>
          <w:rFonts w:ascii="Arial" w:hAnsi="Arial" w:cs="Arial"/>
          <w:b/>
          <w:bCs/>
          <w:i/>
          <w:iCs/>
          <w:sz w:val="24"/>
          <w:szCs w:val="24"/>
          <w:u w:val="single"/>
        </w:rPr>
        <w:t>the actual injury suffered by Aztec is representative of injury which is being suffered by UK industry as a whole</w:t>
      </w:r>
      <w:r w:rsidRPr="00AF60E2">
        <w:rPr>
          <w:rFonts w:ascii="Arial" w:hAnsi="Arial" w:cs="Arial"/>
          <w:i/>
          <w:iCs/>
          <w:sz w:val="24"/>
          <w:szCs w:val="24"/>
        </w:rPr>
        <w:t>, whilst Pa</w:t>
      </w:r>
      <w:r w:rsidRPr="00AF60E2">
        <w:rPr>
          <w:rFonts w:ascii="Arial" w:hAnsi="Arial" w:cs="Arial"/>
          <w:i/>
          <w:iCs/>
          <w:sz w:val="24"/>
          <w:szCs w:val="24"/>
        </w:rPr>
        <w:t>terson have been able to limit the extent of the actual injury that they have suffered due to a differing market position.”</w:t>
      </w:r>
    </w:p>
    <w:p w:rsidR="00502484" w:rsidRPr="00AF60E2" w:rsidP="00502484" w14:paraId="517634AE" w14:textId="77777777">
      <w:pPr>
        <w:pStyle w:val="ListParagraph"/>
        <w:spacing w:line="276" w:lineRule="auto"/>
        <w:rPr>
          <w:rFonts w:ascii="Arial" w:hAnsi="Arial" w:cs="Arial"/>
          <w:sz w:val="24"/>
          <w:szCs w:val="24"/>
        </w:rPr>
      </w:pPr>
    </w:p>
    <w:p w:rsidR="00502484" w:rsidRPr="00AF60E2" w:rsidP="00502484" w14:paraId="3ECFE787"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Far from assessing the whole of the UK industry the TRA has relied on two “producers”. Of these two producers only Aztec has suffered any loss or injury as the statements with regard to Paterson confirm:</w:t>
      </w:r>
    </w:p>
    <w:p w:rsidR="00502484" w:rsidRPr="00AF60E2" w:rsidP="00502484" w14:paraId="48F20A99" w14:textId="77777777">
      <w:pPr>
        <w:pStyle w:val="ListParagraph"/>
        <w:spacing w:line="276" w:lineRule="auto"/>
        <w:rPr>
          <w:rFonts w:ascii="Arial" w:hAnsi="Arial" w:cs="Arial"/>
          <w:sz w:val="24"/>
          <w:szCs w:val="24"/>
        </w:rPr>
      </w:pPr>
    </w:p>
    <w:p w:rsidR="00502484" w:rsidRPr="00AF60E2" w:rsidP="00502484" w14:paraId="088D6049" w14:textId="77777777">
      <w:pPr>
        <w:pStyle w:val="ListParagraph"/>
        <w:spacing w:line="276" w:lineRule="auto"/>
        <w:rPr>
          <w:rFonts w:ascii="Arial" w:hAnsi="Arial" w:cs="Arial"/>
          <w:b/>
          <w:bCs/>
          <w:i/>
          <w:iCs/>
          <w:sz w:val="24"/>
          <w:szCs w:val="24"/>
          <w:u w:val="single"/>
        </w:rPr>
      </w:pPr>
      <w:r w:rsidRPr="00AF60E2">
        <w:rPr>
          <w:rFonts w:ascii="Arial" w:hAnsi="Arial" w:cs="Arial"/>
          <w:i/>
          <w:iCs/>
          <w:sz w:val="24"/>
          <w:szCs w:val="24"/>
        </w:rPr>
        <w:t xml:space="preserve">“167. Paterson has submitted that its profitability has increased over the IP, with net operating profits after tax increasing by approximately 13% for engine oils, and 7% (with a high of plus 12%) for hydraulic fluids. </w:t>
      </w:r>
      <w:r w:rsidRPr="00AF60E2">
        <w:rPr>
          <w:rFonts w:ascii="Arial" w:hAnsi="Arial" w:cs="Arial"/>
          <w:b/>
          <w:bCs/>
          <w:i/>
          <w:iCs/>
          <w:sz w:val="24"/>
          <w:szCs w:val="24"/>
          <w:u w:val="single"/>
        </w:rPr>
        <w:t>Paterson has therefore not suffered an actual decline in profits over the IP.</w:t>
      </w:r>
    </w:p>
    <w:p w:rsidR="00502484" w:rsidRPr="00AF60E2" w:rsidP="00502484" w14:paraId="32B375AF" w14:textId="77777777">
      <w:pPr>
        <w:pStyle w:val="ListParagraph"/>
        <w:spacing w:line="276" w:lineRule="auto"/>
        <w:rPr>
          <w:rFonts w:ascii="Arial" w:hAnsi="Arial" w:cs="Arial"/>
          <w:b/>
          <w:bCs/>
          <w:i/>
          <w:iCs/>
          <w:sz w:val="24"/>
          <w:szCs w:val="24"/>
          <w:u w:val="single"/>
        </w:rPr>
      </w:pPr>
    </w:p>
    <w:p w:rsidR="00502484" w:rsidRPr="00AF60E2" w:rsidP="00502484" w14:paraId="29B69803" w14:textId="77777777">
      <w:pPr>
        <w:pStyle w:val="ListParagraph"/>
        <w:spacing w:line="276" w:lineRule="auto"/>
        <w:rPr>
          <w:rFonts w:ascii="Arial" w:hAnsi="Arial" w:cs="Arial"/>
          <w:i/>
          <w:iCs/>
          <w:sz w:val="24"/>
          <w:szCs w:val="24"/>
        </w:rPr>
      </w:pPr>
      <w:r w:rsidRPr="00AF60E2">
        <w:rPr>
          <w:rFonts w:ascii="Arial" w:hAnsi="Arial" w:cs="Arial"/>
          <w:i/>
          <w:iCs/>
          <w:sz w:val="24"/>
          <w:szCs w:val="24"/>
        </w:rPr>
        <w:t xml:space="preserve">“173. Paterson has estimated its market share, based on the estimates of the total UK market that were submitted to the TRA by the UKLA. </w:t>
      </w:r>
      <w:r w:rsidRPr="00AF60E2">
        <w:rPr>
          <w:rFonts w:ascii="Arial" w:hAnsi="Arial" w:cs="Arial"/>
          <w:b/>
          <w:bCs/>
          <w:i/>
          <w:iCs/>
          <w:sz w:val="24"/>
          <w:szCs w:val="24"/>
          <w:u w:val="single"/>
        </w:rPr>
        <w:t>The TRA assesses that these estimations by Paterson are likely lower than the actual market share that Paterson has</w:t>
      </w:r>
      <w:r w:rsidRPr="00AF60E2">
        <w:rPr>
          <w:rFonts w:ascii="Arial" w:hAnsi="Arial" w:cs="Arial"/>
          <w:i/>
          <w:iCs/>
          <w:sz w:val="24"/>
          <w:szCs w:val="24"/>
        </w:rPr>
        <w:t xml:space="preserve">. This is because the Paterson submitted market share has been calculated by comparing a smaller category of like goods (which are only engine oils and hydraulic fluids) against a market </w:t>
      </w:r>
      <w:r w:rsidRPr="00AF60E2">
        <w:rPr>
          <w:rFonts w:ascii="Arial" w:hAnsi="Arial" w:cs="Arial"/>
          <w:i/>
          <w:iCs/>
          <w:sz w:val="24"/>
          <w:szCs w:val="24"/>
        </w:rPr>
        <w:t>amount submitted by the UKLA for all lubricants and greases, which includes out of scope goods.”</w:t>
      </w:r>
    </w:p>
    <w:p w:rsidR="00502484" w:rsidRPr="00AF60E2" w:rsidP="00502484" w14:paraId="5CF271F8" w14:textId="77777777">
      <w:pPr>
        <w:pStyle w:val="ListParagraph"/>
        <w:spacing w:line="276" w:lineRule="auto"/>
        <w:rPr>
          <w:rFonts w:ascii="Arial" w:hAnsi="Arial" w:cs="Arial"/>
          <w:i/>
          <w:iCs/>
          <w:sz w:val="24"/>
          <w:szCs w:val="24"/>
        </w:rPr>
      </w:pPr>
    </w:p>
    <w:p w:rsidR="00502484" w:rsidRPr="00AF60E2" w:rsidP="00502484" w14:paraId="5C0B30DA" w14:textId="77777777">
      <w:pPr>
        <w:pStyle w:val="ListParagraph"/>
        <w:spacing w:line="276" w:lineRule="auto"/>
        <w:rPr>
          <w:rFonts w:ascii="Arial" w:hAnsi="Arial" w:cs="Arial"/>
          <w:b/>
          <w:bCs/>
          <w:i/>
          <w:iCs/>
          <w:sz w:val="24"/>
          <w:szCs w:val="24"/>
          <w:u w:val="single"/>
        </w:rPr>
      </w:pPr>
      <w:r w:rsidRPr="00AF60E2">
        <w:rPr>
          <w:rFonts w:ascii="Arial" w:hAnsi="Arial" w:cs="Arial"/>
          <w:i/>
          <w:iCs/>
          <w:sz w:val="24"/>
          <w:szCs w:val="24"/>
        </w:rPr>
        <w:t xml:space="preserve">“176. Paterson has submitted that the productivity of its employees has increased over the IP, by 38% in relation to engine oils, and 16% in relation to hydraulic fluids. This is against a backdrop of an increase in 8% of the number of employees. </w:t>
      </w:r>
      <w:r w:rsidRPr="00AF60E2">
        <w:rPr>
          <w:rFonts w:ascii="Arial" w:hAnsi="Arial" w:cs="Arial"/>
          <w:b/>
          <w:bCs/>
          <w:i/>
          <w:iCs/>
          <w:sz w:val="24"/>
          <w:szCs w:val="24"/>
          <w:u w:val="single"/>
        </w:rPr>
        <w:t>This makes it clear that Paterson has not suffered an actual drop in productivity.”</w:t>
      </w:r>
    </w:p>
    <w:p w:rsidR="00502484" w:rsidRPr="00AF60E2" w:rsidP="00502484" w14:paraId="345DFB67" w14:textId="77777777">
      <w:pPr>
        <w:pStyle w:val="ListParagraph"/>
        <w:spacing w:line="276" w:lineRule="auto"/>
        <w:rPr>
          <w:rFonts w:ascii="Arial" w:hAnsi="Arial" w:cs="Arial"/>
          <w:i/>
          <w:iCs/>
          <w:sz w:val="24"/>
          <w:szCs w:val="24"/>
        </w:rPr>
      </w:pPr>
    </w:p>
    <w:p w:rsidR="00502484" w:rsidRPr="00AF60E2" w:rsidP="00502484" w14:paraId="148280F4" w14:textId="77777777">
      <w:pPr>
        <w:pStyle w:val="ListParagraph"/>
        <w:spacing w:line="276" w:lineRule="auto"/>
        <w:rPr>
          <w:rFonts w:ascii="Arial" w:hAnsi="Arial" w:cs="Arial"/>
          <w:i/>
          <w:iCs/>
          <w:sz w:val="24"/>
          <w:szCs w:val="24"/>
        </w:rPr>
      </w:pPr>
      <w:r w:rsidRPr="00AF60E2">
        <w:rPr>
          <w:rFonts w:ascii="Arial" w:hAnsi="Arial" w:cs="Arial"/>
          <w:i/>
          <w:iCs/>
          <w:sz w:val="24"/>
          <w:szCs w:val="24"/>
        </w:rPr>
        <w:t>“189 Paterson has not suffered an actual negative effect on growth,”</w:t>
      </w:r>
    </w:p>
    <w:p w:rsidR="00502484" w:rsidRPr="00AF60E2" w:rsidP="00502484" w14:paraId="6D99BEA5" w14:textId="77777777">
      <w:pPr>
        <w:pStyle w:val="ListParagraph"/>
        <w:spacing w:line="276" w:lineRule="auto"/>
        <w:rPr>
          <w:rFonts w:ascii="Arial" w:hAnsi="Arial" w:cs="Arial"/>
          <w:sz w:val="24"/>
          <w:szCs w:val="24"/>
        </w:rPr>
      </w:pPr>
    </w:p>
    <w:p w:rsidR="00502484" w:rsidRPr="00AF60E2" w:rsidP="00502484" w14:paraId="3E33AE03"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It is submitted that the market analysis is flawed and partial and that TRA are basing a recommendation of Tariffs that can damage importers, downstream business and UK consumers on the complaints of a single producer who is not competing successfully in the current market or responding appropriately to prevailing market conditions. [See previously submitted response to Dumping Questionnaire with deadline for response of 30 September 2024</w:t>
      </w:r>
      <w:r>
        <w:rPr>
          <w:rFonts w:ascii="Arial" w:hAnsi="Arial" w:cs="Arial"/>
          <w:sz w:val="24"/>
          <w:szCs w:val="24"/>
        </w:rPr>
        <w:t>, published by TRA 8 November 2024</w:t>
      </w:r>
      <w:r w:rsidRPr="00AF60E2">
        <w:rPr>
          <w:rFonts w:ascii="Arial" w:hAnsi="Arial" w:cs="Arial"/>
          <w:sz w:val="24"/>
          <w:szCs w:val="24"/>
        </w:rPr>
        <w:t>]</w:t>
      </w:r>
    </w:p>
    <w:p w:rsidR="00502484" w:rsidRPr="00AF60E2" w:rsidP="00502484" w14:paraId="5FA77C7C" w14:textId="77777777">
      <w:pPr>
        <w:pStyle w:val="ListParagraph"/>
        <w:spacing w:line="276" w:lineRule="auto"/>
        <w:rPr>
          <w:rFonts w:ascii="Arial" w:hAnsi="Arial" w:cs="Arial"/>
          <w:sz w:val="24"/>
          <w:szCs w:val="24"/>
        </w:rPr>
      </w:pPr>
    </w:p>
    <w:p w:rsidR="00502484" w:rsidRPr="00AF60E2" w:rsidP="00502484" w14:paraId="375F8141" w14:textId="77777777">
      <w:pPr>
        <w:pStyle w:val="ListParagraph"/>
        <w:numPr>
          <w:ilvl w:val="0"/>
          <w:numId w:val="1"/>
        </w:numPr>
        <w:spacing w:line="276" w:lineRule="auto"/>
        <w:rPr>
          <w:rFonts w:ascii="Arial" w:hAnsi="Arial" w:cs="Arial"/>
          <w:sz w:val="24"/>
          <w:szCs w:val="24"/>
        </w:rPr>
      </w:pPr>
      <w:r w:rsidRPr="00AF60E2">
        <w:rPr>
          <w:rFonts w:ascii="Arial" w:hAnsi="Arial" w:cs="Arial"/>
          <w:sz w:val="24"/>
          <w:szCs w:val="24"/>
        </w:rPr>
        <w:t xml:space="preserve">The distorting and potentially bias effect of the TRA’s market analysis is encapsulated in paragraph 193 PAD where the position of the UK </w:t>
      </w:r>
      <w:r w:rsidRPr="00AF60E2">
        <w:rPr>
          <w:rFonts w:ascii="Arial" w:hAnsi="Arial" w:cs="Arial"/>
          <w:sz w:val="24"/>
          <w:szCs w:val="24"/>
        </w:rPr>
        <w:t>market is conflated solely with that of Aztec</w:t>
      </w:r>
      <w:r w:rsidR="00F61CD3">
        <w:rPr>
          <w:rFonts w:ascii="Arial" w:hAnsi="Arial" w:cs="Arial"/>
          <w:sz w:val="24"/>
          <w:szCs w:val="24"/>
        </w:rPr>
        <w:t xml:space="preserve"> Oils Ltd</w:t>
      </w:r>
      <w:r w:rsidRPr="00AF60E2">
        <w:rPr>
          <w:rFonts w:ascii="Arial" w:hAnsi="Arial" w:cs="Arial"/>
          <w:sz w:val="24"/>
          <w:szCs w:val="24"/>
        </w:rPr>
        <w:t>:</w:t>
      </w:r>
    </w:p>
    <w:p w:rsidR="00502484" w:rsidRPr="00AF60E2" w:rsidP="00502484" w14:paraId="65EE7D24" w14:textId="77777777">
      <w:pPr>
        <w:pStyle w:val="ListParagraph"/>
        <w:spacing w:line="276" w:lineRule="auto"/>
        <w:rPr>
          <w:rFonts w:ascii="Arial" w:hAnsi="Arial" w:cs="Arial"/>
          <w:sz w:val="24"/>
          <w:szCs w:val="24"/>
        </w:rPr>
      </w:pPr>
    </w:p>
    <w:p w:rsidR="00502484" w:rsidRPr="00AF60E2" w:rsidP="00502484" w14:paraId="0943C8D0" w14:textId="77777777">
      <w:pPr>
        <w:pStyle w:val="ListParagraph"/>
        <w:spacing w:line="276" w:lineRule="auto"/>
        <w:rPr>
          <w:rFonts w:ascii="Arial" w:hAnsi="Arial" w:cs="Arial"/>
          <w:i/>
          <w:iCs/>
          <w:sz w:val="24"/>
          <w:szCs w:val="24"/>
        </w:rPr>
      </w:pPr>
      <w:r w:rsidRPr="00AF60E2">
        <w:rPr>
          <w:rFonts w:ascii="Arial" w:hAnsi="Arial" w:cs="Arial"/>
          <w:i/>
          <w:iCs/>
          <w:sz w:val="24"/>
          <w:szCs w:val="24"/>
        </w:rPr>
        <w:t>“193. The TRA has determined that UK industry</w:t>
      </w:r>
      <w:r w:rsidRPr="00AF60E2">
        <w:rPr>
          <w:rFonts w:ascii="Arial" w:hAnsi="Arial" w:cs="Arial"/>
          <w:b/>
          <w:bCs/>
          <w:i/>
          <w:iCs/>
          <w:sz w:val="24"/>
          <w:szCs w:val="24"/>
          <w:u w:val="single"/>
        </w:rPr>
        <w:t>, as a whole</w:t>
      </w:r>
      <w:r w:rsidRPr="00AF60E2">
        <w:rPr>
          <w:rFonts w:ascii="Arial" w:hAnsi="Arial" w:cs="Arial"/>
          <w:i/>
          <w:iCs/>
          <w:sz w:val="24"/>
          <w:szCs w:val="24"/>
        </w:rPr>
        <w:t xml:space="preserve">, has actually suffered from material injury in relation to sales, profitability, output, productivity, return on investments, capacity utilisation, the margin of dumping, employment, wages, and growth. This is because, whilst the injury data for the two cooperating domestic producers (Aztec and Paterson) is contrasting, both producers are being undercut and undersold, </w:t>
      </w:r>
      <w:r w:rsidRPr="00AF60E2">
        <w:rPr>
          <w:rFonts w:ascii="Arial" w:hAnsi="Arial" w:cs="Arial"/>
          <w:b/>
          <w:bCs/>
          <w:i/>
          <w:iCs/>
          <w:sz w:val="24"/>
          <w:szCs w:val="24"/>
          <w:u w:val="single"/>
        </w:rPr>
        <w:t>and the actual injury suffered by Aztec is representative of injury which is being suffered by UK industry as a whole</w:t>
      </w:r>
      <w:r w:rsidRPr="00AF60E2">
        <w:rPr>
          <w:rFonts w:ascii="Arial" w:hAnsi="Arial" w:cs="Arial"/>
          <w:i/>
          <w:iCs/>
          <w:sz w:val="24"/>
          <w:szCs w:val="24"/>
        </w:rPr>
        <w:t>, whilst Pa</w:t>
      </w:r>
      <w:r w:rsidRPr="00AF60E2">
        <w:rPr>
          <w:rFonts w:ascii="Arial" w:hAnsi="Arial" w:cs="Arial"/>
          <w:i/>
          <w:iCs/>
          <w:sz w:val="24"/>
          <w:szCs w:val="24"/>
        </w:rPr>
        <w:t xml:space="preserve">terson have been able to limit the extent of the actual injury that they have suffered due to a differing market position. Figures 12 and 13 demonstrate, that if the data is aggregated, both Paterson and Aztec have experienced injury in relation to sales volumes and values. </w:t>
      </w:r>
    </w:p>
    <w:p w:rsidR="00502484" w:rsidRPr="00AF60E2" w:rsidP="00502484" w14:paraId="087B9B46" w14:textId="77777777">
      <w:pPr>
        <w:pStyle w:val="ListParagraph"/>
        <w:spacing w:line="276" w:lineRule="auto"/>
        <w:rPr>
          <w:rFonts w:ascii="Arial" w:hAnsi="Arial" w:cs="Arial"/>
          <w:i/>
          <w:iCs/>
          <w:sz w:val="24"/>
          <w:szCs w:val="24"/>
        </w:rPr>
      </w:pPr>
    </w:p>
    <w:p w:rsidR="00502484" w:rsidRPr="00AF60E2" w:rsidP="00502484" w14:paraId="09007964" w14:textId="77777777">
      <w:pPr>
        <w:pStyle w:val="ListParagraph"/>
        <w:spacing w:line="276" w:lineRule="auto"/>
        <w:rPr>
          <w:rFonts w:ascii="Arial" w:hAnsi="Arial" w:cs="Arial"/>
          <w:i/>
          <w:iCs/>
          <w:sz w:val="24"/>
          <w:szCs w:val="24"/>
        </w:rPr>
      </w:pPr>
      <w:r w:rsidRPr="00AF60E2">
        <w:rPr>
          <w:rFonts w:ascii="Arial" w:hAnsi="Arial" w:cs="Arial"/>
          <w:i/>
          <w:iCs/>
          <w:sz w:val="24"/>
          <w:szCs w:val="24"/>
        </w:rPr>
        <w:t>194. The TRA has therefore determined that UK industry is suffering from actual material injury.”</w:t>
      </w:r>
    </w:p>
    <w:p w:rsidR="006673E8" w:rsidRPr="00AF60E2" w:rsidP="006673E8" w14:paraId="723DA434" w14:textId="77777777">
      <w:pPr>
        <w:rPr>
          <w:rFonts w:ascii="Arial" w:hAnsi="Arial" w:cs="Arial"/>
          <w:sz w:val="24"/>
          <w:szCs w:val="24"/>
        </w:rPr>
      </w:pPr>
    </w:p>
    <w:p w:rsidR="00BD0E29" w:rsidP="006673E8" w14:paraId="41D1458B" w14:textId="77777777">
      <w:pPr>
        <w:rPr>
          <w:rFonts w:ascii="Arial" w:hAnsi="Arial" w:cs="Arial"/>
          <w:b/>
          <w:bCs/>
          <w:sz w:val="24"/>
          <w:szCs w:val="24"/>
        </w:rPr>
      </w:pPr>
      <w:r w:rsidRPr="00AF60E2">
        <w:rPr>
          <w:rFonts w:ascii="Arial" w:hAnsi="Arial" w:cs="Arial"/>
          <w:b/>
          <w:bCs/>
          <w:sz w:val="24"/>
          <w:szCs w:val="24"/>
        </w:rPr>
        <w:t>The economic interests test</w:t>
      </w:r>
    </w:p>
    <w:p w:rsidR="00CF6627" w:rsidP="00502484" w14:paraId="1465B9A5" w14:textId="77777777">
      <w:pPr>
        <w:pStyle w:val="ListParagraph"/>
        <w:numPr>
          <w:ilvl w:val="0"/>
          <w:numId w:val="1"/>
        </w:numPr>
        <w:rPr>
          <w:rFonts w:ascii="Arial" w:hAnsi="Arial" w:cs="Arial"/>
          <w:sz w:val="24"/>
          <w:szCs w:val="24"/>
        </w:rPr>
      </w:pPr>
      <w:r>
        <w:rPr>
          <w:rFonts w:ascii="Arial" w:hAnsi="Arial" w:cs="Arial"/>
          <w:sz w:val="24"/>
          <w:szCs w:val="24"/>
        </w:rPr>
        <w:t xml:space="preserve">The determination of the economic interests test is again </w:t>
      </w:r>
      <w:r w:rsidRPr="00AF60E2" w:rsidR="00BD0E29">
        <w:rPr>
          <w:rFonts w:ascii="Arial" w:hAnsi="Arial" w:cs="Arial"/>
          <w:sz w:val="24"/>
          <w:szCs w:val="24"/>
        </w:rPr>
        <w:t>di</w:t>
      </w:r>
      <w:r>
        <w:rPr>
          <w:rFonts w:ascii="Arial" w:hAnsi="Arial" w:cs="Arial"/>
          <w:sz w:val="24"/>
          <w:szCs w:val="24"/>
        </w:rPr>
        <w:t>storted by a protectionist strategy in favour of the applicant Aztec Oils Ltd</w:t>
      </w:r>
      <w:r w:rsidR="00DB25B7">
        <w:rPr>
          <w:rFonts w:ascii="Arial" w:hAnsi="Arial" w:cs="Arial"/>
          <w:sz w:val="24"/>
          <w:szCs w:val="24"/>
        </w:rPr>
        <w:t xml:space="preserve"> rather than UK industry as a whole:</w:t>
      </w:r>
    </w:p>
    <w:p w:rsidR="00CF6627" w:rsidP="00CF6627" w14:paraId="1D8FA1BF" w14:textId="77777777">
      <w:pPr>
        <w:pStyle w:val="ListParagraph"/>
        <w:rPr>
          <w:rFonts w:ascii="Arial" w:hAnsi="Arial" w:cs="Arial"/>
          <w:sz w:val="24"/>
          <w:szCs w:val="24"/>
        </w:rPr>
      </w:pPr>
    </w:p>
    <w:p w:rsidR="00CF6627" w:rsidRPr="00DB25B7" w:rsidP="00CF6627" w14:paraId="2A3CD5B5" w14:textId="77777777">
      <w:pPr>
        <w:pStyle w:val="ListParagraph"/>
        <w:rPr>
          <w:rFonts w:ascii="Arial" w:hAnsi="Arial" w:cs="Arial"/>
          <w:b/>
          <w:bCs/>
          <w:i/>
          <w:iCs/>
          <w:sz w:val="24"/>
          <w:szCs w:val="24"/>
          <w:u w:val="single"/>
        </w:rPr>
      </w:pPr>
      <w:r w:rsidRPr="00DB25B7">
        <w:rPr>
          <w:rFonts w:ascii="Arial" w:hAnsi="Arial" w:cs="Arial"/>
          <w:i/>
          <w:iCs/>
          <w:sz w:val="24"/>
          <w:szCs w:val="24"/>
        </w:rPr>
        <w:t xml:space="preserve">“K2. Injury caused by dumping and benefits to UK industry in removing injury 225. Section I sets out the injury assessment. </w:t>
      </w:r>
      <w:r w:rsidRPr="00DB25B7">
        <w:rPr>
          <w:rFonts w:ascii="Arial" w:hAnsi="Arial" w:cs="Arial"/>
          <w:b/>
          <w:bCs/>
          <w:i/>
          <w:iCs/>
          <w:sz w:val="24"/>
          <w:szCs w:val="24"/>
          <w:u w:val="single"/>
        </w:rPr>
        <w:t>This concluded that UK industry has suffered from actual material injury</w:t>
      </w:r>
      <w:r w:rsidRPr="00DB25B7">
        <w:rPr>
          <w:rFonts w:ascii="Arial" w:hAnsi="Arial" w:cs="Arial"/>
          <w:i/>
          <w:iCs/>
          <w:sz w:val="24"/>
          <w:szCs w:val="24"/>
        </w:rPr>
        <w:t xml:space="preserve">. </w:t>
      </w:r>
      <w:r w:rsidRPr="00DB25B7">
        <w:rPr>
          <w:rFonts w:ascii="Arial" w:hAnsi="Arial" w:cs="Arial"/>
          <w:b/>
          <w:bCs/>
          <w:i/>
          <w:iCs/>
          <w:sz w:val="24"/>
          <w:szCs w:val="24"/>
          <w:u w:val="single"/>
        </w:rPr>
        <w:t>One</w:t>
      </w:r>
      <w:r w:rsidRPr="00DB25B7">
        <w:rPr>
          <w:rFonts w:ascii="Arial" w:hAnsi="Arial" w:cs="Arial"/>
          <w:i/>
          <w:iCs/>
          <w:sz w:val="24"/>
          <w:szCs w:val="24"/>
        </w:rPr>
        <w:t xml:space="preserve"> of the two sampled domestic UK producers is suffering from a decline in most of the injury factors considered (including sales, profits, and employment). </w:t>
      </w:r>
      <w:r w:rsidRPr="00DB25B7">
        <w:rPr>
          <w:rFonts w:ascii="Arial" w:hAnsi="Arial" w:cs="Arial"/>
          <w:b/>
          <w:bCs/>
          <w:i/>
          <w:iCs/>
          <w:sz w:val="24"/>
          <w:szCs w:val="24"/>
          <w:u w:val="single"/>
        </w:rPr>
        <w:t>This material injury and potential injury is likely to put the market participation of some or all of the UK producers at risk so removing this injury is likely to result in significant benefits to UK industry.</w:t>
      </w:r>
    </w:p>
    <w:p w:rsidR="00CF6627" w:rsidRPr="0078424C" w:rsidP="00CF6627" w14:paraId="7ADF58DE" w14:textId="77777777">
      <w:pPr>
        <w:pStyle w:val="ListParagraph"/>
        <w:rPr>
          <w:rFonts w:ascii="Arial" w:hAnsi="Arial" w:cs="Arial"/>
          <w:sz w:val="24"/>
          <w:szCs w:val="24"/>
        </w:rPr>
      </w:pPr>
    </w:p>
    <w:p w:rsidR="00CF6627" w:rsidP="00CF6627" w14:paraId="65612DDD" w14:textId="77777777">
      <w:pPr>
        <w:pStyle w:val="ListParagraph"/>
        <w:rPr>
          <w:rFonts w:ascii="Arial" w:hAnsi="Arial" w:cs="Arial"/>
          <w:sz w:val="24"/>
          <w:szCs w:val="24"/>
        </w:rPr>
      </w:pPr>
    </w:p>
    <w:p w:rsidR="00BD0E29" w:rsidP="00502484" w14:paraId="5C2962CE" w14:textId="77777777">
      <w:pPr>
        <w:pStyle w:val="ListParagraph"/>
        <w:numPr>
          <w:ilvl w:val="0"/>
          <w:numId w:val="1"/>
        </w:numPr>
        <w:rPr>
          <w:rFonts w:ascii="Arial" w:hAnsi="Arial" w:cs="Arial"/>
          <w:sz w:val="24"/>
          <w:szCs w:val="24"/>
        </w:rPr>
      </w:pPr>
      <w:r>
        <w:rPr>
          <w:rFonts w:ascii="Arial" w:hAnsi="Arial" w:cs="Arial"/>
          <w:sz w:val="24"/>
          <w:szCs w:val="24"/>
        </w:rPr>
        <w:t xml:space="preserve"> </w:t>
      </w:r>
      <w:r w:rsidR="00DB25B7">
        <w:rPr>
          <w:rFonts w:ascii="Arial" w:hAnsi="Arial" w:cs="Arial"/>
          <w:sz w:val="24"/>
          <w:szCs w:val="24"/>
        </w:rPr>
        <w:t>I</w:t>
      </w:r>
      <w:r>
        <w:rPr>
          <w:rFonts w:ascii="Arial" w:hAnsi="Arial" w:cs="Arial"/>
          <w:sz w:val="24"/>
          <w:szCs w:val="24"/>
        </w:rPr>
        <w:t>t is submitted that the recommendation to the Secretary of State in accordance with paragraph 13(3)(a) of Schedule 4 to the Act is unjustified and in conflict with other findings of the TRA</w:t>
      </w:r>
      <w:r w:rsidR="00CE6FA4">
        <w:rPr>
          <w:rFonts w:ascii="Arial" w:hAnsi="Arial" w:cs="Arial"/>
          <w:sz w:val="24"/>
          <w:szCs w:val="24"/>
        </w:rPr>
        <w:t>:</w:t>
      </w:r>
    </w:p>
    <w:p w:rsidR="00DB25B7" w:rsidP="00DB25B7" w14:paraId="3AC06BC7" w14:textId="77777777">
      <w:pPr>
        <w:pStyle w:val="ListParagraph"/>
        <w:rPr>
          <w:rFonts w:ascii="Arial" w:hAnsi="Arial" w:cs="Arial"/>
          <w:sz w:val="24"/>
          <w:szCs w:val="24"/>
        </w:rPr>
      </w:pPr>
    </w:p>
    <w:p w:rsidR="003777CE" w:rsidRPr="003777CE" w:rsidP="00DB25B7" w14:paraId="02F37D33" w14:textId="77777777">
      <w:pPr>
        <w:pStyle w:val="ListParagraph"/>
        <w:rPr>
          <w:rFonts w:ascii="Arial" w:hAnsi="Arial" w:cs="Arial"/>
          <w:b/>
          <w:bCs/>
          <w:i/>
          <w:iCs/>
          <w:sz w:val="24"/>
          <w:szCs w:val="24"/>
        </w:rPr>
      </w:pPr>
      <w:r w:rsidRPr="003777CE">
        <w:rPr>
          <w:rFonts w:ascii="Arial" w:hAnsi="Arial" w:cs="Arial"/>
          <w:i/>
          <w:iCs/>
          <w:sz w:val="24"/>
          <w:szCs w:val="24"/>
        </w:rPr>
        <w:t>“</w:t>
      </w:r>
      <w:r w:rsidRPr="003777CE" w:rsidR="00687332">
        <w:rPr>
          <w:rFonts w:ascii="Arial" w:hAnsi="Arial" w:cs="Arial"/>
          <w:b/>
          <w:bCs/>
          <w:i/>
          <w:iCs/>
          <w:sz w:val="24"/>
          <w:szCs w:val="24"/>
        </w:rPr>
        <w:t xml:space="preserve">K3.2. UK Producers </w:t>
      </w:r>
    </w:p>
    <w:p w:rsidR="003777CE" w:rsidP="00DB25B7" w14:paraId="5216C114" w14:textId="77777777">
      <w:pPr>
        <w:pStyle w:val="ListParagraph"/>
        <w:rPr>
          <w:rFonts w:ascii="Arial" w:hAnsi="Arial" w:cs="Arial"/>
          <w:i/>
          <w:iCs/>
          <w:sz w:val="24"/>
          <w:szCs w:val="24"/>
        </w:rPr>
      </w:pPr>
      <w:r w:rsidRPr="003777CE">
        <w:rPr>
          <w:rFonts w:ascii="Arial" w:hAnsi="Arial" w:cs="Arial"/>
          <w:i/>
          <w:iCs/>
          <w:sz w:val="24"/>
          <w:szCs w:val="24"/>
        </w:rPr>
        <w:t xml:space="preserve">232. The TRA has identified 21 known UK producers through research and evidence submitted and examined six UK producers which employed around 750 staff with a total GVA of around £65m. </w:t>
      </w:r>
      <w:r w:rsidRPr="003777CE">
        <w:rPr>
          <w:rFonts w:ascii="Arial" w:hAnsi="Arial" w:cs="Arial"/>
          <w:b/>
          <w:bCs/>
          <w:i/>
          <w:iCs/>
          <w:sz w:val="24"/>
          <w:szCs w:val="24"/>
          <w:u w:val="single"/>
        </w:rPr>
        <w:t>The examined businesses included the five largest businesses which submitted pre-sampling questionnaires and the largest known producer that did not engage with the investigation</w:t>
      </w:r>
      <w:r w:rsidRPr="003777CE">
        <w:rPr>
          <w:rFonts w:ascii="Arial" w:hAnsi="Arial" w:cs="Arial"/>
          <w:i/>
          <w:iCs/>
          <w:sz w:val="24"/>
          <w:szCs w:val="24"/>
        </w:rPr>
        <w:t xml:space="preserve">. On average, during the most recent years over 50% of their total turnover was accounted for by sales of CEOHF which indicated that these goods are very important to them. </w:t>
      </w:r>
    </w:p>
    <w:p w:rsidR="003777CE" w:rsidP="00DB25B7" w14:paraId="4DF9F4E8" w14:textId="77777777">
      <w:pPr>
        <w:pStyle w:val="ListParagraph"/>
        <w:rPr>
          <w:rFonts w:ascii="Arial" w:hAnsi="Arial" w:cs="Arial"/>
          <w:i/>
          <w:iCs/>
          <w:sz w:val="24"/>
          <w:szCs w:val="24"/>
        </w:rPr>
      </w:pPr>
    </w:p>
    <w:p w:rsidR="00AB6D7F" w:rsidP="00DB25B7" w14:paraId="0935548E" w14:textId="77777777">
      <w:pPr>
        <w:pStyle w:val="ListParagraph"/>
        <w:rPr>
          <w:rFonts w:ascii="Arial" w:hAnsi="Arial" w:cs="Arial"/>
          <w:i/>
          <w:iCs/>
          <w:sz w:val="24"/>
          <w:szCs w:val="24"/>
        </w:rPr>
      </w:pPr>
      <w:r w:rsidRPr="003777CE">
        <w:rPr>
          <w:rFonts w:ascii="Arial" w:hAnsi="Arial" w:cs="Arial"/>
          <w:i/>
          <w:iCs/>
          <w:sz w:val="24"/>
          <w:szCs w:val="24"/>
        </w:rPr>
        <w:t xml:space="preserve">233. </w:t>
      </w:r>
      <w:r w:rsidRPr="003777CE">
        <w:rPr>
          <w:rFonts w:ascii="Arial" w:hAnsi="Arial" w:cs="Arial"/>
          <w:b/>
          <w:bCs/>
          <w:i/>
          <w:iCs/>
          <w:sz w:val="24"/>
          <w:szCs w:val="24"/>
          <w:u w:val="single"/>
        </w:rPr>
        <w:t>Most of the selected businesses had strong growth and rising employment which indicated that they are unlikely to be as vulnerable to economic shocks</w:t>
      </w:r>
      <w:r w:rsidRPr="003777CE">
        <w:rPr>
          <w:rFonts w:ascii="Arial" w:hAnsi="Arial" w:cs="Arial"/>
          <w:i/>
          <w:iCs/>
          <w:sz w:val="24"/>
          <w:szCs w:val="24"/>
        </w:rPr>
        <w:t xml:space="preserve">. Nevertheless, Paterson and Aztec showed a medium vulnerability with decreasing employment in 2023 and a slight decrease in sales for Aztec. This assessment considers financial data for the entire company whereas the injury assessment in Section H1 considers only data relating to the like goods. </w:t>
      </w:r>
    </w:p>
    <w:p w:rsidR="00AB6D7F" w:rsidP="00DB25B7" w14:paraId="5DF9911E" w14:textId="77777777">
      <w:pPr>
        <w:pStyle w:val="ListParagraph"/>
        <w:rPr>
          <w:rFonts w:ascii="Arial" w:hAnsi="Arial" w:cs="Arial"/>
          <w:i/>
          <w:iCs/>
          <w:sz w:val="24"/>
          <w:szCs w:val="24"/>
        </w:rPr>
      </w:pPr>
    </w:p>
    <w:p w:rsidR="00DB25B7" w:rsidP="00DB25B7" w14:paraId="4A411B51" w14:textId="77777777">
      <w:pPr>
        <w:pStyle w:val="ListParagraph"/>
        <w:rPr>
          <w:rFonts w:ascii="Arial" w:hAnsi="Arial" w:cs="Arial"/>
          <w:i/>
          <w:iCs/>
          <w:sz w:val="24"/>
          <w:szCs w:val="24"/>
        </w:rPr>
      </w:pPr>
      <w:r w:rsidRPr="003777CE">
        <w:rPr>
          <w:rFonts w:ascii="Arial" w:hAnsi="Arial" w:cs="Arial"/>
          <w:i/>
          <w:iCs/>
          <w:sz w:val="24"/>
          <w:szCs w:val="24"/>
        </w:rPr>
        <w:t>234. Based on the product ranges of the selected businesses and their questionnaire responses, selling the CEOHF appears to be their main business activity which suggests that CEOHF is very important to them.</w:t>
      </w:r>
    </w:p>
    <w:p w:rsidR="00372815" w:rsidRPr="003777CE" w:rsidP="00DB25B7" w14:paraId="3EC1D016" w14:textId="77777777">
      <w:pPr>
        <w:pStyle w:val="ListParagraph"/>
        <w:rPr>
          <w:rFonts w:ascii="Arial" w:hAnsi="Arial" w:cs="Arial"/>
          <w:i/>
          <w:iCs/>
          <w:sz w:val="24"/>
          <w:szCs w:val="24"/>
        </w:rPr>
      </w:pPr>
    </w:p>
    <w:p w:rsidR="00BD0E29" w:rsidP="00502484" w14:paraId="2C58B7C8" w14:textId="77777777">
      <w:pPr>
        <w:pStyle w:val="ListParagraph"/>
        <w:numPr>
          <w:ilvl w:val="0"/>
          <w:numId w:val="1"/>
        </w:numPr>
        <w:spacing w:line="276" w:lineRule="auto"/>
        <w:rPr>
          <w:rFonts w:ascii="Arial" w:hAnsi="Arial" w:cs="Arial"/>
          <w:sz w:val="24"/>
          <w:szCs w:val="24"/>
        </w:rPr>
      </w:pPr>
      <w:r>
        <w:rPr>
          <w:rFonts w:ascii="Arial" w:hAnsi="Arial" w:cs="Arial"/>
          <w:sz w:val="24"/>
          <w:szCs w:val="24"/>
        </w:rPr>
        <w:t>The TRA found with regard to Importers as follows:</w:t>
      </w:r>
    </w:p>
    <w:p w:rsidR="00372815" w:rsidP="00372815" w14:paraId="628F3AB0" w14:textId="77777777">
      <w:pPr>
        <w:pStyle w:val="ListParagraph"/>
        <w:spacing w:line="276" w:lineRule="auto"/>
        <w:rPr>
          <w:rFonts w:ascii="Arial" w:hAnsi="Arial" w:cs="Arial"/>
          <w:sz w:val="24"/>
          <w:szCs w:val="24"/>
        </w:rPr>
      </w:pPr>
    </w:p>
    <w:p w:rsidR="006B62D3" w:rsidRPr="00597C4C" w:rsidP="00597C4C" w14:paraId="2BCB5345" w14:textId="77777777">
      <w:pPr>
        <w:spacing w:line="276" w:lineRule="auto"/>
        <w:ind w:left="720"/>
        <w:rPr>
          <w:rFonts w:ascii="Arial" w:hAnsi="Arial" w:cs="Arial"/>
          <w:i/>
          <w:iCs/>
          <w:sz w:val="24"/>
          <w:szCs w:val="24"/>
        </w:rPr>
      </w:pPr>
      <w:r>
        <w:rPr>
          <w:rFonts w:ascii="Arial" w:hAnsi="Arial" w:cs="Arial"/>
          <w:i/>
          <w:iCs/>
          <w:sz w:val="24"/>
          <w:szCs w:val="24"/>
        </w:rPr>
        <w:t>“</w:t>
      </w:r>
      <w:r w:rsidRPr="00597C4C">
        <w:rPr>
          <w:rFonts w:ascii="Arial" w:hAnsi="Arial" w:cs="Arial"/>
          <w:i/>
          <w:iCs/>
          <w:sz w:val="24"/>
          <w:szCs w:val="24"/>
        </w:rPr>
        <w:t xml:space="preserve">236. </w:t>
      </w:r>
      <w:r w:rsidRPr="00597C4C" w:rsidR="005D61F4">
        <w:rPr>
          <w:rFonts w:ascii="Arial" w:hAnsi="Arial" w:cs="Arial"/>
          <w:i/>
          <w:iCs/>
          <w:sz w:val="24"/>
          <w:szCs w:val="24"/>
        </w:rPr>
        <w:t xml:space="preserve">The TRA selected 10 importers who imported goods under both codes every month in 2023 but classified two of these as downstream businesses based on their primary business activity. This left eight selected importers including </w:t>
      </w:r>
      <w:r w:rsidRPr="00597C4C" w:rsidR="005D61F4">
        <w:rPr>
          <w:rFonts w:ascii="Arial" w:hAnsi="Arial" w:cs="Arial"/>
          <w:i/>
          <w:iCs/>
          <w:sz w:val="24"/>
          <w:szCs w:val="24"/>
        </w:rPr>
        <w:t>Lubriage</w:t>
      </w:r>
      <w:r w:rsidRPr="00597C4C" w:rsidR="005D61F4">
        <w:rPr>
          <w:rFonts w:ascii="Arial" w:hAnsi="Arial" w:cs="Arial"/>
          <w:i/>
          <w:iCs/>
          <w:sz w:val="24"/>
          <w:szCs w:val="24"/>
        </w:rPr>
        <w:t xml:space="preserve">. </w:t>
      </w:r>
    </w:p>
    <w:p w:rsidR="00597C4C" w:rsidRPr="00597C4C" w:rsidP="00597C4C" w14:paraId="32465609" w14:textId="77777777">
      <w:pPr>
        <w:spacing w:line="276" w:lineRule="auto"/>
        <w:ind w:left="720"/>
        <w:rPr>
          <w:rFonts w:ascii="Arial" w:hAnsi="Arial" w:cs="Arial"/>
          <w:i/>
          <w:iCs/>
          <w:sz w:val="24"/>
          <w:szCs w:val="24"/>
        </w:rPr>
      </w:pPr>
      <w:r w:rsidRPr="00597C4C">
        <w:rPr>
          <w:rFonts w:ascii="Arial" w:hAnsi="Arial" w:cs="Arial"/>
          <w:i/>
          <w:iCs/>
          <w:sz w:val="24"/>
          <w:szCs w:val="24"/>
        </w:rPr>
        <w:t xml:space="preserve">237. The selected importers collectively employed around 3,334 staff, had a combined turnover of around £20,858m and a combined GVA of around £1,582m. The evidence suggests that the like goods are very important to </w:t>
      </w:r>
      <w:r w:rsidRPr="00597C4C">
        <w:rPr>
          <w:rFonts w:ascii="Arial" w:hAnsi="Arial" w:cs="Arial"/>
          <w:i/>
          <w:iCs/>
          <w:sz w:val="24"/>
          <w:szCs w:val="24"/>
        </w:rPr>
        <w:t>Lubriage</w:t>
      </w:r>
      <w:r w:rsidRPr="00597C4C">
        <w:rPr>
          <w:rFonts w:ascii="Arial" w:hAnsi="Arial" w:cs="Arial"/>
          <w:i/>
          <w:iCs/>
          <w:sz w:val="24"/>
          <w:szCs w:val="24"/>
        </w:rPr>
        <w:t xml:space="preserve"> and somewhat important to the other businesses. </w:t>
      </w:r>
    </w:p>
    <w:p w:rsidR="00BD0E29" w:rsidRPr="00597C4C" w:rsidP="00597C4C" w14:paraId="4F5F5430" w14:textId="77777777">
      <w:pPr>
        <w:spacing w:line="276" w:lineRule="auto"/>
        <w:ind w:left="720"/>
        <w:rPr>
          <w:rFonts w:ascii="Arial" w:hAnsi="Arial" w:cs="Arial"/>
          <w:i/>
          <w:iCs/>
          <w:sz w:val="24"/>
          <w:szCs w:val="24"/>
        </w:rPr>
      </w:pPr>
      <w:r w:rsidRPr="00597C4C">
        <w:rPr>
          <w:rFonts w:ascii="Arial" w:hAnsi="Arial" w:cs="Arial"/>
          <w:i/>
          <w:iCs/>
          <w:sz w:val="24"/>
          <w:szCs w:val="24"/>
        </w:rPr>
        <w:t>238. More than half of the selected businesses show moderate vulnerability to economic shocks, with declining employment and EBITDA but growing turnover and GVA. One business experienced negative EBITDA, highlighting their vulnerability to economic shocks.</w:t>
      </w:r>
      <w:r w:rsidR="00597C4C">
        <w:rPr>
          <w:rFonts w:ascii="Arial" w:hAnsi="Arial" w:cs="Arial"/>
          <w:i/>
          <w:iCs/>
          <w:sz w:val="24"/>
          <w:szCs w:val="24"/>
        </w:rPr>
        <w:t>”</w:t>
      </w:r>
    </w:p>
    <w:p w:rsidR="00B44B08" w:rsidRPr="005D61F4" w:rsidP="00B44B08" w14:paraId="172D82C4" w14:textId="77777777">
      <w:pPr>
        <w:pStyle w:val="ListParagraph"/>
        <w:spacing w:line="276" w:lineRule="auto"/>
        <w:rPr>
          <w:rFonts w:ascii="Arial" w:hAnsi="Arial" w:cs="Arial"/>
          <w:sz w:val="24"/>
          <w:szCs w:val="24"/>
        </w:rPr>
      </w:pPr>
    </w:p>
    <w:p w:rsidR="005E3309" w:rsidP="00502484" w14:paraId="47FE5E10" w14:textId="77777777">
      <w:pPr>
        <w:pStyle w:val="ListParagraph"/>
        <w:numPr>
          <w:ilvl w:val="0"/>
          <w:numId w:val="1"/>
        </w:numPr>
        <w:spacing w:line="276" w:lineRule="auto"/>
        <w:rPr>
          <w:rFonts w:ascii="Arial" w:hAnsi="Arial" w:cs="Arial"/>
          <w:sz w:val="24"/>
          <w:szCs w:val="24"/>
        </w:rPr>
      </w:pPr>
      <w:r>
        <w:rPr>
          <w:rFonts w:ascii="Arial" w:hAnsi="Arial" w:cs="Arial"/>
          <w:sz w:val="24"/>
          <w:szCs w:val="24"/>
        </w:rPr>
        <w:t>It is submitted that it is unnecessary and irrational to recommend the imposition of duties in this case when there has been a finding that UK Producers as a whole had businesses with strong growth and only identifying one business that had suffered injury.</w:t>
      </w:r>
    </w:p>
    <w:p w:rsidR="005E3309" w:rsidP="005E3309" w14:paraId="046B62E2" w14:textId="77777777">
      <w:pPr>
        <w:pStyle w:val="ListParagraph"/>
        <w:spacing w:line="276" w:lineRule="auto"/>
        <w:rPr>
          <w:rFonts w:ascii="Arial" w:hAnsi="Arial" w:cs="Arial"/>
          <w:sz w:val="24"/>
          <w:szCs w:val="24"/>
        </w:rPr>
      </w:pPr>
    </w:p>
    <w:p w:rsidR="005E3309" w:rsidP="00502484" w14:paraId="26BD2E20" w14:textId="77777777">
      <w:pPr>
        <w:pStyle w:val="ListParagraph"/>
        <w:numPr>
          <w:ilvl w:val="0"/>
          <w:numId w:val="1"/>
        </w:numPr>
        <w:spacing w:line="276" w:lineRule="auto"/>
        <w:rPr>
          <w:rFonts w:ascii="Arial" w:hAnsi="Arial" w:cs="Arial"/>
          <w:sz w:val="24"/>
          <w:szCs w:val="24"/>
        </w:rPr>
      </w:pPr>
      <w:r>
        <w:rPr>
          <w:rFonts w:ascii="Arial" w:hAnsi="Arial" w:cs="Arial"/>
          <w:sz w:val="24"/>
          <w:szCs w:val="24"/>
        </w:rPr>
        <w:t>Further, the imposition of duties is clearly not in the interests of Importers, Downstream businesses or UK end consumers.</w:t>
      </w:r>
    </w:p>
    <w:p w:rsidR="00ED2325" w:rsidRPr="00ED2325" w:rsidP="00ED2325" w14:paraId="429F5A0A" w14:textId="77777777">
      <w:pPr>
        <w:pStyle w:val="ListParagraph"/>
        <w:rPr>
          <w:rFonts w:ascii="Arial" w:hAnsi="Arial" w:cs="Arial"/>
          <w:sz w:val="24"/>
          <w:szCs w:val="24"/>
        </w:rPr>
      </w:pPr>
    </w:p>
    <w:p w:rsidR="0029324E" w:rsidP="00ED2325" w14:paraId="764E185B" w14:textId="77777777">
      <w:pPr>
        <w:spacing w:line="276" w:lineRule="auto"/>
        <w:ind w:firstLine="720"/>
        <w:rPr>
          <w:rFonts w:ascii="Arial" w:hAnsi="Arial" w:cs="Arial"/>
          <w:b/>
          <w:bCs/>
          <w:sz w:val="24"/>
          <w:szCs w:val="24"/>
        </w:rPr>
      </w:pPr>
    </w:p>
    <w:p w:rsidR="0029324E" w:rsidP="00ED2325" w14:paraId="2D095C63" w14:textId="77777777">
      <w:pPr>
        <w:spacing w:line="276" w:lineRule="auto"/>
        <w:ind w:firstLine="720"/>
        <w:rPr>
          <w:rFonts w:ascii="Arial" w:hAnsi="Arial" w:cs="Arial"/>
          <w:b/>
          <w:bCs/>
          <w:sz w:val="24"/>
          <w:szCs w:val="24"/>
        </w:rPr>
      </w:pPr>
    </w:p>
    <w:p w:rsidR="00ED2325" w:rsidRPr="009A3B2C" w:rsidP="00ED2325" w14:paraId="5B2A0938" w14:textId="77777777">
      <w:pPr>
        <w:spacing w:line="276" w:lineRule="auto"/>
        <w:ind w:firstLine="720"/>
        <w:rPr>
          <w:rFonts w:ascii="Arial" w:hAnsi="Arial" w:cs="Arial"/>
          <w:b/>
          <w:bCs/>
          <w:sz w:val="24"/>
          <w:szCs w:val="24"/>
        </w:rPr>
      </w:pPr>
      <w:r w:rsidRPr="009A3B2C">
        <w:rPr>
          <w:rFonts w:ascii="Arial" w:hAnsi="Arial" w:cs="Arial"/>
          <w:b/>
          <w:bCs/>
          <w:sz w:val="24"/>
          <w:szCs w:val="24"/>
        </w:rPr>
        <w:t xml:space="preserve">The anti-competitive nature of the </w:t>
      </w:r>
      <w:r w:rsidR="008B55D7">
        <w:rPr>
          <w:rFonts w:ascii="Arial" w:hAnsi="Arial" w:cs="Arial"/>
          <w:b/>
          <w:bCs/>
          <w:sz w:val="24"/>
          <w:szCs w:val="24"/>
        </w:rPr>
        <w:t>recommendations</w:t>
      </w:r>
    </w:p>
    <w:p w:rsidR="005E3309" w:rsidRPr="005E3309" w:rsidP="005E3309" w14:paraId="76B09F94" w14:textId="77777777">
      <w:pPr>
        <w:pStyle w:val="ListParagraph"/>
        <w:rPr>
          <w:rFonts w:ascii="Arial" w:hAnsi="Arial" w:cs="Arial"/>
          <w:sz w:val="24"/>
          <w:szCs w:val="24"/>
        </w:rPr>
      </w:pPr>
    </w:p>
    <w:p w:rsidR="0029324E" w:rsidP="00502484" w14:paraId="70E6E2BB" w14:textId="77777777">
      <w:pPr>
        <w:pStyle w:val="ListParagraph"/>
        <w:numPr>
          <w:ilvl w:val="0"/>
          <w:numId w:val="1"/>
        </w:numPr>
        <w:spacing w:line="276" w:lineRule="auto"/>
        <w:rPr>
          <w:rFonts w:ascii="Arial" w:hAnsi="Arial" w:cs="Arial"/>
          <w:sz w:val="24"/>
          <w:szCs w:val="24"/>
        </w:rPr>
      </w:pPr>
      <w:r>
        <w:rPr>
          <w:rFonts w:ascii="Arial" w:hAnsi="Arial" w:cs="Arial"/>
          <w:sz w:val="24"/>
          <w:szCs w:val="24"/>
        </w:rPr>
        <w:t xml:space="preserve">As a result of the investigation the following provisional </w:t>
      </w:r>
      <w:r>
        <w:rPr>
          <w:rFonts w:ascii="Arial" w:hAnsi="Arial" w:cs="Arial"/>
          <w:sz w:val="24"/>
          <w:szCs w:val="24"/>
        </w:rPr>
        <w:t>recommendations have been made:</w:t>
      </w:r>
    </w:p>
    <w:p w:rsidR="00130ABA" w:rsidP="00130ABA" w14:paraId="64950469" w14:textId="77777777">
      <w:pPr>
        <w:spacing w:line="276" w:lineRule="auto"/>
        <w:rPr>
          <w:rFonts w:ascii="Arial" w:hAnsi="Arial" w:cs="Arial"/>
          <w:sz w:val="24"/>
          <w:szCs w:val="24"/>
        </w:rPr>
      </w:pPr>
      <w:r>
        <w:rPr>
          <w:noProof/>
        </w:rPr>
        <w:drawing>
          <wp:inline distT="0" distB="0" distL="0" distR="0">
            <wp:extent cx="5731510" cy="1992630"/>
            <wp:effectExtent l="0" t="0" r="0" b="0"/>
            <wp:docPr id="412694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94223" name=""/>
                    <pic:cNvPicPr/>
                  </pic:nvPicPr>
                  <pic:blipFill>
                    <a:blip xmlns:r="http://schemas.openxmlformats.org/officeDocument/2006/relationships" r:embed="rId24"/>
                    <a:stretch>
                      <a:fillRect/>
                    </a:stretch>
                  </pic:blipFill>
                  <pic:spPr>
                    <a:xfrm>
                      <a:off x="0" y="0"/>
                      <a:ext cx="5731510" cy="1992630"/>
                    </a:xfrm>
                    <a:prstGeom prst="rect">
                      <a:avLst/>
                    </a:prstGeom>
                  </pic:spPr>
                </pic:pic>
              </a:graphicData>
            </a:graphic>
          </wp:inline>
        </w:drawing>
      </w:r>
    </w:p>
    <w:p w:rsidR="00130ABA" w:rsidRPr="00130ABA" w:rsidP="00130ABA" w14:paraId="43D72050" w14:textId="77777777">
      <w:pPr>
        <w:spacing w:line="276" w:lineRule="auto"/>
        <w:rPr>
          <w:rFonts w:ascii="Arial" w:hAnsi="Arial" w:cs="Arial"/>
          <w:sz w:val="24"/>
          <w:szCs w:val="24"/>
        </w:rPr>
      </w:pPr>
    </w:p>
    <w:p w:rsidR="00304C49" w:rsidP="00502484" w14:paraId="2EFF73AE" w14:textId="77777777">
      <w:pPr>
        <w:pStyle w:val="ListParagraph"/>
        <w:numPr>
          <w:ilvl w:val="0"/>
          <w:numId w:val="1"/>
        </w:numPr>
        <w:spacing w:line="276" w:lineRule="auto"/>
        <w:rPr>
          <w:rFonts w:ascii="Arial" w:hAnsi="Arial" w:cs="Arial"/>
          <w:sz w:val="24"/>
          <w:szCs w:val="24"/>
        </w:rPr>
      </w:pPr>
      <w:r>
        <w:rPr>
          <w:rFonts w:ascii="Arial" w:hAnsi="Arial" w:cs="Arial"/>
          <w:sz w:val="24"/>
          <w:szCs w:val="24"/>
        </w:rPr>
        <w:t xml:space="preserve">It is submitted that the recommendations reduce the </w:t>
      </w:r>
      <w:r w:rsidR="003162FA">
        <w:rPr>
          <w:rFonts w:ascii="Arial" w:hAnsi="Arial" w:cs="Arial"/>
          <w:sz w:val="24"/>
          <w:szCs w:val="24"/>
        </w:rPr>
        <w:t>ability of UK “</w:t>
      </w:r>
      <w:r w:rsidR="009C4738">
        <w:rPr>
          <w:rFonts w:ascii="Arial" w:hAnsi="Arial" w:cs="Arial"/>
          <w:sz w:val="24"/>
          <w:szCs w:val="24"/>
        </w:rPr>
        <w:t>P</w:t>
      </w:r>
      <w:r w:rsidR="003162FA">
        <w:rPr>
          <w:rFonts w:ascii="Arial" w:hAnsi="Arial" w:cs="Arial"/>
          <w:sz w:val="24"/>
          <w:szCs w:val="24"/>
        </w:rPr>
        <w:t xml:space="preserve">roducers” </w:t>
      </w:r>
      <w:r w:rsidR="009C4738">
        <w:rPr>
          <w:rFonts w:ascii="Arial" w:hAnsi="Arial" w:cs="Arial"/>
          <w:sz w:val="24"/>
          <w:szCs w:val="24"/>
        </w:rPr>
        <w:t xml:space="preserve">to pivot to an import </w:t>
      </w:r>
      <w:r w:rsidR="00806AAE">
        <w:rPr>
          <w:rFonts w:ascii="Arial" w:hAnsi="Arial" w:cs="Arial"/>
          <w:sz w:val="24"/>
          <w:szCs w:val="24"/>
        </w:rPr>
        <w:t xml:space="preserve">model where they are importing premixed and packaged goods into the UK </w:t>
      </w:r>
      <w:r w:rsidR="001B34E0">
        <w:rPr>
          <w:rFonts w:ascii="Arial" w:hAnsi="Arial" w:cs="Arial"/>
          <w:sz w:val="24"/>
          <w:szCs w:val="24"/>
        </w:rPr>
        <w:t xml:space="preserve">or a hybrid model </w:t>
      </w:r>
      <w:r>
        <w:rPr>
          <w:rFonts w:ascii="Arial" w:hAnsi="Arial" w:cs="Arial"/>
          <w:sz w:val="24"/>
          <w:szCs w:val="24"/>
        </w:rPr>
        <w:t>where they i</w:t>
      </w:r>
      <w:r w:rsidR="00806AAE">
        <w:rPr>
          <w:rFonts w:ascii="Arial" w:hAnsi="Arial" w:cs="Arial"/>
          <w:sz w:val="24"/>
          <w:szCs w:val="24"/>
        </w:rPr>
        <w:t xml:space="preserve">mport pre blended products in </w:t>
      </w:r>
      <w:r>
        <w:rPr>
          <w:rFonts w:ascii="Arial" w:hAnsi="Arial" w:cs="Arial"/>
          <w:sz w:val="24"/>
          <w:szCs w:val="24"/>
        </w:rPr>
        <w:t>bulk to UK and package in UK.</w:t>
      </w:r>
    </w:p>
    <w:p w:rsidR="00304C49" w:rsidP="00304C49" w14:paraId="1905B327" w14:textId="77777777">
      <w:pPr>
        <w:pStyle w:val="ListParagraph"/>
        <w:spacing w:line="276" w:lineRule="auto"/>
        <w:rPr>
          <w:rFonts w:ascii="Arial" w:hAnsi="Arial" w:cs="Arial"/>
          <w:sz w:val="24"/>
          <w:szCs w:val="24"/>
        </w:rPr>
      </w:pPr>
    </w:p>
    <w:p w:rsidR="001F3364" w:rsidP="00502484" w14:paraId="0AB6A9F3" w14:textId="77777777">
      <w:pPr>
        <w:pStyle w:val="ListParagraph"/>
        <w:numPr>
          <w:ilvl w:val="0"/>
          <w:numId w:val="1"/>
        </w:numPr>
        <w:spacing w:line="276" w:lineRule="auto"/>
        <w:rPr>
          <w:rFonts w:ascii="Arial" w:hAnsi="Arial" w:cs="Arial"/>
          <w:sz w:val="24"/>
          <w:szCs w:val="24"/>
        </w:rPr>
      </w:pPr>
      <w:r>
        <w:rPr>
          <w:rFonts w:ascii="Arial" w:hAnsi="Arial" w:cs="Arial"/>
          <w:sz w:val="24"/>
          <w:szCs w:val="24"/>
        </w:rPr>
        <w:t xml:space="preserve"> </w:t>
      </w:r>
      <w:r w:rsidR="00304C49">
        <w:rPr>
          <w:rFonts w:ascii="Arial" w:hAnsi="Arial" w:cs="Arial"/>
          <w:sz w:val="24"/>
          <w:szCs w:val="24"/>
        </w:rPr>
        <w:t xml:space="preserve">The reason for this stems from the calculation of the dumping margin for producers who have not taken part in the investigation </w:t>
      </w:r>
      <w:r w:rsidR="00DC6A28">
        <w:rPr>
          <w:rFonts w:ascii="Arial" w:hAnsi="Arial" w:cs="Arial"/>
          <w:sz w:val="24"/>
          <w:szCs w:val="24"/>
        </w:rPr>
        <w:t>as set out in PAD paragraph 119</w:t>
      </w:r>
      <w:r>
        <w:rPr>
          <w:rFonts w:ascii="Arial" w:hAnsi="Arial" w:cs="Arial"/>
          <w:sz w:val="24"/>
          <w:szCs w:val="24"/>
        </w:rPr>
        <w:t>:</w:t>
      </w:r>
    </w:p>
    <w:p w:rsidR="001F3364" w:rsidRPr="001F3364" w:rsidP="001F3364" w14:paraId="1CA28D65" w14:textId="77777777">
      <w:pPr>
        <w:pStyle w:val="ListParagraph"/>
        <w:rPr>
          <w:rFonts w:ascii="Arial" w:hAnsi="Arial" w:cs="Arial"/>
          <w:sz w:val="24"/>
          <w:szCs w:val="24"/>
        </w:rPr>
      </w:pPr>
    </w:p>
    <w:p w:rsidR="00D47F79" w:rsidRPr="00EA251E" w:rsidP="001F3364" w14:paraId="2317256C" w14:textId="77777777">
      <w:pPr>
        <w:pStyle w:val="ListParagraph"/>
        <w:spacing w:line="276" w:lineRule="auto"/>
        <w:rPr>
          <w:rFonts w:ascii="Arial" w:hAnsi="Arial" w:cs="Arial"/>
          <w:i/>
          <w:iCs/>
          <w:sz w:val="24"/>
          <w:szCs w:val="24"/>
        </w:rPr>
      </w:pPr>
      <w:r w:rsidRPr="00EA251E">
        <w:rPr>
          <w:rFonts w:ascii="Arial" w:hAnsi="Arial" w:cs="Arial"/>
          <w:i/>
          <w:iCs/>
          <w:sz w:val="24"/>
          <w:szCs w:val="24"/>
        </w:rPr>
        <w:t>“</w:t>
      </w:r>
      <w:r w:rsidRPr="00EA251E">
        <w:rPr>
          <w:rFonts w:ascii="Arial" w:hAnsi="Arial" w:cs="Arial"/>
          <w:b/>
          <w:bCs/>
          <w:i/>
          <w:iCs/>
          <w:sz w:val="24"/>
          <w:szCs w:val="24"/>
        </w:rPr>
        <w:t>G5. Dumping margin</w:t>
      </w:r>
      <w:r w:rsidRPr="00EA251E">
        <w:rPr>
          <w:rFonts w:ascii="Arial" w:hAnsi="Arial" w:cs="Arial"/>
          <w:i/>
          <w:iCs/>
          <w:sz w:val="24"/>
          <w:szCs w:val="24"/>
        </w:rPr>
        <w:t xml:space="preserve"> </w:t>
      </w:r>
    </w:p>
    <w:p w:rsidR="001C30AD" w:rsidP="001F3364" w14:paraId="4A036FE2" w14:textId="77777777">
      <w:pPr>
        <w:pStyle w:val="ListParagraph"/>
        <w:spacing w:line="276" w:lineRule="auto"/>
        <w:rPr>
          <w:rFonts w:ascii="Arial" w:hAnsi="Arial" w:cs="Arial"/>
          <w:i/>
          <w:iCs/>
          <w:sz w:val="24"/>
          <w:szCs w:val="24"/>
        </w:rPr>
      </w:pPr>
      <w:r w:rsidRPr="00EA251E">
        <w:rPr>
          <w:rFonts w:ascii="Arial" w:hAnsi="Arial" w:cs="Arial"/>
          <w:i/>
          <w:iCs/>
          <w:sz w:val="24"/>
          <w:szCs w:val="24"/>
        </w:rPr>
        <w:t xml:space="preserve">118. In accordance with regulation 17(1)(a) of the Regulations, the TRA compared a weighted average normal value with a weighted average export price by PCN, to calculate the dumping margin for each overseas exporter for which the TRA is determining an individual estimated anti-dumping margin. </w:t>
      </w:r>
    </w:p>
    <w:p w:rsidR="001C30AD" w:rsidP="001F3364" w14:paraId="00E80E2B" w14:textId="77777777">
      <w:pPr>
        <w:pStyle w:val="ListParagraph"/>
        <w:spacing w:line="276" w:lineRule="auto"/>
        <w:rPr>
          <w:rFonts w:ascii="Arial" w:hAnsi="Arial" w:cs="Arial"/>
          <w:i/>
          <w:iCs/>
          <w:sz w:val="24"/>
          <w:szCs w:val="24"/>
        </w:rPr>
      </w:pPr>
    </w:p>
    <w:p w:rsidR="001F3364" w:rsidRPr="001C30AD" w:rsidP="001F3364" w14:paraId="61742BA9" w14:textId="77777777">
      <w:pPr>
        <w:pStyle w:val="ListParagraph"/>
        <w:spacing w:line="276" w:lineRule="auto"/>
        <w:rPr>
          <w:rFonts w:ascii="Arial" w:hAnsi="Arial" w:cs="Arial"/>
          <w:b/>
          <w:bCs/>
          <w:i/>
          <w:iCs/>
          <w:sz w:val="24"/>
          <w:szCs w:val="24"/>
          <w:u w:val="single"/>
        </w:rPr>
      </w:pPr>
      <w:r w:rsidRPr="00EA251E">
        <w:rPr>
          <w:rFonts w:ascii="Arial" w:hAnsi="Arial" w:cs="Arial"/>
          <w:i/>
          <w:iCs/>
          <w:sz w:val="24"/>
          <w:szCs w:val="24"/>
        </w:rPr>
        <w:t>119</w:t>
      </w:r>
      <w:r w:rsidRPr="001C30AD">
        <w:rPr>
          <w:rFonts w:ascii="Arial" w:hAnsi="Arial" w:cs="Arial"/>
          <w:b/>
          <w:bCs/>
          <w:i/>
          <w:iCs/>
          <w:sz w:val="24"/>
          <w:szCs w:val="24"/>
          <w:u w:val="single"/>
        </w:rPr>
        <w:t>. For all other overseas exporters, the TRA established a residual amount according to regulation 38 of the Regulations, which has been determined by taking the PCN with the highest dumping margin.</w:t>
      </w:r>
      <w:r w:rsidRPr="001C30AD" w:rsidR="00EA251E">
        <w:rPr>
          <w:rFonts w:ascii="Arial" w:hAnsi="Arial" w:cs="Arial"/>
          <w:b/>
          <w:bCs/>
          <w:i/>
          <w:iCs/>
          <w:sz w:val="24"/>
          <w:szCs w:val="24"/>
          <w:u w:val="single"/>
        </w:rPr>
        <w:t>”</w:t>
      </w:r>
    </w:p>
    <w:p w:rsidR="001F3364" w:rsidRPr="001C30AD" w:rsidP="001F3364" w14:paraId="40BBDA65" w14:textId="77777777">
      <w:pPr>
        <w:pStyle w:val="ListParagraph"/>
        <w:rPr>
          <w:rFonts w:ascii="Arial" w:hAnsi="Arial" w:cs="Arial"/>
          <w:b/>
          <w:bCs/>
          <w:sz w:val="24"/>
          <w:szCs w:val="24"/>
          <w:u w:val="single"/>
        </w:rPr>
      </w:pPr>
    </w:p>
    <w:p w:rsidR="001C30AD" w:rsidP="00502484" w14:paraId="01B63E7F" w14:textId="77777777">
      <w:pPr>
        <w:pStyle w:val="ListParagraph"/>
        <w:numPr>
          <w:ilvl w:val="0"/>
          <w:numId w:val="1"/>
        </w:numPr>
        <w:spacing w:line="276" w:lineRule="auto"/>
        <w:rPr>
          <w:rFonts w:ascii="Arial" w:hAnsi="Arial" w:cs="Arial"/>
          <w:sz w:val="24"/>
          <w:szCs w:val="24"/>
        </w:rPr>
      </w:pPr>
      <w:r>
        <w:rPr>
          <w:rFonts w:ascii="Arial" w:hAnsi="Arial" w:cs="Arial"/>
          <w:sz w:val="24"/>
          <w:szCs w:val="24"/>
        </w:rPr>
        <w:t>The ef</w:t>
      </w:r>
      <w:r w:rsidR="003B36DE">
        <w:rPr>
          <w:rFonts w:ascii="Arial" w:hAnsi="Arial" w:cs="Arial"/>
          <w:sz w:val="24"/>
          <w:szCs w:val="24"/>
        </w:rPr>
        <w:t xml:space="preserve">fect </w:t>
      </w:r>
      <w:r w:rsidR="00781D19">
        <w:rPr>
          <w:rFonts w:ascii="Arial" w:hAnsi="Arial" w:cs="Arial"/>
          <w:sz w:val="24"/>
          <w:szCs w:val="24"/>
        </w:rPr>
        <w:t xml:space="preserve">of this is to reduce competition in UK market as any </w:t>
      </w:r>
      <w:r w:rsidR="00337BA1">
        <w:rPr>
          <w:rFonts w:ascii="Arial" w:hAnsi="Arial" w:cs="Arial"/>
          <w:sz w:val="24"/>
          <w:szCs w:val="24"/>
        </w:rPr>
        <w:t xml:space="preserve">UK </w:t>
      </w:r>
      <w:r w:rsidR="00781D19">
        <w:rPr>
          <w:rFonts w:ascii="Arial" w:hAnsi="Arial" w:cs="Arial"/>
          <w:sz w:val="24"/>
          <w:szCs w:val="24"/>
        </w:rPr>
        <w:t xml:space="preserve">business approaching a Lithuanian exporter other than UAB SCT Lithuania </w:t>
      </w:r>
      <w:r w:rsidR="00D962A2">
        <w:rPr>
          <w:rFonts w:ascii="Arial" w:hAnsi="Arial" w:cs="Arial"/>
          <w:sz w:val="24"/>
          <w:szCs w:val="24"/>
        </w:rPr>
        <w:t xml:space="preserve">will have to purchase goods with a 49.59% tariff rather than </w:t>
      </w:r>
      <w:r w:rsidR="009C350E">
        <w:rPr>
          <w:rFonts w:ascii="Arial" w:hAnsi="Arial" w:cs="Arial"/>
          <w:sz w:val="24"/>
          <w:szCs w:val="24"/>
        </w:rPr>
        <w:t xml:space="preserve">an 11.60% </w:t>
      </w:r>
      <w:r w:rsidR="009E034E">
        <w:rPr>
          <w:rFonts w:ascii="Arial" w:hAnsi="Arial" w:cs="Arial"/>
          <w:sz w:val="24"/>
          <w:szCs w:val="24"/>
        </w:rPr>
        <w:t>t</w:t>
      </w:r>
      <w:r w:rsidR="009C350E">
        <w:rPr>
          <w:rFonts w:ascii="Arial" w:hAnsi="Arial" w:cs="Arial"/>
          <w:sz w:val="24"/>
          <w:szCs w:val="24"/>
        </w:rPr>
        <w:t>arriff</w:t>
      </w:r>
      <w:r w:rsidR="009C350E">
        <w:rPr>
          <w:rFonts w:ascii="Arial" w:hAnsi="Arial" w:cs="Arial"/>
          <w:sz w:val="24"/>
          <w:szCs w:val="24"/>
        </w:rPr>
        <w:t xml:space="preserve"> and any UK </w:t>
      </w:r>
      <w:r w:rsidR="00337BA1">
        <w:rPr>
          <w:rFonts w:ascii="Arial" w:hAnsi="Arial" w:cs="Arial"/>
          <w:sz w:val="24"/>
          <w:szCs w:val="24"/>
        </w:rPr>
        <w:t xml:space="preserve">business approaching </w:t>
      </w:r>
      <w:r w:rsidR="00D405AB">
        <w:rPr>
          <w:rFonts w:ascii="Arial" w:hAnsi="Arial" w:cs="Arial"/>
          <w:sz w:val="24"/>
          <w:szCs w:val="24"/>
        </w:rPr>
        <w:t xml:space="preserve">UAE </w:t>
      </w:r>
      <w:r w:rsidR="00A85011">
        <w:rPr>
          <w:rFonts w:ascii="Arial" w:hAnsi="Arial" w:cs="Arial"/>
          <w:sz w:val="24"/>
          <w:szCs w:val="24"/>
        </w:rPr>
        <w:t xml:space="preserve">exporters other than </w:t>
      </w:r>
      <w:r w:rsidR="00A85011">
        <w:rPr>
          <w:rFonts w:ascii="Arial" w:hAnsi="Arial" w:cs="Arial"/>
          <w:sz w:val="24"/>
          <w:szCs w:val="24"/>
        </w:rPr>
        <w:t>Chempioil</w:t>
      </w:r>
      <w:r w:rsidR="00A85011">
        <w:rPr>
          <w:rFonts w:ascii="Arial" w:hAnsi="Arial" w:cs="Arial"/>
          <w:sz w:val="24"/>
          <w:szCs w:val="24"/>
        </w:rPr>
        <w:t xml:space="preserve"> UAE and SCT Chemicals FZE </w:t>
      </w:r>
      <w:r w:rsidR="00D405AB">
        <w:rPr>
          <w:rFonts w:ascii="Arial" w:hAnsi="Arial" w:cs="Arial"/>
          <w:sz w:val="24"/>
          <w:szCs w:val="24"/>
        </w:rPr>
        <w:t xml:space="preserve">will face tariffs of </w:t>
      </w:r>
      <w:r>
        <w:rPr>
          <w:rFonts w:ascii="Arial" w:hAnsi="Arial" w:cs="Arial"/>
          <w:sz w:val="24"/>
          <w:szCs w:val="24"/>
        </w:rPr>
        <w:t>59.40% rather than 24.95%.</w:t>
      </w:r>
    </w:p>
    <w:p w:rsidR="001C30AD" w:rsidP="001C30AD" w14:paraId="47882D88" w14:textId="77777777">
      <w:pPr>
        <w:pStyle w:val="ListParagraph"/>
        <w:spacing w:line="276" w:lineRule="auto"/>
        <w:rPr>
          <w:rFonts w:ascii="Arial" w:hAnsi="Arial" w:cs="Arial"/>
          <w:sz w:val="24"/>
          <w:szCs w:val="24"/>
        </w:rPr>
      </w:pPr>
    </w:p>
    <w:p w:rsidR="001C30AD" w:rsidP="001C30AD" w14:paraId="4E47985E" w14:textId="77777777">
      <w:pPr>
        <w:pStyle w:val="ListParagraph"/>
        <w:spacing w:line="276" w:lineRule="auto"/>
        <w:rPr>
          <w:rFonts w:ascii="Arial" w:hAnsi="Arial" w:cs="Arial"/>
          <w:sz w:val="24"/>
          <w:szCs w:val="24"/>
        </w:rPr>
      </w:pPr>
    </w:p>
    <w:p w:rsidR="001C30AD" w:rsidP="001C30AD" w14:paraId="2BAD3673" w14:textId="77777777">
      <w:pPr>
        <w:pStyle w:val="ListParagraph"/>
        <w:spacing w:line="276" w:lineRule="auto"/>
        <w:rPr>
          <w:rFonts w:ascii="Arial" w:hAnsi="Arial" w:cs="Arial"/>
          <w:sz w:val="24"/>
          <w:szCs w:val="24"/>
        </w:rPr>
      </w:pPr>
    </w:p>
    <w:p w:rsidR="001C30AD" w:rsidP="001C30AD" w14:paraId="2F0EADA0" w14:textId="77777777">
      <w:pPr>
        <w:pStyle w:val="ListParagraph"/>
        <w:spacing w:line="276" w:lineRule="auto"/>
        <w:rPr>
          <w:rFonts w:ascii="Arial" w:hAnsi="Arial" w:cs="Arial"/>
          <w:sz w:val="24"/>
          <w:szCs w:val="24"/>
        </w:rPr>
      </w:pPr>
    </w:p>
    <w:p w:rsidR="001C30AD" w:rsidP="001C30AD" w14:paraId="6127906A" w14:textId="77777777">
      <w:pPr>
        <w:spacing w:line="276" w:lineRule="auto"/>
        <w:rPr>
          <w:rFonts w:ascii="Arial" w:hAnsi="Arial" w:cs="Arial"/>
          <w:sz w:val="24"/>
          <w:szCs w:val="24"/>
        </w:rPr>
      </w:pPr>
    </w:p>
    <w:p w:rsidR="001C30AD" w:rsidRPr="001C30AD" w:rsidP="001C30AD" w14:paraId="45DC22AD" w14:textId="77777777">
      <w:pPr>
        <w:spacing w:line="276" w:lineRule="auto"/>
        <w:rPr>
          <w:rFonts w:ascii="Arial" w:hAnsi="Arial" w:cs="Arial"/>
          <w:b/>
          <w:bCs/>
          <w:sz w:val="24"/>
          <w:szCs w:val="24"/>
        </w:rPr>
      </w:pPr>
      <w:r w:rsidRPr="001C30AD">
        <w:rPr>
          <w:rFonts w:ascii="Arial" w:hAnsi="Arial" w:cs="Arial"/>
          <w:b/>
          <w:bCs/>
          <w:sz w:val="24"/>
          <w:szCs w:val="24"/>
        </w:rPr>
        <w:t xml:space="preserve">Conclusion </w:t>
      </w:r>
    </w:p>
    <w:p w:rsidR="001C30AD" w:rsidP="001C30AD" w14:paraId="292B1D77" w14:textId="77777777">
      <w:pPr>
        <w:pStyle w:val="ListParagraph"/>
        <w:numPr>
          <w:ilvl w:val="0"/>
          <w:numId w:val="1"/>
        </w:numPr>
        <w:spacing w:line="276" w:lineRule="auto"/>
        <w:rPr>
          <w:rFonts w:ascii="Arial" w:hAnsi="Arial" w:cs="Arial"/>
          <w:sz w:val="24"/>
          <w:szCs w:val="24"/>
        </w:rPr>
      </w:pPr>
      <w:r>
        <w:rPr>
          <w:rFonts w:ascii="Arial" w:hAnsi="Arial" w:cs="Arial"/>
          <w:sz w:val="24"/>
          <w:szCs w:val="24"/>
        </w:rPr>
        <w:t xml:space="preserve">By reason of all the matters set out in this response to the </w:t>
      </w:r>
      <w:r w:rsidR="002B1C50">
        <w:rPr>
          <w:rFonts w:ascii="Arial" w:hAnsi="Arial" w:cs="Arial"/>
          <w:sz w:val="24"/>
          <w:szCs w:val="24"/>
        </w:rPr>
        <w:t xml:space="preserve">Provisional </w:t>
      </w:r>
      <w:r w:rsidR="0033666F">
        <w:rPr>
          <w:rFonts w:ascii="Arial" w:hAnsi="Arial" w:cs="Arial"/>
          <w:sz w:val="24"/>
          <w:szCs w:val="24"/>
        </w:rPr>
        <w:t xml:space="preserve">Affirmative Determination the TRA is respectfully requested to review its </w:t>
      </w:r>
      <w:r w:rsidR="007327E6">
        <w:rPr>
          <w:rFonts w:ascii="Arial" w:hAnsi="Arial" w:cs="Arial"/>
          <w:sz w:val="24"/>
          <w:szCs w:val="24"/>
        </w:rPr>
        <w:t xml:space="preserve">provisional recommendations for the imposition  of </w:t>
      </w:r>
      <w:r w:rsidR="004C62C0">
        <w:rPr>
          <w:rFonts w:ascii="Arial" w:hAnsi="Arial" w:cs="Arial"/>
          <w:sz w:val="24"/>
          <w:szCs w:val="24"/>
        </w:rPr>
        <w:t>t</w:t>
      </w:r>
      <w:r w:rsidR="007327E6">
        <w:rPr>
          <w:rFonts w:ascii="Arial" w:hAnsi="Arial" w:cs="Arial"/>
          <w:sz w:val="24"/>
          <w:szCs w:val="24"/>
        </w:rPr>
        <w:t xml:space="preserve">ariffs and </w:t>
      </w:r>
      <w:r w:rsidR="00806912">
        <w:rPr>
          <w:rFonts w:ascii="Arial" w:hAnsi="Arial" w:cs="Arial"/>
          <w:sz w:val="24"/>
          <w:szCs w:val="24"/>
        </w:rPr>
        <w:t xml:space="preserve">to rescind its recommendation to require </w:t>
      </w:r>
      <w:r w:rsidR="00252A8B">
        <w:rPr>
          <w:rFonts w:ascii="Arial" w:hAnsi="Arial" w:cs="Arial"/>
          <w:sz w:val="24"/>
          <w:szCs w:val="24"/>
        </w:rPr>
        <w:t xml:space="preserve">that </w:t>
      </w:r>
      <w:r w:rsidR="00806912">
        <w:rPr>
          <w:rFonts w:ascii="Arial" w:hAnsi="Arial" w:cs="Arial"/>
          <w:sz w:val="24"/>
          <w:szCs w:val="24"/>
        </w:rPr>
        <w:t xml:space="preserve">a </w:t>
      </w:r>
      <w:r w:rsidR="00252A8B">
        <w:rPr>
          <w:rFonts w:ascii="Arial" w:hAnsi="Arial" w:cs="Arial"/>
          <w:sz w:val="24"/>
          <w:szCs w:val="24"/>
        </w:rPr>
        <w:t>guarantee is made pursuant to paragraphs  11(3)</w:t>
      </w:r>
      <w:r w:rsidR="0016392A">
        <w:rPr>
          <w:rFonts w:ascii="Arial" w:hAnsi="Arial" w:cs="Arial"/>
          <w:sz w:val="24"/>
          <w:szCs w:val="24"/>
        </w:rPr>
        <w:t>, 13(3)a and 13(8A) of Schedule 4 to the Taxation (Cross-border</w:t>
      </w:r>
      <w:r w:rsidR="004C62C0">
        <w:rPr>
          <w:rFonts w:ascii="Arial" w:hAnsi="Arial" w:cs="Arial"/>
          <w:sz w:val="24"/>
          <w:szCs w:val="24"/>
        </w:rPr>
        <w:t>)</w:t>
      </w:r>
      <w:r w:rsidR="0016392A">
        <w:rPr>
          <w:rFonts w:ascii="Arial" w:hAnsi="Arial" w:cs="Arial"/>
          <w:sz w:val="24"/>
          <w:szCs w:val="24"/>
        </w:rPr>
        <w:t>Trade Act 2018.</w:t>
      </w:r>
    </w:p>
    <w:p w:rsidR="00620018" w:rsidP="0016392A" w14:paraId="7616372B" w14:textId="77777777">
      <w:pPr>
        <w:spacing w:line="276" w:lineRule="auto"/>
        <w:rPr>
          <w:rFonts w:ascii="Arial" w:hAnsi="Arial" w:cs="Arial"/>
          <w:sz w:val="24"/>
          <w:szCs w:val="24"/>
        </w:rPr>
      </w:pPr>
    </w:p>
    <w:p w:rsidR="0016392A" w:rsidRPr="00620018" w:rsidP="0016392A" w14:paraId="4D4F5DC3" w14:textId="77777777">
      <w:pPr>
        <w:spacing w:line="276" w:lineRule="auto"/>
        <w:rPr>
          <w:rFonts w:ascii="Arial" w:hAnsi="Arial" w:cs="Arial"/>
          <w:b/>
          <w:bCs/>
          <w:sz w:val="24"/>
          <w:szCs w:val="24"/>
        </w:rPr>
      </w:pPr>
      <w:r w:rsidRPr="00620018">
        <w:rPr>
          <w:rFonts w:ascii="Arial" w:hAnsi="Arial" w:cs="Arial"/>
          <w:b/>
          <w:bCs/>
          <w:sz w:val="24"/>
          <w:szCs w:val="24"/>
        </w:rPr>
        <w:t>On behalf of:</w:t>
      </w:r>
    </w:p>
    <w:p w:rsidR="0016392A" w:rsidRPr="00620018" w:rsidP="0016392A" w14:paraId="78CCE677" w14:textId="77777777">
      <w:pPr>
        <w:spacing w:line="276" w:lineRule="auto"/>
        <w:rPr>
          <w:rFonts w:ascii="Arial" w:hAnsi="Arial" w:cs="Arial"/>
          <w:b/>
          <w:bCs/>
          <w:sz w:val="24"/>
          <w:szCs w:val="24"/>
        </w:rPr>
      </w:pPr>
      <w:r w:rsidRPr="00620018">
        <w:rPr>
          <w:rFonts w:ascii="Arial" w:hAnsi="Arial" w:cs="Arial"/>
          <w:b/>
          <w:bCs/>
          <w:sz w:val="24"/>
          <w:szCs w:val="24"/>
        </w:rPr>
        <w:t>Lubriage</w:t>
      </w:r>
      <w:r w:rsidRPr="00620018">
        <w:rPr>
          <w:rFonts w:ascii="Arial" w:hAnsi="Arial" w:cs="Arial"/>
          <w:b/>
          <w:bCs/>
          <w:sz w:val="24"/>
          <w:szCs w:val="24"/>
        </w:rPr>
        <w:t xml:space="preserve"> Ltd</w:t>
      </w:r>
    </w:p>
    <w:p w:rsidR="0016392A" w:rsidRPr="00620018" w:rsidP="0016392A" w14:paraId="67B26142" w14:textId="77777777">
      <w:pPr>
        <w:spacing w:line="276" w:lineRule="auto"/>
        <w:rPr>
          <w:rFonts w:ascii="Arial" w:hAnsi="Arial" w:cs="Arial"/>
          <w:b/>
          <w:bCs/>
          <w:sz w:val="24"/>
          <w:szCs w:val="24"/>
        </w:rPr>
      </w:pPr>
      <w:r w:rsidRPr="00620018">
        <w:rPr>
          <w:rFonts w:ascii="Arial" w:hAnsi="Arial" w:cs="Arial"/>
          <w:b/>
          <w:bCs/>
          <w:sz w:val="24"/>
          <w:szCs w:val="24"/>
        </w:rPr>
        <w:t>01 May 2025</w:t>
      </w:r>
    </w:p>
    <w:sectPr>
      <w:headerReference w:type="default" r:id="rId25"/>
      <w:footerReference w:type="default" r:id="rI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8615719"/>
      <w:docPartObj>
        <w:docPartGallery w:val="Page Numbers (Bottom of Page)"/>
        <w:docPartUnique/>
      </w:docPartObj>
    </w:sdtPr>
    <w:sdtEndPr>
      <w:rPr>
        <w:noProof/>
      </w:rPr>
    </w:sdtEndPr>
    <w:sdtContent>
      <w:p w:rsidR="00B17E66" w14:paraId="2D4A1A4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17E66" w14:paraId="0EDFCFA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671A" w:rsidP="00C0671A" w14:paraId="5C1A8F94" w14:textId="77777777">
    <w:pPr>
      <w:pStyle w:val="NoSpacing"/>
      <w:jc w:val="right"/>
      <w:rPr>
        <w:rFonts w:ascii="Arial" w:hAnsi="Arial"/>
        <w:sz w:val="19"/>
        <w:szCs w:val="19"/>
      </w:rPr>
    </w:pPr>
    <w:r>
      <w:rPr>
        <w:rFonts w:ascii="Arial" w:hAnsi="Arial"/>
        <w:sz w:val="19"/>
        <w:szCs w:val="19"/>
      </w:rPr>
      <w:t>Trade Remedies Authority</w:t>
    </w:r>
  </w:p>
  <w:p w:rsidR="00C0671A" w:rsidP="00C0671A" w14:paraId="02030673" w14:textId="77777777">
    <w:pPr>
      <w:pStyle w:val="Header"/>
      <w:tabs>
        <w:tab w:val="center" w:pos="2268"/>
        <w:tab w:val="clear" w:pos="4513"/>
      </w:tabs>
      <w:jc w:val="right"/>
    </w:pPr>
    <w:r>
      <w:rPr>
        <w:rFonts w:ascii="MS Gothic" w:eastAsia="MS Gothic" w:hAnsi="MS Gothic"/>
        <w:b/>
        <w:color w:val="FF0000"/>
        <w:sz w:val="18"/>
      </w:rPr>
      <w:t>☐</w:t>
    </w:r>
    <w:r>
      <w:rPr>
        <w:rFonts w:ascii="MS Gothic" w:eastAsia="MS Gothic" w:hAnsi="MS Gothic"/>
        <w:b/>
        <w:color w:val="FF0000"/>
        <w:sz w:val="18"/>
      </w:rPr>
      <w:t xml:space="preserve"> </w:t>
    </w:r>
    <w:r>
      <w:rPr>
        <w:color w:val="FF0000"/>
        <w:sz w:val="18"/>
      </w:rPr>
      <w:t>Confidential</w:t>
    </w:r>
    <w:r>
      <w:rPr>
        <w:color w:val="FF0000"/>
        <w:sz w:val="18"/>
      </w:rPr>
      <w:tab/>
    </w:r>
    <w:r>
      <w:rPr>
        <w:rFonts w:ascii="MS Gothic" w:eastAsia="MS Gothic" w:hAnsi="MS Gothic"/>
        <w:b/>
        <w:color w:val="FF0000"/>
        <w:sz w:val="18"/>
        <w:shd w:val="clear" w:color="auto" w:fill="E6E6E6"/>
      </w:rPr>
      <w:t>✓</w:t>
    </w:r>
    <w:r>
      <w:rPr>
        <w:color w:val="FF0000"/>
        <w:sz w:val="18"/>
      </w:rPr>
      <w:t xml:space="preserve">  Non-Confidential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691056"/>
    <w:multiLevelType w:val="hybridMultilevel"/>
    <w:tmpl w:val="3254360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0F4EFC"/>
    <w:multiLevelType w:val="hybridMultilevel"/>
    <w:tmpl w:val="192062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F667F41"/>
    <w:multiLevelType w:val="hybridMultilevel"/>
    <w:tmpl w:val="59BCF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5B5E85"/>
    <w:multiLevelType w:val="hybridMultilevel"/>
    <w:tmpl w:val="E3B40A6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610E50"/>
    <w:multiLevelType w:val="hybridMultilevel"/>
    <w:tmpl w:val="B13A7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4B7E73"/>
    <w:multiLevelType w:val="hybridMultilevel"/>
    <w:tmpl w:val="AE94E5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2923EC2"/>
    <w:multiLevelType w:val="hybridMultilevel"/>
    <w:tmpl w:val="11ECD1F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CFB1F53"/>
    <w:multiLevelType w:val="hybridMultilevel"/>
    <w:tmpl w:val="E7DC62C6"/>
    <w:lvl w:ilvl="0">
      <w:start w:val="1"/>
      <w:numFmt w:val="decimal"/>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8">
    <w:nsid w:val="717A36C0"/>
    <w:multiLevelType w:val="hybridMultilevel"/>
    <w:tmpl w:val="77AEE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1579786">
    <w:abstractNumId w:val="8"/>
  </w:num>
  <w:num w:numId="2" w16cid:durableId="844201089">
    <w:abstractNumId w:val="1"/>
  </w:num>
  <w:num w:numId="3" w16cid:durableId="142549352">
    <w:abstractNumId w:val="6"/>
  </w:num>
  <w:num w:numId="4" w16cid:durableId="113910542">
    <w:abstractNumId w:val="0"/>
  </w:num>
  <w:num w:numId="5" w16cid:durableId="1311444910">
    <w:abstractNumId w:val="2"/>
  </w:num>
  <w:num w:numId="6" w16cid:durableId="1358038961">
    <w:abstractNumId w:val="5"/>
  </w:num>
  <w:num w:numId="7" w16cid:durableId="1248265168">
    <w:abstractNumId w:val="7"/>
  </w:num>
  <w:num w:numId="8" w16cid:durableId="835414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270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610C61"/>
    <w:rsid w:val="00006C3B"/>
    <w:rsid w:val="000111D9"/>
    <w:rsid w:val="0001564F"/>
    <w:rsid w:val="00017397"/>
    <w:rsid w:val="00017BFA"/>
    <w:rsid w:val="00026D67"/>
    <w:rsid w:val="00031D25"/>
    <w:rsid w:val="000343F8"/>
    <w:rsid w:val="0004112D"/>
    <w:rsid w:val="00041A08"/>
    <w:rsid w:val="00051A0A"/>
    <w:rsid w:val="0007515F"/>
    <w:rsid w:val="00082C79"/>
    <w:rsid w:val="00083381"/>
    <w:rsid w:val="0008739E"/>
    <w:rsid w:val="000960FE"/>
    <w:rsid w:val="000A31C6"/>
    <w:rsid w:val="000C1655"/>
    <w:rsid w:val="000C5256"/>
    <w:rsid w:val="000D6B7E"/>
    <w:rsid w:val="000D78AC"/>
    <w:rsid w:val="000E76ED"/>
    <w:rsid w:val="000F20C0"/>
    <w:rsid w:val="000F2E62"/>
    <w:rsid w:val="000F3781"/>
    <w:rsid w:val="001044EB"/>
    <w:rsid w:val="001114D2"/>
    <w:rsid w:val="00111581"/>
    <w:rsid w:val="00120BE4"/>
    <w:rsid w:val="00124436"/>
    <w:rsid w:val="001250B8"/>
    <w:rsid w:val="00126358"/>
    <w:rsid w:val="00127122"/>
    <w:rsid w:val="00130ABA"/>
    <w:rsid w:val="00136F6C"/>
    <w:rsid w:val="00143C17"/>
    <w:rsid w:val="00160B2F"/>
    <w:rsid w:val="0016392A"/>
    <w:rsid w:val="0017043A"/>
    <w:rsid w:val="00171CE1"/>
    <w:rsid w:val="001763DD"/>
    <w:rsid w:val="001817F3"/>
    <w:rsid w:val="0019102E"/>
    <w:rsid w:val="001932F5"/>
    <w:rsid w:val="00197E38"/>
    <w:rsid w:val="001B1FDB"/>
    <w:rsid w:val="001B2971"/>
    <w:rsid w:val="001B34E0"/>
    <w:rsid w:val="001C30AD"/>
    <w:rsid w:val="001E2022"/>
    <w:rsid w:val="001F0516"/>
    <w:rsid w:val="001F1177"/>
    <w:rsid w:val="001F3364"/>
    <w:rsid w:val="001F5069"/>
    <w:rsid w:val="00202D0C"/>
    <w:rsid w:val="00203216"/>
    <w:rsid w:val="002106DF"/>
    <w:rsid w:val="002200F2"/>
    <w:rsid w:val="00233EB5"/>
    <w:rsid w:val="00237913"/>
    <w:rsid w:val="002403F4"/>
    <w:rsid w:val="002443CC"/>
    <w:rsid w:val="00245268"/>
    <w:rsid w:val="00252A8B"/>
    <w:rsid w:val="00254405"/>
    <w:rsid w:val="00262A7F"/>
    <w:rsid w:val="002666FB"/>
    <w:rsid w:val="00266F83"/>
    <w:rsid w:val="00272672"/>
    <w:rsid w:val="00272F4F"/>
    <w:rsid w:val="00277D1B"/>
    <w:rsid w:val="00283013"/>
    <w:rsid w:val="00293172"/>
    <w:rsid w:val="0029324E"/>
    <w:rsid w:val="002B1C50"/>
    <w:rsid w:val="002C11E3"/>
    <w:rsid w:val="002C14CE"/>
    <w:rsid w:val="002C2223"/>
    <w:rsid w:val="002C404E"/>
    <w:rsid w:val="002D107B"/>
    <w:rsid w:val="002D2F06"/>
    <w:rsid w:val="002D6F9E"/>
    <w:rsid w:val="002D7B70"/>
    <w:rsid w:val="002E7D0E"/>
    <w:rsid w:val="002F398F"/>
    <w:rsid w:val="00303B07"/>
    <w:rsid w:val="00304C49"/>
    <w:rsid w:val="0031045C"/>
    <w:rsid w:val="003162FA"/>
    <w:rsid w:val="003323C0"/>
    <w:rsid w:val="00335B5E"/>
    <w:rsid w:val="0033666F"/>
    <w:rsid w:val="00337BA1"/>
    <w:rsid w:val="00343536"/>
    <w:rsid w:val="003445BC"/>
    <w:rsid w:val="003500A0"/>
    <w:rsid w:val="00353BE5"/>
    <w:rsid w:val="003563A1"/>
    <w:rsid w:val="0035686E"/>
    <w:rsid w:val="00372815"/>
    <w:rsid w:val="003765D4"/>
    <w:rsid w:val="003772C6"/>
    <w:rsid w:val="003777CE"/>
    <w:rsid w:val="00387FB0"/>
    <w:rsid w:val="003962F3"/>
    <w:rsid w:val="003A2054"/>
    <w:rsid w:val="003A6D65"/>
    <w:rsid w:val="003B36DE"/>
    <w:rsid w:val="003B66EC"/>
    <w:rsid w:val="003B6B7E"/>
    <w:rsid w:val="003B75CB"/>
    <w:rsid w:val="003C1F98"/>
    <w:rsid w:val="003D4F51"/>
    <w:rsid w:val="003E0286"/>
    <w:rsid w:val="003E1066"/>
    <w:rsid w:val="003E27A2"/>
    <w:rsid w:val="003E4EA3"/>
    <w:rsid w:val="003F1A2A"/>
    <w:rsid w:val="003F1C17"/>
    <w:rsid w:val="003F1D64"/>
    <w:rsid w:val="00411A2E"/>
    <w:rsid w:val="00417FDC"/>
    <w:rsid w:val="00424820"/>
    <w:rsid w:val="004609CE"/>
    <w:rsid w:val="00472068"/>
    <w:rsid w:val="00490CEB"/>
    <w:rsid w:val="00497457"/>
    <w:rsid w:val="004A3852"/>
    <w:rsid w:val="004A73F4"/>
    <w:rsid w:val="004B056D"/>
    <w:rsid w:val="004B19D1"/>
    <w:rsid w:val="004B345B"/>
    <w:rsid w:val="004B5D0C"/>
    <w:rsid w:val="004C2F6D"/>
    <w:rsid w:val="004C62C0"/>
    <w:rsid w:val="004D2735"/>
    <w:rsid w:val="004E4956"/>
    <w:rsid w:val="004F0C8E"/>
    <w:rsid w:val="00502484"/>
    <w:rsid w:val="005031FB"/>
    <w:rsid w:val="00516799"/>
    <w:rsid w:val="00543C82"/>
    <w:rsid w:val="00545620"/>
    <w:rsid w:val="00545E9A"/>
    <w:rsid w:val="00551EE1"/>
    <w:rsid w:val="00560F67"/>
    <w:rsid w:val="00562FBD"/>
    <w:rsid w:val="00563089"/>
    <w:rsid w:val="00563AED"/>
    <w:rsid w:val="00565CC4"/>
    <w:rsid w:val="00565DEF"/>
    <w:rsid w:val="00566297"/>
    <w:rsid w:val="00581C00"/>
    <w:rsid w:val="00583008"/>
    <w:rsid w:val="00583265"/>
    <w:rsid w:val="0058378C"/>
    <w:rsid w:val="00584D45"/>
    <w:rsid w:val="005909B0"/>
    <w:rsid w:val="00592483"/>
    <w:rsid w:val="00597C4C"/>
    <w:rsid w:val="005C0701"/>
    <w:rsid w:val="005C2C5E"/>
    <w:rsid w:val="005C353C"/>
    <w:rsid w:val="005C46D3"/>
    <w:rsid w:val="005C475F"/>
    <w:rsid w:val="005C5C76"/>
    <w:rsid w:val="005D0661"/>
    <w:rsid w:val="005D0E2C"/>
    <w:rsid w:val="005D43DD"/>
    <w:rsid w:val="005D61F4"/>
    <w:rsid w:val="005D7038"/>
    <w:rsid w:val="005E3309"/>
    <w:rsid w:val="00610C61"/>
    <w:rsid w:val="006169EB"/>
    <w:rsid w:val="00620018"/>
    <w:rsid w:val="00627FCE"/>
    <w:rsid w:val="006318BE"/>
    <w:rsid w:val="00636FCA"/>
    <w:rsid w:val="006433F8"/>
    <w:rsid w:val="006450A0"/>
    <w:rsid w:val="0064570F"/>
    <w:rsid w:val="006507B1"/>
    <w:rsid w:val="00657822"/>
    <w:rsid w:val="0066347A"/>
    <w:rsid w:val="006673E8"/>
    <w:rsid w:val="0067050A"/>
    <w:rsid w:val="00672F8D"/>
    <w:rsid w:val="00677418"/>
    <w:rsid w:val="006801F5"/>
    <w:rsid w:val="00681FA6"/>
    <w:rsid w:val="00687332"/>
    <w:rsid w:val="006A4156"/>
    <w:rsid w:val="006B13D0"/>
    <w:rsid w:val="006B1FA8"/>
    <w:rsid w:val="006B295C"/>
    <w:rsid w:val="006B62D3"/>
    <w:rsid w:val="006B7EDB"/>
    <w:rsid w:val="006C0422"/>
    <w:rsid w:val="006D5579"/>
    <w:rsid w:val="006D650E"/>
    <w:rsid w:val="006D7FC6"/>
    <w:rsid w:val="006E32A6"/>
    <w:rsid w:val="006E5929"/>
    <w:rsid w:val="006E7FBB"/>
    <w:rsid w:val="006F71E0"/>
    <w:rsid w:val="00710BD8"/>
    <w:rsid w:val="00724080"/>
    <w:rsid w:val="007327E6"/>
    <w:rsid w:val="00733A91"/>
    <w:rsid w:val="00734885"/>
    <w:rsid w:val="00740D53"/>
    <w:rsid w:val="00752573"/>
    <w:rsid w:val="00761DDC"/>
    <w:rsid w:val="00771F68"/>
    <w:rsid w:val="007738FE"/>
    <w:rsid w:val="00774666"/>
    <w:rsid w:val="00781D19"/>
    <w:rsid w:val="0078424C"/>
    <w:rsid w:val="00784792"/>
    <w:rsid w:val="00790290"/>
    <w:rsid w:val="007933F5"/>
    <w:rsid w:val="00794D32"/>
    <w:rsid w:val="007A2ABA"/>
    <w:rsid w:val="007C0E49"/>
    <w:rsid w:val="007C354B"/>
    <w:rsid w:val="007C4DB4"/>
    <w:rsid w:val="007C5A75"/>
    <w:rsid w:val="007D2E6E"/>
    <w:rsid w:val="007E2479"/>
    <w:rsid w:val="007E71A8"/>
    <w:rsid w:val="007E77F4"/>
    <w:rsid w:val="007E7832"/>
    <w:rsid w:val="007E7CDF"/>
    <w:rsid w:val="007F2E2D"/>
    <w:rsid w:val="007F5C44"/>
    <w:rsid w:val="00804DFE"/>
    <w:rsid w:val="00806912"/>
    <w:rsid w:val="00806AAE"/>
    <w:rsid w:val="008179ED"/>
    <w:rsid w:val="00821EDB"/>
    <w:rsid w:val="0082401B"/>
    <w:rsid w:val="008264E4"/>
    <w:rsid w:val="0084095B"/>
    <w:rsid w:val="00841698"/>
    <w:rsid w:val="00843339"/>
    <w:rsid w:val="00844751"/>
    <w:rsid w:val="008448E8"/>
    <w:rsid w:val="00856245"/>
    <w:rsid w:val="0086243E"/>
    <w:rsid w:val="0087128A"/>
    <w:rsid w:val="00880495"/>
    <w:rsid w:val="008807AA"/>
    <w:rsid w:val="008815C8"/>
    <w:rsid w:val="00887FC0"/>
    <w:rsid w:val="008B4BF2"/>
    <w:rsid w:val="008B55D7"/>
    <w:rsid w:val="008C1A4F"/>
    <w:rsid w:val="008C6FF8"/>
    <w:rsid w:val="008D0090"/>
    <w:rsid w:val="008D69CA"/>
    <w:rsid w:val="008E6C42"/>
    <w:rsid w:val="008F09ED"/>
    <w:rsid w:val="008F6E2F"/>
    <w:rsid w:val="00902387"/>
    <w:rsid w:val="0090395E"/>
    <w:rsid w:val="009126B0"/>
    <w:rsid w:val="0091599C"/>
    <w:rsid w:val="00916C78"/>
    <w:rsid w:val="00923100"/>
    <w:rsid w:val="009245A6"/>
    <w:rsid w:val="00936519"/>
    <w:rsid w:val="00940D25"/>
    <w:rsid w:val="009455EB"/>
    <w:rsid w:val="00953336"/>
    <w:rsid w:val="00954574"/>
    <w:rsid w:val="00955962"/>
    <w:rsid w:val="009656FE"/>
    <w:rsid w:val="00973AF2"/>
    <w:rsid w:val="0097482A"/>
    <w:rsid w:val="00974E83"/>
    <w:rsid w:val="00975A0D"/>
    <w:rsid w:val="009A19BB"/>
    <w:rsid w:val="009A3B2C"/>
    <w:rsid w:val="009A6DBE"/>
    <w:rsid w:val="009B1297"/>
    <w:rsid w:val="009B186F"/>
    <w:rsid w:val="009B5D80"/>
    <w:rsid w:val="009C0D5A"/>
    <w:rsid w:val="009C350E"/>
    <w:rsid w:val="009C4738"/>
    <w:rsid w:val="009C4B77"/>
    <w:rsid w:val="009C55DD"/>
    <w:rsid w:val="009D4D0D"/>
    <w:rsid w:val="009E034E"/>
    <w:rsid w:val="009E0F93"/>
    <w:rsid w:val="009F56A7"/>
    <w:rsid w:val="00A11ABD"/>
    <w:rsid w:val="00A1706F"/>
    <w:rsid w:val="00A34515"/>
    <w:rsid w:val="00A35DB6"/>
    <w:rsid w:val="00A40793"/>
    <w:rsid w:val="00A40A92"/>
    <w:rsid w:val="00A56851"/>
    <w:rsid w:val="00A61135"/>
    <w:rsid w:val="00A63C78"/>
    <w:rsid w:val="00A64E87"/>
    <w:rsid w:val="00A65260"/>
    <w:rsid w:val="00A70A30"/>
    <w:rsid w:val="00A71592"/>
    <w:rsid w:val="00A814F9"/>
    <w:rsid w:val="00A84306"/>
    <w:rsid w:val="00A84EDD"/>
    <w:rsid w:val="00A85011"/>
    <w:rsid w:val="00A905BB"/>
    <w:rsid w:val="00A90DF0"/>
    <w:rsid w:val="00AA3CF8"/>
    <w:rsid w:val="00AA4540"/>
    <w:rsid w:val="00AA5245"/>
    <w:rsid w:val="00AA7EDC"/>
    <w:rsid w:val="00AB6D70"/>
    <w:rsid w:val="00AB6D7F"/>
    <w:rsid w:val="00AC033A"/>
    <w:rsid w:val="00AD2668"/>
    <w:rsid w:val="00AD26BB"/>
    <w:rsid w:val="00AE4B0A"/>
    <w:rsid w:val="00AF4D3B"/>
    <w:rsid w:val="00AF60E2"/>
    <w:rsid w:val="00B009A5"/>
    <w:rsid w:val="00B17E66"/>
    <w:rsid w:val="00B208BF"/>
    <w:rsid w:val="00B2195D"/>
    <w:rsid w:val="00B21D54"/>
    <w:rsid w:val="00B32E16"/>
    <w:rsid w:val="00B36752"/>
    <w:rsid w:val="00B44545"/>
    <w:rsid w:val="00B44B08"/>
    <w:rsid w:val="00B457F9"/>
    <w:rsid w:val="00B53AD9"/>
    <w:rsid w:val="00B5569A"/>
    <w:rsid w:val="00B63058"/>
    <w:rsid w:val="00B65A5C"/>
    <w:rsid w:val="00B83770"/>
    <w:rsid w:val="00B84301"/>
    <w:rsid w:val="00B94EDB"/>
    <w:rsid w:val="00BA0B2D"/>
    <w:rsid w:val="00BA56C7"/>
    <w:rsid w:val="00BB1EFE"/>
    <w:rsid w:val="00BB4417"/>
    <w:rsid w:val="00BC5A99"/>
    <w:rsid w:val="00BC5FE1"/>
    <w:rsid w:val="00BD0477"/>
    <w:rsid w:val="00BD0E29"/>
    <w:rsid w:val="00BD376F"/>
    <w:rsid w:val="00BD617F"/>
    <w:rsid w:val="00BE0090"/>
    <w:rsid w:val="00BF6251"/>
    <w:rsid w:val="00C00480"/>
    <w:rsid w:val="00C02EFC"/>
    <w:rsid w:val="00C035FE"/>
    <w:rsid w:val="00C0671A"/>
    <w:rsid w:val="00C117DA"/>
    <w:rsid w:val="00C1526F"/>
    <w:rsid w:val="00C17301"/>
    <w:rsid w:val="00C22737"/>
    <w:rsid w:val="00C23BED"/>
    <w:rsid w:val="00C24367"/>
    <w:rsid w:val="00C262FA"/>
    <w:rsid w:val="00C360CF"/>
    <w:rsid w:val="00C4276C"/>
    <w:rsid w:val="00C566FF"/>
    <w:rsid w:val="00C60E45"/>
    <w:rsid w:val="00C73E58"/>
    <w:rsid w:val="00C74720"/>
    <w:rsid w:val="00C82C9A"/>
    <w:rsid w:val="00C82CB1"/>
    <w:rsid w:val="00C907BD"/>
    <w:rsid w:val="00C95CE5"/>
    <w:rsid w:val="00CA05CA"/>
    <w:rsid w:val="00CA50F5"/>
    <w:rsid w:val="00CB49EE"/>
    <w:rsid w:val="00CC18B7"/>
    <w:rsid w:val="00CC422C"/>
    <w:rsid w:val="00CC6C8E"/>
    <w:rsid w:val="00CD012D"/>
    <w:rsid w:val="00CD208E"/>
    <w:rsid w:val="00CD32AC"/>
    <w:rsid w:val="00CD4507"/>
    <w:rsid w:val="00CD67A5"/>
    <w:rsid w:val="00CE51ED"/>
    <w:rsid w:val="00CE58E7"/>
    <w:rsid w:val="00CE6FA4"/>
    <w:rsid w:val="00CF3567"/>
    <w:rsid w:val="00CF6627"/>
    <w:rsid w:val="00D01B25"/>
    <w:rsid w:val="00D01FC6"/>
    <w:rsid w:val="00D072B3"/>
    <w:rsid w:val="00D13C25"/>
    <w:rsid w:val="00D21672"/>
    <w:rsid w:val="00D22582"/>
    <w:rsid w:val="00D23E9C"/>
    <w:rsid w:val="00D313BD"/>
    <w:rsid w:val="00D3150D"/>
    <w:rsid w:val="00D377D6"/>
    <w:rsid w:val="00D405AB"/>
    <w:rsid w:val="00D47F79"/>
    <w:rsid w:val="00D52B77"/>
    <w:rsid w:val="00D623F1"/>
    <w:rsid w:val="00D62428"/>
    <w:rsid w:val="00D65B67"/>
    <w:rsid w:val="00D742EC"/>
    <w:rsid w:val="00D8377D"/>
    <w:rsid w:val="00D838BF"/>
    <w:rsid w:val="00D85138"/>
    <w:rsid w:val="00D962A2"/>
    <w:rsid w:val="00DA492E"/>
    <w:rsid w:val="00DB0AB0"/>
    <w:rsid w:val="00DB2598"/>
    <w:rsid w:val="00DB25B7"/>
    <w:rsid w:val="00DB34B9"/>
    <w:rsid w:val="00DB6550"/>
    <w:rsid w:val="00DC0772"/>
    <w:rsid w:val="00DC6A28"/>
    <w:rsid w:val="00DC7207"/>
    <w:rsid w:val="00DD769E"/>
    <w:rsid w:val="00DE0018"/>
    <w:rsid w:val="00DE062A"/>
    <w:rsid w:val="00DE31E8"/>
    <w:rsid w:val="00DF318B"/>
    <w:rsid w:val="00E111A9"/>
    <w:rsid w:val="00E13D1E"/>
    <w:rsid w:val="00E154C2"/>
    <w:rsid w:val="00E175D0"/>
    <w:rsid w:val="00E2030E"/>
    <w:rsid w:val="00E25411"/>
    <w:rsid w:val="00E315AD"/>
    <w:rsid w:val="00E35C69"/>
    <w:rsid w:val="00E37119"/>
    <w:rsid w:val="00E46A76"/>
    <w:rsid w:val="00E47AA4"/>
    <w:rsid w:val="00E5328D"/>
    <w:rsid w:val="00E543B6"/>
    <w:rsid w:val="00E60392"/>
    <w:rsid w:val="00E6097A"/>
    <w:rsid w:val="00E662FE"/>
    <w:rsid w:val="00E752A3"/>
    <w:rsid w:val="00E76205"/>
    <w:rsid w:val="00E7796E"/>
    <w:rsid w:val="00E9446C"/>
    <w:rsid w:val="00E96C18"/>
    <w:rsid w:val="00EA251E"/>
    <w:rsid w:val="00EA2C7B"/>
    <w:rsid w:val="00EA50C2"/>
    <w:rsid w:val="00EB0671"/>
    <w:rsid w:val="00ED0A82"/>
    <w:rsid w:val="00ED2325"/>
    <w:rsid w:val="00ED3344"/>
    <w:rsid w:val="00ED39B9"/>
    <w:rsid w:val="00EE1B47"/>
    <w:rsid w:val="00EF2E75"/>
    <w:rsid w:val="00EF3CA1"/>
    <w:rsid w:val="00EF4651"/>
    <w:rsid w:val="00F041A4"/>
    <w:rsid w:val="00F07056"/>
    <w:rsid w:val="00F10C69"/>
    <w:rsid w:val="00F1323B"/>
    <w:rsid w:val="00F14360"/>
    <w:rsid w:val="00F14B98"/>
    <w:rsid w:val="00F1528D"/>
    <w:rsid w:val="00F2158F"/>
    <w:rsid w:val="00F23CC0"/>
    <w:rsid w:val="00F27BCD"/>
    <w:rsid w:val="00F40816"/>
    <w:rsid w:val="00F539EA"/>
    <w:rsid w:val="00F61CD3"/>
    <w:rsid w:val="00F66CB4"/>
    <w:rsid w:val="00F8343B"/>
    <w:rsid w:val="00F90D6E"/>
    <w:rsid w:val="00F914E9"/>
    <w:rsid w:val="00F9271F"/>
    <w:rsid w:val="00F94651"/>
    <w:rsid w:val="00F9789C"/>
    <w:rsid w:val="00FA3880"/>
    <w:rsid w:val="00FB5C37"/>
    <w:rsid w:val="00FC0ECF"/>
    <w:rsid w:val="00FC73E3"/>
    <w:rsid w:val="00FD2765"/>
    <w:rsid w:val="00FD4C07"/>
    <w:rsid w:val="00FD5479"/>
    <w:rsid w:val="00FD57E0"/>
    <w:rsid w:val="00FE71ED"/>
    <w:rsid w:val="00FF4F88"/>
    <w:rsid w:val="00FF6E37"/>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56939140"/>
  <w15:chartTrackingRefBased/>
  <w15:docId w15:val="{30F1B8A6-83CA-49C5-9BA9-630D9ACD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0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C61"/>
    <w:rPr>
      <w:rFonts w:eastAsiaTheme="majorEastAsia" w:cstheme="majorBidi"/>
      <w:color w:val="272727" w:themeColor="text1" w:themeTint="D8"/>
    </w:rPr>
  </w:style>
  <w:style w:type="paragraph" w:styleId="Title">
    <w:name w:val="Title"/>
    <w:basedOn w:val="Normal"/>
    <w:next w:val="Normal"/>
    <w:link w:val="TitleChar"/>
    <w:uiPriority w:val="10"/>
    <w:qFormat/>
    <w:rsid w:val="00610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C61"/>
    <w:pPr>
      <w:spacing w:before="160"/>
      <w:jc w:val="center"/>
    </w:pPr>
    <w:rPr>
      <w:i/>
      <w:iCs/>
      <w:color w:val="404040" w:themeColor="text1" w:themeTint="BF"/>
    </w:rPr>
  </w:style>
  <w:style w:type="character" w:customStyle="1" w:styleId="QuoteChar">
    <w:name w:val="Quote Char"/>
    <w:basedOn w:val="DefaultParagraphFont"/>
    <w:link w:val="Quote"/>
    <w:uiPriority w:val="29"/>
    <w:rsid w:val="00610C61"/>
    <w:rPr>
      <w:i/>
      <w:iCs/>
      <w:color w:val="404040" w:themeColor="text1" w:themeTint="BF"/>
    </w:rPr>
  </w:style>
  <w:style w:type="paragraph" w:styleId="ListParagraph">
    <w:name w:val="List Paragraph"/>
    <w:basedOn w:val="Normal"/>
    <w:uiPriority w:val="34"/>
    <w:qFormat/>
    <w:rsid w:val="00610C61"/>
    <w:pPr>
      <w:ind w:left="720"/>
      <w:contextualSpacing/>
    </w:pPr>
  </w:style>
  <w:style w:type="character" w:styleId="IntenseEmphasis">
    <w:name w:val="Intense Emphasis"/>
    <w:basedOn w:val="DefaultParagraphFont"/>
    <w:uiPriority w:val="21"/>
    <w:qFormat/>
    <w:rsid w:val="00610C61"/>
    <w:rPr>
      <w:i/>
      <w:iCs/>
      <w:color w:val="0F4761" w:themeColor="accent1" w:themeShade="BF"/>
    </w:rPr>
  </w:style>
  <w:style w:type="paragraph" w:styleId="IntenseQuote">
    <w:name w:val="Intense Quote"/>
    <w:basedOn w:val="Normal"/>
    <w:next w:val="Normal"/>
    <w:link w:val="IntenseQuoteChar"/>
    <w:uiPriority w:val="30"/>
    <w:qFormat/>
    <w:rsid w:val="00610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C61"/>
    <w:rPr>
      <w:i/>
      <w:iCs/>
      <w:color w:val="0F4761" w:themeColor="accent1" w:themeShade="BF"/>
    </w:rPr>
  </w:style>
  <w:style w:type="character" w:styleId="IntenseReference">
    <w:name w:val="Intense Reference"/>
    <w:basedOn w:val="DefaultParagraphFont"/>
    <w:uiPriority w:val="32"/>
    <w:qFormat/>
    <w:rsid w:val="00610C61"/>
    <w:rPr>
      <w:b/>
      <w:bCs/>
      <w:smallCaps/>
      <w:color w:val="0F4761" w:themeColor="accent1" w:themeShade="BF"/>
      <w:spacing w:val="5"/>
    </w:rPr>
  </w:style>
  <w:style w:type="paragraph" w:styleId="Header">
    <w:name w:val="header"/>
    <w:basedOn w:val="Normal"/>
    <w:link w:val="HeaderChar"/>
    <w:uiPriority w:val="99"/>
    <w:unhideWhenUsed/>
    <w:rsid w:val="00B17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E66"/>
  </w:style>
  <w:style w:type="paragraph" w:styleId="Footer">
    <w:name w:val="footer"/>
    <w:basedOn w:val="Normal"/>
    <w:link w:val="FooterChar"/>
    <w:uiPriority w:val="99"/>
    <w:unhideWhenUsed/>
    <w:rsid w:val="00B17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E66"/>
  </w:style>
  <w:style w:type="paragraph" w:customStyle="1" w:styleId="legp1paratext">
    <w:name w:val="legp1paratext"/>
    <w:basedOn w:val="Normal"/>
    <w:rsid w:val="00F14B98"/>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legp1no">
    <w:name w:val="legp1no"/>
    <w:basedOn w:val="DefaultParagraphFont"/>
    <w:rsid w:val="00F14B98"/>
  </w:style>
  <w:style w:type="paragraph" w:customStyle="1" w:styleId="legp2paratext">
    <w:name w:val="legp2paratext"/>
    <w:basedOn w:val="Normal"/>
    <w:rsid w:val="00F14B98"/>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legclearfix">
    <w:name w:val="legclearfix"/>
    <w:basedOn w:val="Normal"/>
    <w:rsid w:val="00F14B98"/>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legds">
    <w:name w:val="legds"/>
    <w:basedOn w:val="DefaultParagraphFont"/>
    <w:rsid w:val="00F14B98"/>
  </w:style>
  <w:style w:type="paragraph" w:customStyle="1" w:styleId="xmsonormal">
    <w:name w:val="x_msonormal"/>
    <w:basedOn w:val="Normal"/>
    <w:rsid w:val="00CB49EE"/>
    <w:pPr>
      <w:spacing w:after="0" w:line="240" w:lineRule="auto"/>
    </w:pPr>
    <w:rPr>
      <w:rFonts w:ascii="Aptos" w:hAnsi="Aptos" w:cs="Aptos"/>
      <w:kern w:val="0"/>
      <w:sz w:val="24"/>
      <w:szCs w:val="24"/>
      <w:lang w:eastAsia="en-GB"/>
    </w:rPr>
  </w:style>
  <w:style w:type="character" w:styleId="Hyperlink">
    <w:name w:val="Hyperlink"/>
    <w:basedOn w:val="DefaultParagraphFont"/>
    <w:uiPriority w:val="99"/>
    <w:semiHidden/>
    <w:unhideWhenUsed/>
    <w:rsid w:val="004D2735"/>
    <w:rPr>
      <w:color w:val="0000FF"/>
      <w:u w:val="single"/>
    </w:rPr>
  </w:style>
  <w:style w:type="paragraph" w:styleId="NoSpacing">
    <w:name w:val="No Spacing"/>
    <w:rsid w:val="00C0671A"/>
    <w:pPr>
      <w:suppressAutoHyphens/>
      <w:autoSpaceDN w:val="0"/>
      <w:spacing w:after="0" w:line="240" w:lineRule="auto"/>
    </w:pPr>
    <w:rPr>
      <w:rFonts w:ascii="Calibri" w:eastAsia="DengXian" w:hAnsi="Calibri" w:cs="Arial"/>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86ae2836-3b7e-405f-af63-47770c86e04a@GBRP265.PROD.OUTLOOK.COM" TargetMode="External"/><Relationship Id="rId18" Type="http://schemas.openxmlformats.org/officeDocument/2006/relationships/image" Target="media/image8.png"/><Relationship Id="rId26" Type="http://schemas.openxmlformats.org/officeDocument/2006/relationships/footer" Target="footer1.xml"/><Relationship Id="rId8" Type="http://schemas.openxmlformats.org/officeDocument/2006/relationships/image" Target="cid:image016.png@01DBB9DF.AE272C50" TargetMode="External"/><Relationship Id="rId21" Type="http://schemas.openxmlformats.org/officeDocument/2006/relationships/image" Target="cid:de5585bd-6882-4e09-ac67-70fbd03bb093@GBRP265.PROD.OUTLOOK.COM" TargetMode="External"/><Relationship Id="rId3" Type="http://schemas.openxmlformats.org/officeDocument/2006/relationships/fontTable" Target="fontTable.xml"/><Relationship Id="rId12" Type="http://schemas.openxmlformats.org/officeDocument/2006/relationships/image" Target="media/image5.png"/><Relationship Id="rId17" Type="http://schemas.openxmlformats.org/officeDocument/2006/relationships/image" Target="cid:3c74cabb-646e-47fa-8845-394334a2b7f9@GBRP265.PROD.OUTLOOK.COM" TargetMode="External"/><Relationship Id="rId25" Type="http://schemas.openxmlformats.org/officeDocument/2006/relationships/header" Target="header1.xml"/><Relationship Id="rId7" Type="http://schemas.openxmlformats.org/officeDocument/2006/relationships/image" Target="media/image3.png"/><Relationship Id="rId16" Type="http://schemas.openxmlformats.org/officeDocument/2006/relationships/image" Target="media/image7.png"/><Relationship Id="rId2" Type="http://schemas.openxmlformats.org/officeDocument/2006/relationships/webSettings" Target="webSettings.xml"/><Relationship Id="rId20" Type="http://schemas.openxmlformats.org/officeDocument/2006/relationships/image" Target="media/image9.png"/><Relationship Id="rId29" Type="http://schemas.openxmlformats.org/officeDocument/2006/relationships/styles" Target="styles.xml"/><Relationship Id="rId1" Type="http://schemas.openxmlformats.org/officeDocument/2006/relationships/settings" Target="settings.xml"/><Relationship Id="rId11" Type="http://schemas.openxmlformats.org/officeDocument/2006/relationships/image" Target="cid:437ec140-9e06-4056-9108-69a161728624@GBRP265.PROD.OUTLOOK.COM" TargetMode="External"/><Relationship Id="rId24" Type="http://schemas.openxmlformats.org/officeDocument/2006/relationships/image" Target="media/image11.png"/><Relationship Id="rId6" Type="http://schemas.openxmlformats.org/officeDocument/2006/relationships/hyperlink" Target="https://www.legislation.gov.uk/uksi/2019/450/made" TargetMode="External"/><Relationship Id="rId32" Type="http://schemas.openxmlformats.org/officeDocument/2006/relationships/customXml" Target="../customXml/item3.xml"/><Relationship Id="rId15" Type="http://schemas.openxmlformats.org/officeDocument/2006/relationships/image" Target="cid:478875e8-4f5f-4a30-8d88-ac5e23ca6506@GBRP265.PROD.OUTLOOK.COM" TargetMode="External"/><Relationship Id="rId23" Type="http://schemas.openxmlformats.org/officeDocument/2006/relationships/image" Target="cid:7c09310b-2876-4975-9923-bb2d27093a90@GBRP265.PROD.OUTLOOK.COM" TargetMode="External"/><Relationship Id="rId28" Type="http://schemas.openxmlformats.org/officeDocument/2006/relationships/numbering" Target="numbering.xml"/><Relationship Id="rId5" Type="http://schemas.openxmlformats.org/officeDocument/2006/relationships/image" Target="media/image2.png"/><Relationship Id="rId10" Type="http://schemas.openxmlformats.org/officeDocument/2006/relationships/image" Target="media/image4.png"/><Relationship Id="rId19" Type="http://schemas.openxmlformats.org/officeDocument/2006/relationships/image" Target="cid:f9473fb8-fb0d-4f40-931f-556dd706e55d@GBRP265.PROD.OUTLOOK.COM" TargetMode="External"/><Relationship Id="rId31" Type="http://schemas.openxmlformats.org/officeDocument/2006/relationships/customXml" Target="../customXml/item2.xml"/><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urldefense.proofpoint.com/v2/url?u=https-3A__www.argusmedia.com_en_solutions_products_argus-2Dbase-2Doils&amp;d=DwMGaQ&amp;c=euGZstcaTDllvimEN8b7jXrwqOf-v5A_CdpgnVfiiMM&amp;r=ArlRVqGH50uv1v6htA0toraXxXpqc2t8yVixWfsqCWA&amp;m=rpp-poBVomfw-gcRYQ95V1LF6eHsSy2uJxuJw5p0d8v-YWQK4AJrPXwrX3MpiOmB&amp;s=aQUBk9w0Sz7fGwRCqnEKvYf2w9T3sBUMSTuWCvkRT64&amp;e="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29F7F50-DA46-4F55-AFE6-1C57B8D36901}"/>
</file>

<file path=customXml/itemProps2.xml><?xml version="1.0" encoding="utf-8"?>
<ds:datastoreItem xmlns:ds="http://schemas.openxmlformats.org/officeDocument/2006/customXml" ds:itemID="{C97BF099-6685-421F-9C41-0D037D7705B4}"/>
</file>

<file path=customXml/itemProps3.xml><?xml version="1.0" encoding="utf-8"?>
<ds:datastoreItem xmlns:ds="http://schemas.openxmlformats.org/officeDocument/2006/customXml" ds:itemID="{B3330A90-CA5E-4A34-8D26-9F5DDBEE340A}"/>
</file>

<file path=docProps/app.xml><?xml version="1.0" encoding="utf-8"?>
<Properties xmlns="http://schemas.openxmlformats.org/officeDocument/2006/extended-properties" xmlns:vt="http://schemas.openxmlformats.org/officeDocument/2006/docPropsVTypes">
  <Template>Normal</Template>
  <TotalTime>934</TotalTime>
  <Pages>21</Pages>
  <Words>5568</Words>
  <Characters>28663</Characters>
  <Application>Microsoft Office Word</Application>
  <DocSecurity>0</DocSecurity>
  <Lines>245</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471</cp:revision>
  <dcterms:created xsi:type="dcterms:W3CDTF">2025-04-30T07:56:00Z</dcterms:created>
  <dcterms:modified xsi:type="dcterms:W3CDTF">2025-05-15T17:31:00Z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