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AD04F" w14:textId="77777777" w:rsidR="00CB3749" w:rsidRDefault="00C436FD">
      <w:r>
        <w:t>Dear Trade Remedies Authority,</w:t>
      </w:r>
    </w:p>
    <w:p w14:paraId="4B0AD050" w14:textId="77777777" w:rsidR="00CB3749" w:rsidRDefault="00CB3749"/>
    <w:p w14:paraId="4B0AD051" w14:textId="77777777" w:rsidR="00CB3749" w:rsidRDefault="00C436FD">
      <w:r>
        <w:t>Further to our submission of 14th April 2025 we wish to comment as requested on the Trade Remedy Authority’s (TRA) provisional </w:t>
      </w:r>
      <w:proofErr w:type="gramStart"/>
      <w:r>
        <w:t>recommendations .</w:t>
      </w:r>
      <w:proofErr w:type="gramEnd"/>
      <w:r>
        <w:t xml:space="preserve"> </w:t>
      </w:r>
    </w:p>
    <w:p w14:paraId="4B0AD052" w14:textId="77777777" w:rsidR="00CB3749" w:rsidRDefault="00CB3749"/>
    <w:p w14:paraId="4B0AD053" w14:textId="77777777" w:rsidR="00CB3749" w:rsidRDefault="00C436FD">
      <w:r>
        <w:t xml:space="preserve">We recognise that the imposition of a degree of steel safeguards to protect the UK Steel Industry is necessary under the current exceptional Global circumstances. </w:t>
      </w:r>
    </w:p>
    <w:p w14:paraId="4B0AD054" w14:textId="77777777" w:rsidR="00CB3749" w:rsidRDefault="00CB3749"/>
    <w:p w14:paraId="4B0AD055" w14:textId="77777777" w:rsidR="00CB3749" w:rsidRDefault="00C436FD">
      <w:proofErr w:type="gramStart"/>
      <w:r>
        <w:t>We</w:t>
      </w:r>
      <w:proofErr w:type="gramEnd"/>
      <w:r>
        <w:t xml:space="preserve"> however, find the actions recommended by the TRA in their final determination seem to </w:t>
      </w:r>
      <w:proofErr w:type="gramStart"/>
      <w:r>
        <w:t>be  punitive</w:t>
      </w:r>
      <w:proofErr w:type="gramEnd"/>
      <w:r>
        <w:t xml:space="preserve"> in design and are likely </w:t>
      </w:r>
      <w:proofErr w:type="gramStart"/>
      <w:r>
        <w:t>to  cause</w:t>
      </w:r>
      <w:proofErr w:type="gramEnd"/>
      <w:r>
        <w:t xml:space="preserve"> harm to steel-consuming, downstream industries.</w:t>
      </w:r>
    </w:p>
    <w:p w14:paraId="4B0AD056" w14:textId="77777777" w:rsidR="00CB3749" w:rsidRDefault="00CB3749"/>
    <w:p w14:paraId="4B0AD057" w14:textId="77777777" w:rsidR="00CB3749" w:rsidRDefault="00C436FD">
      <w:r>
        <w:t xml:space="preserve">Firstly, we are concerned by their recommendation to eliminate the carry-over of unused quota tonnage from one quarter to the next. </w:t>
      </w:r>
    </w:p>
    <w:p w14:paraId="4B0AD058" w14:textId="77777777" w:rsidR="00CB3749" w:rsidRDefault="00CB3749"/>
    <w:p w14:paraId="4B0AD059" w14:textId="77777777" w:rsidR="00CB3749" w:rsidRDefault="00C436FD">
      <w:r>
        <w:t xml:space="preserve">Safeguard quotas were originally established on an </w:t>
      </w:r>
      <w:r>
        <w:rPr>
          <w:i/>
          <w:iCs/>
        </w:rPr>
        <w:t xml:space="preserve">annual </w:t>
      </w:r>
      <w:r>
        <w:t xml:space="preserve">basis, not quarterly. Indeed, all the underlying calculations in determining quota limits were based on </w:t>
      </w:r>
      <w:r>
        <w:rPr>
          <w:i/>
          <w:iCs/>
        </w:rPr>
        <w:t xml:space="preserve">annual </w:t>
      </w:r>
      <w:r>
        <w:t xml:space="preserve">import data, in accordance with WTO rules. The removal of carry-over provisions introduces an artificial constraint that does not reflect real-world market conditions or the original design of the safeguard measures. </w:t>
      </w:r>
    </w:p>
    <w:p w14:paraId="4B0AD05A" w14:textId="77777777" w:rsidR="00CB3749" w:rsidRDefault="00CB3749"/>
    <w:p w14:paraId="4B0AD05B" w14:textId="77777777" w:rsidR="00CB3749" w:rsidRDefault="00C436FD">
      <w:r>
        <w:t xml:space="preserve">Trade flows are inconsistent and quarterly import tonnages fluctuate based on real demand, furthermore Importers face frequent shipping delays pushing material booked for one quarter </w:t>
      </w:r>
      <w:proofErr w:type="gramStart"/>
      <w:r>
        <w:t>in to</w:t>
      </w:r>
      <w:proofErr w:type="gramEnd"/>
      <w:r>
        <w:t xml:space="preserve"> another.  By removing carry-over tonnages, the TRA are in effect, recommending a switch to a quarterly quota system which is inconsistent with WTO rules and methodologies. This is essentially a back-door route aimed at reducing annual import volumes. It is neither a proportionate, a fair, or in our opinion, a legal course of action. </w:t>
      </w:r>
    </w:p>
    <w:p w14:paraId="4B0AD05C" w14:textId="77777777" w:rsidR="00CB3749" w:rsidRDefault="00CB3749"/>
    <w:p w14:paraId="4B0AD05D" w14:textId="77777777" w:rsidR="00CB3749" w:rsidRDefault="00C436FD">
      <w:r>
        <w:t xml:space="preserve">As per WTO rules, the TRA must demonstrate </w:t>
      </w:r>
      <w:r>
        <w:rPr>
          <w:i/>
          <w:iCs/>
          <w:u w:val="single"/>
        </w:rPr>
        <w:t>clear injury</w:t>
      </w:r>
      <w:r>
        <w:t xml:space="preserve"> caused to UK producers by the carry-over of unused quota tonnages every quarter. We do not believe they have.  </w:t>
      </w:r>
    </w:p>
    <w:p w14:paraId="4B0AD05E" w14:textId="77777777" w:rsidR="00CB3749" w:rsidRDefault="00CB3749"/>
    <w:p w14:paraId="4B0AD05F" w14:textId="77777777" w:rsidR="00CB3749" w:rsidRDefault="00C436FD">
      <w:r>
        <w:t xml:space="preserve">Secondly, we strongly oppose the introduction of a 40% country-specific cap in Categories 7 and 13. These categories are currently dominated by a small number of established suppliers. In Category 7, the Republic of Korea accounted for 80% of residual quota imports during the recent period of investigation, and in Category 13, Algeria supplied 86%. These shares reflect longstanding commercial relationships and supply chain efficiencies, not market distortion or unfair competition. </w:t>
      </w:r>
    </w:p>
    <w:p w14:paraId="4B0AD060" w14:textId="77777777" w:rsidR="00CB3749" w:rsidRDefault="00CB3749"/>
    <w:p w14:paraId="4B0AD061" w14:textId="77777777" w:rsidR="00CB3749" w:rsidRDefault="00C436FD">
      <w:r>
        <w:lastRenderedPageBreak/>
        <w:t xml:space="preserve">Imposing an arbitrary 40% cap in these circumstances would simply cut off or severely restrict the flow of material from the very countries on which the UK industry has come to rely. This would have a serious impact on supply chains, particularly given the tight specifications and lead times involved in sourcing rebar and reversing mill plates. In many cases, alternative suppliers may not exist at scale or may not meet </w:t>
      </w:r>
      <w:proofErr w:type="gramStart"/>
      <w:r>
        <w:t>technical</w:t>
      </w:r>
      <w:proofErr w:type="gramEnd"/>
      <w:r>
        <w:t xml:space="preserve"> or certification standards (CARES certification for rebar) required by end users.</w:t>
      </w:r>
    </w:p>
    <w:p w14:paraId="4B0AD062" w14:textId="77777777" w:rsidR="00CB3749" w:rsidRDefault="00CB3749"/>
    <w:p w14:paraId="4B0AD063" w14:textId="77777777" w:rsidR="00CB3749" w:rsidRDefault="00C436FD">
      <w:r>
        <w:t xml:space="preserve">Furthermore, the TRA has acknowledged that only 52% of the residual quota for Category 7 was utilised during the POI, which directly undermines their argument that other countries are unfairly impacted out by the domination of one or two countries in the residual category. Introducing a cap in this context would not enable new supply, it would simply reduce access to reliable and competitive sources. </w:t>
      </w:r>
    </w:p>
    <w:p w14:paraId="4B0AD064" w14:textId="77777777" w:rsidR="00CB3749" w:rsidRDefault="00C436FD">
      <w:r>
        <w:t xml:space="preserve">For Category 13, overall import demand remains consistent with 2018 levels and supply continuity is critical. Overall import tonnages have not spiked in the intervening years. Trade flows have just shifted to other regions as a result of geo-political events. Algeria and Egypt have replaced the tonnages which were previously coming from Ukraine, Belarus and Russia. The TRA must therefore weigh the real-world disruption to supply chains and procurement practices against the speculative and unsubstantiated benefits of protectionism. </w:t>
      </w:r>
    </w:p>
    <w:p w14:paraId="4B0AD065" w14:textId="77777777" w:rsidR="00CB3749" w:rsidRDefault="00C436FD">
      <w:r>
        <w:t xml:space="preserve">Moreover, from a legal and proportionality standpoint, the WTO Agreement on Safeguards (Article 5.1) requires that any restriction be applied only to the extent necessary to prevent or remedy serious injury. The proposed cap goes beyond that threshold. It introduces rigidity into a system that must remain responsive, especially in categories with few viable suppliers. Unless material evidence can be presented that existing dominant supply is itself a cause of injury, which has not been demonstrated, a country cap is not justified for those two product categories. We therefore urge the TRA to reconsider and leave the current status quo in </w:t>
      </w:r>
      <w:proofErr w:type="gramStart"/>
      <w:r>
        <w:t>place .</w:t>
      </w:r>
      <w:proofErr w:type="gramEnd"/>
    </w:p>
    <w:p w14:paraId="4B0AD066" w14:textId="77777777" w:rsidR="00CB3749" w:rsidRDefault="00C436FD">
      <w:r>
        <w:t>Finally, we note the TRA have recommended that any new measures will come into effect on 1</w:t>
      </w:r>
      <w:r>
        <w:rPr>
          <w:vertAlign w:val="superscript"/>
        </w:rPr>
        <w:t>st</w:t>
      </w:r>
      <w:r>
        <w:t xml:space="preserve"> October 2025 rather than 1</w:t>
      </w:r>
      <w:r>
        <w:rPr>
          <w:vertAlign w:val="superscript"/>
        </w:rPr>
        <w:t>st</w:t>
      </w:r>
      <w:r>
        <w:t xml:space="preserve"> July 2025 as per UK Steel’s submission. Whilst we would have preferred its implementation to have been delayed until 1</w:t>
      </w:r>
      <w:r>
        <w:rPr>
          <w:vertAlign w:val="superscript"/>
        </w:rPr>
        <w:t>st</w:t>
      </w:r>
      <w:r>
        <w:t xml:space="preserve"> January 2026, we feel 1</w:t>
      </w:r>
      <w:r>
        <w:rPr>
          <w:vertAlign w:val="superscript"/>
        </w:rPr>
        <w:t>st</w:t>
      </w:r>
      <w:r>
        <w:t xml:space="preserve"> October is an acceptable compromise.</w:t>
      </w:r>
    </w:p>
    <w:p w14:paraId="4B0AD067" w14:textId="77777777" w:rsidR="00CB3749" w:rsidRDefault="00C436FD">
      <w:r>
        <w:t>Thank you</w:t>
      </w:r>
    </w:p>
    <w:p w14:paraId="4B0AD068" w14:textId="77777777" w:rsidR="00CB3749" w:rsidRDefault="00C436FD">
      <w:r>
        <w:t xml:space="preserve">Stemcor Distribution Limited </w:t>
      </w:r>
    </w:p>
    <w:p w14:paraId="4B0AD069" w14:textId="77777777" w:rsidR="00CB3749" w:rsidRDefault="00C436FD">
      <w:r>
        <w:t xml:space="preserve">Please note that as a member of the International Steel Trade Association (ISTA), we fully support their submission </w:t>
      </w:r>
    </w:p>
    <w:p w14:paraId="4B0AD06A" w14:textId="77777777" w:rsidR="00CB3749" w:rsidRDefault="00CB3749"/>
    <w:sectPr w:rsidR="00CB3749">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AD053" w14:textId="77777777" w:rsidR="00C436FD" w:rsidRDefault="00C436FD">
      <w:pPr>
        <w:spacing w:after="0" w:line="240" w:lineRule="auto"/>
      </w:pPr>
      <w:r>
        <w:separator/>
      </w:r>
    </w:p>
  </w:endnote>
  <w:endnote w:type="continuationSeparator" w:id="0">
    <w:p w14:paraId="4B0AD055" w14:textId="77777777" w:rsidR="00C436FD" w:rsidRDefault="00C43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AD04F" w14:textId="77777777" w:rsidR="00C436FD" w:rsidRDefault="00C436FD">
      <w:pPr>
        <w:spacing w:after="0" w:line="240" w:lineRule="auto"/>
      </w:pPr>
      <w:r>
        <w:rPr>
          <w:color w:val="000000"/>
        </w:rPr>
        <w:separator/>
      </w:r>
    </w:p>
  </w:footnote>
  <w:footnote w:type="continuationSeparator" w:id="0">
    <w:p w14:paraId="4B0AD051" w14:textId="77777777" w:rsidR="00C436FD" w:rsidRDefault="00C436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749"/>
    <w:rsid w:val="002541C0"/>
    <w:rsid w:val="002E7BE2"/>
    <w:rsid w:val="00304E4A"/>
    <w:rsid w:val="00A71AC8"/>
    <w:rsid w:val="00C436FD"/>
    <w:rsid w:val="00CB3749"/>
    <w:rsid w:val="00D23143"/>
    <w:rsid w:val="00F85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AD04F"/>
  <w15:docId w15:val="{180E6344-06B3-474E-9CDF-E4690257E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C0B7B564-59F3-4947-A32A-18FB69D01368}">
  <ds:schemaRefs>
    <ds:schemaRef ds:uri="http://schemas.microsoft.com/sharepoint/v3/contenttype/forms"/>
  </ds:schemaRefs>
</ds:datastoreItem>
</file>

<file path=customXml/itemProps2.xml><?xml version="1.0" encoding="utf-8"?>
<ds:datastoreItem xmlns:ds="http://schemas.openxmlformats.org/officeDocument/2006/customXml" ds:itemID="{6370A45E-755B-4979-A4BF-5030C9AF2AD6}"/>
</file>

<file path=customXml/itemProps3.xml><?xml version="1.0" encoding="utf-8"?>
<ds:datastoreItem xmlns:ds="http://schemas.openxmlformats.org/officeDocument/2006/customXml" ds:itemID="{852FFC25-1BDC-40BC-81EE-CB9C15EA15E7}">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b9bad9e0-9ab0-4aa5-83c1-a8b61b1f21a5"/>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718</Words>
  <Characters>4094</Characters>
  <Application>Microsoft Office Word</Application>
  <DocSecurity>0</DocSecurity>
  <Lines>34</Lines>
  <Paragraphs>9</Paragraphs>
  <ScaleCrop>false</ScaleCrop>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2</cp:revision>
  <dcterms:created xsi:type="dcterms:W3CDTF">2025-05-23T09:32:00Z</dcterms:created>
  <dcterms:modified xsi:type="dcterms:W3CDTF">2025-05-23T09:32:00Z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